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77"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10-Q</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__X__</w:t>
      </w:r>
      <w:r>
        <w:rPr>
          <w:sz w:val="20"/>
          <w:szCs w:val="20"/>
          <w:color w:val="auto"/>
        </w:rPr>
        <w:tab/>
      </w:r>
      <w:r>
        <w:rPr>
          <w:rFonts w:ascii="Courier New" w:cs="Courier New" w:eastAsia="Courier New" w:hAnsi="Courier New"/>
          <w:sz w:val="16"/>
          <w:szCs w:val="16"/>
          <w:color w:val="auto"/>
        </w:rPr>
        <w:t>QUARTERLY REPORT PURSUANT TO SECTION 13 OR 15(d) OF THE SECURITIES</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EXCHANGE ACT OF 1934</w:t>
      </w:r>
    </w:p>
    <w:p>
      <w:pPr>
        <w:sectPr>
          <w:pgSz w:w="11900" w:h="16838" w:orient="portrait"/>
          <w:cols w:equalWidth="0" w:num="1">
            <w:col w:w="10219"/>
          </w:cols>
          <w:pgMar w:left="240" w:top="243" w:right="1440" w:bottom="1440" w:gutter="0" w:footer="0" w:header="0"/>
        </w:sect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June 1, 2002</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ectPr>
          <w:pgSz w:w="11900" w:h="16838" w:orient="portrait"/>
          <w:cols w:equalWidth="0" w:num="2">
            <w:col w:w="2960" w:space="100"/>
            <w:col w:w="7159"/>
          </w:cols>
          <w:pgMar w:left="240" w:top="243" w:right="1440" w:bottom="1440" w:gutter="0" w:footer="0" w:header="0"/>
          <w:type w:val="continuous"/>
        </w:sectPr>
      </w:pPr>
    </w:p>
    <w:p>
      <w:pPr>
        <w:ind w:left="384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243" w:right="1440" w:bottom="1440" w:gutter="0" w:footer="0" w:header="0"/>
          <w:type w:val="continuous"/>
        </w:sectPr>
      </w:pPr>
    </w:p>
    <w:p>
      <w:pPr>
        <w:spacing w:after="0" w:line="8" w:lineRule="exact"/>
        <w:rPr>
          <w:sz w:val="24"/>
          <w:szCs w:val="24"/>
          <w:color w:val="auto"/>
        </w:rPr>
      </w:pPr>
    </w:p>
    <w:p>
      <w:pPr>
        <w:jc w:val="both"/>
        <w:spacing w:after="0" w:line="255" w:lineRule="auto"/>
        <w:rPr>
          <w:sz w:val="20"/>
          <w:szCs w:val="20"/>
          <w:color w:val="auto"/>
        </w:rPr>
      </w:pPr>
      <w:r>
        <w:rPr>
          <w:rFonts w:ascii="Courier New" w:cs="Courier New" w:eastAsia="Courier New" w:hAnsi="Courier New"/>
          <w:sz w:val="16"/>
          <w:szCs w:val="16"/>
          <w:color w:val="auto"/>
        </w:rPr>
        <w:t>_____ _____</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4" w:lineRule="exact"/>
        <w:rPr>
          <w:sz w:val="24"/>
          <w:szCs w:val="24"/>
          <w:color w:val="auto"/>
        </w:rPr>
      </w:pPr>
    </w:p>
    <w:p>
      <w:pPr>
        <w:sectPr>
          <w:pgSz w:w="11900" w:h="16838" w:orient="portrait"/>
          <w:cols w:equalWidth="0" w:num="2">
            <w:col w:w="500" w:space="380"/>
            <w:col w:w="9339"/>
          </w:cols>
          <w:pgMar w:left="240" w:top="24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For the transition period from _______________________ to ______________________</w:t>
      </w:r>
    </w:p>
    <w:p>
      <w:pPr>
        <w:spacing w:after="0" w:line="198" w:lineRule="exact"/>
        <w:rPr>
          <w:sz w:val="24"/>
          <w:szCs w:val="24"/>
          <w:color w:val="auto"/>
        </w:rPr>
      </w:pPr>
    </w:p>
    <w:p>
      <w:pPr>
        <w:spacing w:after="0"/>
        <w:tabs>
          <w:tab w:leader="none" w:pos="2340" w:val="left"/>
        </w:tabs>
        <w:rPr>
          <w:sz w:val="20"/>
          <w:szCs w:val="20"/>
          <w:color w:val="auto"/>
        </w:rPr>
      </w:pPr>
      <w:r>
        <w:rPr>
          <w:rFonts w:ascii="Courier New" w:cs="Courier New" w:eastAsia="Courier New" w:hAnsi="Courier New"/>
          <w:sz w:val="16"/>
          <w:szCs w:val="16"/>
          <w:color w:val="auto"/>
        </w:rPr>
        <w:t>Commission file number</w:t>
        <w:tab/>
        <w:t>1-6403</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WINNEBAGO INDUSTRIES, INC.</w:t>
      </w:r>
    </w:p>
    <w:p>
      <w:pPr>
        <w:spacing w:after="0" w:line="19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ind w:left="980"/>
              <w:spacing w:after="0"/>
              <w:rPr>
                <w:sz w:val="20"/>
                <w:szCs w:val="20"/>
                <w:color w:val="auto"/>
              </w:rPr>
            </w:pPr>
            <w:r>
              <w:rPr>
                <w:rFonts w:ascii="Courier New" w:cs="Courier New" w:eastAsia="Courier New" w:hAnsi="Courier New"/>
                <w:sz w:val="16"/>
                <w:szCs w:val="16"/>
                <w:color w:val="auto"/>
              </w:rPr>
              <w:t>IOWA</w:t>
            </w:r>
          </w:p>
        </w:tc>
        <w:tc>
          <w:tcPr>
            <w:tcW w:w="266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42-0803978</w:t>
            </w:r>
          </w:p>
        </w:tc>
      </w:tr>
      <w:tr>
        <w:trPr>
          <w:trHeight w:val="190"/>
        </w:trPr>
        <w:tc>
          <w:tcPr>
            <w:tcW w:w="4740" w:type="dxa"/>
            <w:vAlign w:val="bottom"/>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266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(I.R.S. Employer</w:t>
            </w:r>
          </w:p>
        </w:tc>
      </w:tr>
      <w:tr>
        <w:trPr>
          <w:trHeight w:val="190"/>
        </w:trPr>
        <w:tc>
          <w:tcPr>
            <w:tcW w:w="4740" w:type="dxa"/>
            <w:vAlign w:val="bottom"/>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Identification No.)</w:t>
            </w:r>
          </w:p>
        </w:tc>
      </w:tr>
      <w:tr>
        <w:trPr>
          <w:trHeight w:val="379"/>
        </w:trPr>
        <w:tc>
          <w:tcPr>
            <w:tcW w:w="4740" w:type="dxa"/>
            <w:vAlign w:val="bottom"/>
          </w:tcPr>
          <w:p>
            <w:pPr>
              <w:spacing w:after="0"/>
              <w:rPr>
                <w:sz w:val="20"/>
                <w:szCs w:val="20"/>
                <w:color w:val="auto"/>
              </w:rPr>
            </w:pPr>
            <w:r>
              <w:rPr>
                <w:rFonts w:ascii="Courier New" w:cs="Courier New" w:eastAsia="Courier New" w:hAnsi="Courier New"/>
                <w:sz w:val="16"/>
                <w:szCs w:val="16"/>
                <w:color w:val="auto"/>
              </w:rPr>
              <w:t>P. O. Box 152, Forest City, Iowa</w:t>
            </w:r>
          </w:p>
        </w:tc>
        <w:tc>
          <w:tcPr>
            <w:tcW w:w="266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50436</w:t>
            </w:r>
          </w:p>
        </w:tc>
      </w:tr>
      <w:tr>
        <w:trPr>
          <w:trHeight w:val="190"/>
        </w:trPr>
        <w:tc>
          <w:tcPr>
            <w:tcW w:w="4740" w:type="dxa"/>
            <w:vAlign w:val="bottom"/>
          </w:tcPr>
          <w:p>
            <w:pPr>
              <w:spacing w:after="0"/>
              <w:rPr>
                <w:sz w:val="20"/>
                <w:szCs w:val="20"/>
                <w:color w:val="auto"/>
              </w:rPr>
            </w:pPr>
            <w:r>
              <w:rPr>
                <w:rFonts w:ascii="Courier New" w:cs="Courier New" w:eastAsia="Courier New" w:hAnsi="Courier New"/>
                <w:sz w:val="16"/>
                <w:szCs w:val="16"/>
                <w:color w:val="auto"/>
              </w:rPr>
              <w:t>(Address of principal executive offices)</w:t>
            </w:r>
          </w:p>
        </w:tc>
        <w:tc>
          <w:tcPr>
            <w:tcW w:w="266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(Zip Code)</w:t>
            </w:r>
          </w:p>
        </w:tc>
      </w:tr>
    </w:tbl>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 (641) 585-3535</w:t>
      </w:r>
    </w:p>
    <w:p>
      <w:pPr>
        <w:spacing w:after="0" w:line="198" w:lineRule="exact"/>
        <w:rPr>
          <w:sz w:val="24"/>
          <w:szCs w:val="24"/>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186" w:lineRule="exact"/>
        <w:rPr>
          <w:sz w:val="24"/>
          <w:szCs w:val="24"/>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There were 18,795,628 shares of $.50 par value common stock outstanding on July 12, 2002.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19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INDEX TO REPORT ON FORM 10-Q</w:t>
      </w:r>
    </w:p>
    <w:p>
      <w:pPr>
        <w:spacing w:after="0" w:line="388" w:lineRule="exact"/>
        <w:rPr>
          <w:sz w:val="24"/>
          <w:szCs w:val="24"/>
          <w:color w:val="auto"/>
        </w:rPr>
      </w:pPr>
    </w:p>
    <w:p>
      <w:pPr>
        <w:jc w:val="right"/>
        <w:ind w:right="2339"/>
        <w:spacing w:after="0"/>
        <w:rPr>
          <w:sz w:val="20"/>
          <w:szCs w:val="20"/>
          <w:color w:val="auto"/>
        </w:rPr>
      </w:pPr>
      <w:r>
        <w:rPr>
          <w:rFonts w:ascii="Courier New" w:cs="Courier New" w:eastAsia="Courier New" w:hAnsi="Courier New"/>
          <w:sz w:val="16"/>
          <w:szCs w:val="16"/>
          <w:color w:val="auto"/>
        </w:rPr>
        <w:t>Page Number</w:t>
      </w:r>
    </w:p>
    <w:p>
      <w:pPr>
        <w:spacing w:after="0" w:line="8" w:lineRule="exact"/>
        <w:rPr>
          <w:sz w:val="24"/>
          <w:szCs w:val="24"/>
          <w:color w:val="auto"/>
        </w:rPr>
      </w:pPr>
    </w:p>
    <w:p>
      <w:pPr>
        <w:ind w:left="68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79"/>
        </w:trPr>
        <w:tc>
          <w:tcPr>
            <w:tcW w:w="7040" w:type="dxa"/>
            <w:vAlign w:val="bottom"/>
          </w:tcPr>
          <w:p>
            <w:pPr>
              <w:ind w:left="880"/>
              <w:spacing w:after="0"/>
              <w:rPr>
                <w:sz w:val="20"/>
                <w:szCs w:val="20"/>
                <w:color w:val="auto"/>
              </w:rPr>
            </w:pPr>
            <w:r>
              <w:rPr>
                <w:rFonts w:ascii="Courier New" w:cs="Courier New" w:eastAsia="Courier New" w:hAnsi="Courier New"/>
                <w:sz w:val="16"/>
                <w:szCs w:val="16"/>
                <w:color w:val="auto"/>
              </w:rPr>
              <w:t>Consolidated Balance Sheets (Interim period information</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0"/>
        </w:trPr>
        <w:tc>
          <w:tcPr>
            <w:tcW w:w="7040" w:type="dxa"/>
            <w:vAlign w:val="bottom"/>
          </w:tcPr>
          <w:p>
            <w:pPr>
              <w:ind w:left="980"/>
              <w:spacing w:after="0"/>
              <w:rPr>
                <w:sz w:val="20"/>
                <w:szCs w:val="20"/>
                <w:color w:val="auto"/>
              </w:rPr>
            </w:pPr>
            <w:r>
              <w:rPr>
                <w:rFonts w:ascii="Courier New" w:cs="Courier New" w:eastAsia="Courier New" w:hAnsi="Courier New"/>
                <w:sz w:val="16"/>
                <w:szCs w:val="16"/>
                <w:color w:val="auto"/>
              </w:rPr>
              <w:t>unaudited)</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&amp;</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2</w:t>
            </w:r>
          </w:p>
        </w:tc>
      </w:tr>
      <w:tr>
        <w:trPr>
          <w:trHeight w:val="379"/>
        </w:trPr>
        <w:tc>
          <w:tcPr>
            <w:tcW w:w="7040" w:type="dxa"/>
            <w:vAlign w:val="bottom"/>
          </w:tcPr>
          <w:p>
            <w:pPr>
              <w:ind w:left="880"/>
              <w:spacing w:after="0"/>
              <w:rPr>
                <w:sz w:val="20"/>
                <w:szCs w:val="20"/>
                <w:color w:val="auto"/>
              </w:rPr>
            </w:pPr>
            <w:r>
              <w:rPr>
                <w:rFonts w:ascii="Courier New" w:cs="Courier New" w:eastAsia="Courier New" w:hAnsi="Courier New"/>
                <w:sz w:val="16"/>
                <w:szCs w:val="16"/>
                <w:color w:val="auto"/>
              </w:rPr>
              <w:t>Unaudited Consolidated Statements of Income</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240" w:type="dxa"/>
            <w:vAlign w:val="bottom"/>
          </w:tcPr>
          <w:p>
            <w:pPr>
              <w:spacing w:after="0"/>
              <w:rPr>
                <w:sz w:val="24"/>
                <w:szCs w:val="24"/>
                <w:color w:val="auto"/>
              </w:rPr>
            </w:pPr>
          </w:p>
        </w:tc>
      </w:tr>
      <w:tr>
        <w:trPr>
          <w:trHeight w:val="379"/>
        </w:trPr>
        <w:tc>
          <w:tcPr>
            <w:tcW w:w="7040" w:type="dxa"/>
            <w:vAlign w:val="bottom"/>
          </w:tcPr>
          <w:p>
            <w:pPr>
              <w:ind w:left="880"/>
              <w:spacing w:after="0"/>
              <w:rPr>
                <w:sz w:val="20"/>
                <w:szCs w:val="20"/>
                <w:color w:val="auto"/>
              </w:rPr>
            </w:pPr>
            <w:r>
              <w:rPr>
                <w:rFonts w:ascii="Courier New" w:cs="Courier New" w:eastAsia="Courier New" w:hAnsi="Courier New"/>
                <w:sz w:val="16"/>
                <w:szCs w:val="16"/>
                <w:color w:val="auto"/>
              </w:rPr>
              <w:t>Unaudited Consolidated Condensed Statements of Cash Flows</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240" w:type="dxa"/>
            <w:vAlign w:val="bottom"/>
          </w:tcPr>
          <w:p>
            <w:pPr>
              <w:spacing w:after="0"/>
              <w:rPr>
                <w:sz w:val="24"/>
                <w:szCs w:val="24"/>
                <w:color w:val="auto"/>
              </w:rPr>
            </w:pPr>
          </w:p>
        </w:tc>
      </w:tr>
      <w:tr>
        <w:trPr>
          <w:trHeight w:val="379"/>
        </w:trPr>
        <w:tc>
          <w:tcPr>
            <w:tcW w:w="7040" w:type="dxa"/>
            <w:vAlign w:val="bottom"/>
          </w:tcPr>
          <w:p>
            <w:pPr>
              <w:ind w:left="880"/>
              <w:spacing w:after="0"/>
              <w:rPr>
                <w:sz w:val="20"/>
                <w:szCs w:val="20"/>
                <w:color w:val="auto"/>
              </w:rPr>
            </w:pPr>
            <w:r>
              <w:rPr>
                <w:rFonts w:ascii="Courier New" w:cs="Courier New" w:eastAsia="Courier New" w:hAnsi="Courier New"/>
                <w:sz w:val="16"/>
                <w:szCs w:val="16"/>
                <w:color w:val="auto"/>
              </w:rPr>
              <w:t>Unaudited Condensed Notes to Consolidated Financial Statements</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r>
      <w:tr>
        <w:trPr>
          <w:trHeight w:val="379"/>
        </w:trPr>
        <w:tc>
          <w:tcPr>
            <w:tcW w:w="7040" w:type="dxa"/>
            <w:vAlign w:val="bottom"/>
          </w:tcPr>
          <w:p>
            <w:pPr>
              <w:ind w:left="880"/>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0"/>
        </w:trPr>
        <w:tc>
          <w:tcPr>
            <w:tcW w:w="7040" w:type="dxa"/>
            <w:vAlign w:val="bottom"/>
          </w:tcPr>
          <w:p>
            <w:pPr>
              <w:ind w:left="980"/>
              <w:spacing w:after="0"/>
              <w:rPr>
                <w:sz w:val="20"/>
                <w:szCs w:val="20"/>
                <w:color w:val="auto"/>
              </w:rPr>
            </w:pPr>
            <w:r>
              <w:rPr>
                <w:rFonts w:ascii="Courier New" w:cs="Courier New" w:eastAsia="Courier New" w:hAnsi="Courier New"/>
                <w:sz w:val="16"/>
                <w:szCs w:val="16"/>
                <w:color w:val="auto"/>
              </w:rPr>
              <w:t>and Results of Operations</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w w:val="83"/>
              </w:rPr>
              <w:t>12</w:t>
            </w:r>
          </w:p>
        </w:tc>
      </w:tr>
      <w:tr>
        <w:trPr>
          <w:trHeight w:val="379"/>
        </w:trPr>
        <w:tc>
          <w:tcPr>
            <w:tcW w:w="7040" w:type="dxa"/>
            <w:vAlign w:val="bottom"/>
          </w:tcPr>
          <w:p>
            <w:pPr>
              <w:ind w:left="880"/>
              <w:spacing w:after="0"/>
              <w:rPr>
                <w:sz w:val="20"/>
                <w:szCs w:val="20"/>
                <w:color w:val="auto"/>
              </w:rPr>
            </w:pPr>
            <w:r>
              <w:rPr>
                <w:rFonts w:ascii="Courier New" w:cs="Courier New" w:eastAsia="Courier New" w:hAnsi="Courier New"/>
                <w:sz w:val="16"/>
                <w:szCs w:val="16"/>
                <w:color w:val="auto"/>
              </w:rPr>
              <w:t>Independent Accountants' Report</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c>
          <w:tcPr>
            <w:tcW w:w="240" w:type="dxa"/>
            <w:vAlign w:val="bottom"/>
          </w:tcPr>
          <w:p>
            <w:pPr>
              <w:spacing w:after="0"/>
              <w:rPr>
                <w:sz w:val="24"/>
                <w:szCs w:val="24"/>
                <w:color w:val="auto"/>
              </w:rPr>
            </w:pPr>
          </w:p>
        </w:tc>
      </w:tr>
      <w:tr>
        <w:trPr>
          <w:trHeight w:val="379"/>
        </w:trPr>
        <w:tc>
          <w:tcPr>
            <w:tcW w:w="7040" w:type="dxa"/>
            <w:vAlign w:val="bottom"/>
          </w:tcPr>
          <w:p>
            <w:pPr>
              <w:spacing w:after="0"/>
              <w:rPr>
                <w:sz w:val="20"/>
                <w:szCs w:val="20"/>
                <w:color w:val="auto"/>
              </w:rPr>
            </w:pPr>
            <w:r>
              <w:rPr>
                <w:rFonts w:ascii="Courier New" w:cs="Courier New" w:eastAsia="Courier New" w:hAnsi="Courier New"/>
                <w:sz w:val="16"/>
                <w:szCs w:val="16"/>
                <w:color w:val="auto"/>
              </w:rPr>
              <w:t>PART II. OTHER INFORMATION</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&amp;</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w w:val="83"/>
              </w:rPr>
              <w:t>15</w:t>
            </w:r>
          </w:p>
        </w:tc>
      </w:tr>
    </w:tbl>
    <w:p>
      <w:pPr>
        <w:sectPr>
          <w:pgSz w:w="11900" w:h="16838" w:orient="portrait"/>
          <w:cols w:equalWidth="0" w:num="1">
            <w:col w:w="10219"/>
          </w:cols>
          <w:pgMar w:left="240" w:top="243"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19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CONSOLIDATED BALANCE SHEETS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JUNE 1,</w:t>
            </w:r>
          </w:p>
        </w:tc>
        <w:tc>
          <w:tcPr>
            <w:tcW w:w="2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AUGUST 25,</w:t>
            </w:r>
          </w:p>
        </w:tc>
      </w:tr>
      <w:tr>
        <w:trPr>
          <w:trHeight w:val="190"/>
        </w:trPr>
        <w:tc>
          <w:tcPr>
            <w:tcW w:w="5620" w:type="dxa"/>
            <w:vAlign w:val="bottom"/>
          </w:tcPr>
          <w:p>
            <w:pPr>
              <w:ind w:left="2560"/>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16"/>
                <w:szCs w:val="16"/>
                <w:color w:val="auto"/>
              </w:rPr>
            </w:pPr>
          </w:p>
        </w:tc>
        <w:tc>
          <w:tcPr>
            <w:tcW w:w="13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(Unaudited)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72,201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102,280</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Receivables, less allowance for doubtful</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5620" w:type="dxa"/>
            <w:vAlign w:val="bottom"/>
          </w:tcPr>
          <w:p>
            <w:pPr>
              <w:ind w:left="300"/>
              <w:spacing w:after="0"/>
              <w:rPr>
                <w:sz w:val="20"/>
                <w:szCs w:val="20"/>
                <w:color w:val="auto"/>
              </w:rPr>
            </w:pPr>
            <w:r>
              <w:rPr>
                <w:rFonts w:ascii="Courier New" w:cs="Courier New" w:eastAsia="Courier New" w:hAnsi="Courier New"/>
                <w:sz w:val="16"/>
                <w:szCs w:val="16"/>
                <w:color w:val="auto"/>
              </w:rPr>
              <w:t>accounts ($419 and $244, respectively)</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23,004</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21,571</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Dealer financing receivables, less allowance</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5620" w:type="dxa"/>
            <w:vAlign w:val="bottom"/>
          </w:tcPr>
          <w:p>
            <w:pPr>
              <w:ind w:left="300"/>
              <w:spacing w:after="0"/>
              <w:rPr>
                <w:sz w:val="20"/>
                <w:szCs w:val="20"/>
                <w:color w:val="auto"/>
              </w:rPr>
            </w:pPr>
            <w:r>
              <w:rPr>
                <w:rFonts w:ascii="Courier New" w:cs="Courier New" w:eastAsia="Courier New" w:hAnsi="Courier New"/>
                <w:sz w:val="16"/>
                <w:szCs w:val="16"/>
                <w:color w:val="auto"/>
              </w:rPr>
              <w:t>for doubtful accounts ($112 and $117, respectively)</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39,049</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40,263</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96,376</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79,815</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3,595</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3,604</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7,668</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6,723</w:t>
            </w:r>
          </w:p>
        </w:tc>
      </w:tr>
      <w:tr>
        <w:trPr>
          <w:trHeight w:val="190"/>
        </w:trPr>
        <w:tc>
          <w:tcPr>
            <w:tcW w:w="56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ind w:left="500"/>
              <w:spacing w:after="0"/>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241,893</w:t>
            </w:r>
          </w:p>
        </w:tc>
        <w:tc>
          <w:tcPr>
            <w:tcW w:w="2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254,256</w:t>
            </w:r>
          </w:p>
        </w:tc>
      </w:tr>
      <w:tr>
        <w:trPr>
          <w:trHeight w:val="190"/>
        </w:trPr>
        <w:tc>
          <w:tcPr>
            <w:tcW w:w="56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PROPERTY AND EQUIPMENT, at cost</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1,018</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1,029</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46,413</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45,992</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85,301</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82,182</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Transportation equipment</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5,621</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5,482</w:t>
            </w:r>
          </w:p>
        </w:tc>
      </w:tr>
      <w:tr>
        <w:trPr>
          <w:trHeight w:val="190"/>
        </w:trPr>
        <w:tc>
          <w:tcPr>
            <w:tcW w:w="56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138,353</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134,685</w:t>
            </w:r>
          </w:p>
        </w:tc>
      </w:tr>
      <w:tr>
        <w:trPr>
          <w:trHeight w:val="190"/>
        </w:trPr>
        <w:tc>
          <w:tcPr>
            <w:tcW w:w="5620" w:type="dxa"/>
            <w:vAlign w:val="bottom"/>
          </w:tcPr>
          <w:p>
            <w:pPr>
              <w:ind w:left="500"/>
              <w:spacing w:after="0"/>
              <w:rPr>
                <w:sz w:val="20"/>
                <w:szCs w:val="20"/>
                <w:color w:val="auto"/>
              </w:rPr>
            </w:pPr>
            <w:r>
              <w:rPr>
                <w:rFonts w:ascii="Courier New" w:cs="Courier New" w:eastAsia="Courier New" w:hAnsi="Courier New"/>
                <w:sz w:val="16"/>
                <w:szCs w:val="16"/>
                <w:color w:val="auto"/>
              </w:rPr>
              <w:t>Less accumulated depreciation</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92,506</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88,149</w:t>
            </w:r>
          </w:p>
        </w:tc>
      </w:tr>
      <w:tr>
        <w:trPr>
          <w:trHeight w:val="190"/>
        </w:trPr>
        <w:tc>
          <w:tcPr>
            <w:tcW w:w="56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ind w:left="500"/>
              <w:spacing w:after="0"/>
              <w:rPr>
                <w:sz w:val="20"/>
                <w:szCs w:val="20"/>
                <w:color w:val="auto"/>
              </w:rPr>
            </w:pPr>
            <w:r>
              <w:rPr>
                <w:rFonts w:ascii="Courier New" w:cs="Courier New" w:eastAsia="Courier New" w:hAnsi="Courier New"/>
                <w:sz w:val="16"/>
                <w:szCs w:val="16"/>
                <w:color w:val="auto"/>
              </w:rPr>
              <w:t>Total property and equipment, net</w:t>
            </w:r>
          </w:p>
        </w:tc>
        <w:tc>
          <w:tcPr>
            <w:tcW w:w="20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45,847</w:t>
            </w:r>
          </w:p>
        </w:tc>
        <w:tc>
          <w:tcPr>
            <w:tcW w:w="2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46,536</w:t>
            </w:r>
          </w:p>
        </w:tc>
      </w:tr>
      <w:tr>
        <w:trPr>
          <w:trHeight w:val="190"/>
        </w:trPr>
        <w:tc>
          <w:tcPr>
            <w:tcW w:w="56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INVESTMENT IN LIFE INSURANCE</w:t>
            </w:r>
          </w:p>
        </w:tc>
        <w:tc>
          <w:tcPr>
            <w:tcW w:w="20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23,298</w:t>
            </w:r>
          </w:p>
        </w:tc>
        <w:tc>
          <w:tcPr>
            <w:tcW w:w="2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22,223</w:t>
            </w:r>
          </w:p>
        </w:tc>
      </w:tr>
      <w:tr>
        <w:trPr>
          <w:trHeight w:val="190"/>
        </w:trPr>
        <w:tc>
          <w:tcPr>
            <w:tcW w:w="56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DEFERRED INCOME TAXES, NET</w:t>
            </w:r>
          </w:p>
        </w:tc>
        <w:tc>
          <w:tcPr>
            <w:tcW w:w="20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22,087</w:t>
            </w:r>
          </w:p>
        </w:tc>
        <w:tc>
          <w:tcPr>
            <w:tcW w:w="2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21,495</w:t>
            </w:r>
          </w:p>
        </w:tc>
      </w:tr>
      <w:tr>
        <w:trPr>
          <w:trHeight w:val="190"/>
        </w:trPr>
        <w:tc>
          <w:tcPr>
            <w:tcW w:w="56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0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8,475</w:t>
            </w:r>
          </w:p>
        </w:tc>
        <w:tc>
          <w:tcPr>
            <w:tcW w:w="2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7,412</w:t>
            </w:r>
          </w:p>
        </w:tc>
      </w:tr>
      <w:tr>
        <w:trPr>
          <w:trHeight w:val="190"/>
        </w:trPr>
        <w:tc>
          <w:tcPr>
            <w:tcW w:w="56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341,600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351,922</w:t>
            </w:r>
          </w:p>
        </w:tc>
      </w:tr>
      <w:tr>
        <w:trPr>
          <w:trHeight w:val="190"/>
        </w:trPr>
        <w:tc>
          <w:tcPr>
            <w:tcW w:w="56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pacing w:after="0" w:line="3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75" w:right="1440" w:bottom="1440" w:gutter="0" w:footer="0" w:header="0"/>
        </w:sectPr>
      </w:pPr>
    </w:p>
    <w:bookmarkStart w:id="2" w:name="page3"/>
    <w:bookmarkEnd w:id="2"/>
    <w:p>
      <w:pPr>
        <w:jc w:val="center"/>
        <w:ind w:right="2239"/>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CONSOLIDATED BALANCE SHEETS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JUNE 1,</w:t>
            </w:r>
          </w:p>
        </w:tc>
        <w:tc>
          <w:tcPr>
            <w:tcW w:w="2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AUGUST 25,</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0" w:type="dxa"/>
            <w:vAlign w:val="bottom"/>
          </w:tcPr>
          <w:p>
            <w:pPr>
              <w:spacing w:after="0"/>
              <w:rPr>
                <w:sz w:val="16"/>
                <w:szCs w:val="16"/>
                <w:color w:val="auto"/>
              </w:rPr>
            </w:pPr>
          </w:p>
        </w:tc>
        <w:tc>
          <w:tcPr>
            <w:tcW w:w="13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(Unaudited)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Accounts payable, trade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46,207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40,678</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Income tax payable</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11,369</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4,938</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Accrued expenses: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5720" w:type="dxa"/>
            <w:vAlign w:val="bottom"/>
          </w:tcPr>
          <w:p>
            <w:pPr>
              <w:ind w:left="500"/>
              <w:spacing w:after="0"/>
              <w:rPr>
                <w:sz w:val="20"/>
                <w:szCs w:val="20"/>
                <w:color w:val="auto"/>
              </w:rPr>
            </w:pPr>
            <w:r>
              <w:rPr>
                <w:rFonts w:ascii="Courier New" w:cs="Courier New" w:eastAsia="Courier New" w:hAnsi="Courier New"/>
                <w:sz w:val="16"/>
                <w:szCs w:val="16"/>
                <w:color w:val="auto"/>
              </w:rPr>
              <w:t>Insurance</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6,935</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4,567</w:t>
            </w:r>
          </w:p>
        </w:tc>
      </w:tr>
      <w:tr>
        <w:trPr>
          <w:trHeight w:val="190"/>
        </w:trPr>
        <w:tc>
          <w:tcPr>
            <w:tcW w:w="5720" w:type="dxa"/>
            <w:vAlign w:val="bottom"/>
          </w:tcPr>
          <w:p>
            <w:pPr>
              <w:ind w:left="500"/>
              <w:spacing w:after="0"/>
              <w:rPr>
                <w:sz w:val="20"/>
                <w:szCs w:val="20"/>
                <w:color w:val="auto"/>
              </w:rPr>
            </w:pPr>
            <w:r>
              <w:rPr>
                <w:rFonts w:ascii="Courier New" w:cs="Courier New" w:eastAsia="Courier New" w:hAnsi="Courier New"/>
                <w:sz w:val="16"/>
                <w:szCs w:val="16"/>
                <w:color w:val="auto"/>
              </w:rPr>
              <w:t>Product warranties</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8,141</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8,072</w:t>
            </w:r>
          </w:p>
        </w:tc>
      </w:tr>
      <w:tr>
        <w:trPr>
          <w:trHeight w:val="190"/>
        </w:trPr>
        <w:tc>
          <w:tcPr>
            <w:tcW w:w="5720" w:type="dxa"/>
            <w:vAlign w:val="bottom"/>
          </w:tcPr>
          <w:p>
            <w:pPr>
              <w:ind w:left="500"/>
              <w:spacing w:after="0"/>
              <w:rPr>
                <w:sz w:val="20"/>
                <w:szCs w:val="20"/>
                <w:color w:val="auto"/>
              </w:rPr>
            </w:pPr>
            <w:r>
              <w:rPr>
                <w:rFonts w:ascii="Courier New" w:cs="Courier New" w:eastAsia="Courier New" w:hAnsi="Courier New"/>
                <w:sz w:val="16"/>
                <w:szCs w:val="16"/>
                <w:color w:val="auto"/>
              </w:rPr>
              <w:t>Accrued compensation</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16,374</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13,730</w:t>
            </w:r>
          </w:p>
        </w:tc>
      </w:tr>
      <w:tr>
        <w:trPr>
          <w:trHeight w:val="190"/>
        </w:trPr>
        <w:tc>
          <w:tcPr>
            <w:tcW w:w="5720" w:type="dxa"/>
            <w:vAlign w:val="bottom"/>
          </w:tcPr>
          <w:p>
            <w:pPr>
              <w:ind w:left="500"/>
              <w:spacing w:after="0"/>
              <w:rPr>
                <w:sz w:val="20"/>
                <w:szCs w:val="20"/>
                <w:color w:val="auto"/>
              </w:rPr>
            </w:pPr>
            <w:r>
              <w:rPr>
                <w:rFonts w:ascii="Courier New" w:cs="Courier New" w:eastAsia="Courier New" w:hAnsi="Courier New"/>
                <w:sz w:val="16"/>
                <w:szCs w:val="16"/>
                <w:color w:val="auto"/>
              </w:rPr>
              <w:t>Promotional</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10,330</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3,181</w:t>
            </w:r>
          </w:p>
        </w:tc>
      </w:tr>
      <w:tr>
        <w:trPr>
          <w:trHeight w:val="190"/>
        </w:trPr>
        <w:tc>
          <w:tcPr>
            <w:tcW w:w="5720" w:type="dxa"/>
            <w:vAlign w:val="bottom"/>
          </w:tcPr>
          <w:p>
            <w:pPr>
              <w:ind w:left="500"/>
              <w:spacing w:after="0"/>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4,438</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4,842</w:t>
            </w:r>
          </w:p>
        </w:tc>
      </w:tr>
      <w:tr>
        <w:trPr>
          <w:trHeight w:val="190"/>
        </w:trPr>
        <w:tc>
          <w:tcPr>
            <w:tcW w:w="57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720" w:type="dxa"/>
            <w:vAlign w:val="bottom"/>
          </w:tcPr>
          <w:p>
            <w:pPr>
              <w:ind w:left="780"/>
              <w:spacing w:after="0"/>
              <w:rPr>
                <w:sz w:val="20"/>
                <w:szCs w:val="20"/>
                <w:color w:val="auto"/>
              </w:rPr>
            </w:pPr>
            <w:r>
              <w:rPr>
                <w:rFonts w:ascii="Courier New" w:cs="Courier New" w:eastAsia="Courier New" w:hAnsi="Courier New"/>
                <w:sz w:val="16"/>
                <w:szCs w:val="16"/>
                <w:color w:val="auto"/>
              </w:rPr>
              <w:t>Total current liabilities</w:t>
            </w:r>
          </w:p>
        </w:tc>
        <w:tc>
          <w:tcPr>
            <w:tcW w:w="20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103,794</w:t>
            </w:r>
          </w:p>
        </w:tc>
        <w:tc>
          <w:tcPr>
            <w:tcW w:w="2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80,008</w:t>
            </w:r>
          </w:p>
        </w:tc>
      </w:tr>
      <w:tr>
        <w:trPr>
          <w:trHeight w:val="190"/>
        </w:trPr>
        <w:tc>
          <w:tcPr>
            <w:tcW w:w="57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POSTRETIREMENT HEALTH CARE AND DEFERRED</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720" w:type="dxa"/>
            <w:vAlign w:val="bottom"/>
          </w:tcPr>
          <w:p>
            <w:pPr>
              <w:ind w:left="300"/>
              <w:spacing w:after="0"/>
              <w:rPr>
                <w:sz w:val="20"/>
                <w:szCs w:val="20"/>
                <w:color w:val="auto"/>
              </w:rPr>
            </w:pPr>
            <w:r>
              <w:rPr>
                <w:rFonts w:ascii="Courier New" w:cs="Courier New" w:eastAsia="Courier New" w:hAnsi="Courier New"/>
                <w:sz w:val="16"/>
                <w:szCs w:val="16"/>
                <w:color w:val="auto"/>
              </w:rPr>
              <w:t>COMPENSATION BENEFITS</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68,334</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64,450</w:t>
            </w:r>
          </w:p>
        </w:tc>
      </w:tr>
      <w:tr>
        <w:trPr>
          <w:trHeight w:val="190"/>
        </w:trPr>
        <w:tc>
          <w:tcPr>
            <w:tcW w:w="57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Capital stock, common, par value $.50; authorized</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5720" w:type="dxa"/>
            <w:vAlign w:val="bottom"/>
          </w:tcPr>
          <w:p>
            <w:pPr>
              <w:ind w:left="300"/>
              <w:spacing w:after="0"/>
              <w:rPr>
                <w:sz w:val="20"/>
                <w:szCs w:val="20"/>
                <w:color w:val="auto"/>
              </w:rPr>
            </w:pPr>
            <w:r>
              <w:rPr>
                <w:rFonts w:ascii="Courier New" w:cs="Courier New" w:eastAsia="Courier New" w:hAnsi="Courier New"/>
                <w:sz w:val="16"/>
                <w:szCs w:val="16"/>
                <w:color w:val="auto"/>
              </w:rPr>
              <w:t>60,000,000 shares: issued 25,888,000 and 25,886,000</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5720" w:type="dxa"/>
            <w:vAlign w:val="bottom"/>
          </w:tcPr>
          <w:p>
            <w:pPr>
              <w:ind w:left="300"/>
              <w:spacing w:after="0"/>
              <w:rPr>
                <w:sz w:val="20"/>
                <w:szCs w:val="20"/>
                <w:color w:val="auto"/>
              </w:rPr>
            </w:pPr>
            <w:r>
              <w:rPr>
                <w:rFonts w:ascii="Courier New" w:cs="Courier New" w:eastAsia="Courier New" w:hAnsi="Courier New"/>
                <w:sz w:val="16"/>
                <w:szCs w:val="16"/>
                <w:color w:val="auto"/>
              </w:rPr>
              <w:t>shares, respectively</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12,944</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12,943</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Additional paid-in capital</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25,699</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22,261</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Reinvested earnings</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270,316</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234,139</w:t>
            </w:r>
          </w:p>
        </w:tc>
      </w:tr>
      <w:tr>
        <w:trPr>
          <w:trHeight w:val="190"/>
        </w:trPr>
        <w:tc>
          <w:tcPr>
            <w:tcW w:w="57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308,959</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269,343</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Less treasury stock, at cost</w:t>
            </w:r>
          </w:p>
        </w:tc>
        <w:tc>
          <w:tcPr>
            <w:tcW w:w="2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139,487</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61,879</w:t>
            </w:r>
          </w:p>
        </w:tc>
      </w:tr>
      <w:tr>
        <w:trPr>
          <w:trHeight w:val="190"/>
        </w:trPr>
        <w:tc>
          <w:tcPr>
            <w:tcW w:w="57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20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169,472</w:t>
            </w:r>
          </w:p>
        </w:tc>
        <w:tc>
          <w:tcPr>
            <w:tcW w:w="2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207,464</w:t>
            </w:r>
          </w:p>
        </w:tc>
      </w:tr>
      <w:tr>
        <w:trPr>
          <w:trHeight w:val="190"/>
        </w:trPr>
        <w:tc>
          <w:tcPr>
            <w:tcW w:w="57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341,600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351,922</w:t>
            </w:r>
          </w:p>
        </w:tc>
      </w:tr>
      <w:tr>
        <w:trPr>
          <w:trHeight w:val="190"/>
        </w:trPr>
        <w:tc>
          <w:tcPr>
            <w:tcW w:w="572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75" w:right="1440" w:bottom="1440" w:gutter="0" w:footer="0" w:header="0"/>
        </w:sectPr>
      </w:pPr>
    </w:p>
    <w:bookmarkStart w:id="3" w:name="page4"/>
    <w:bookmarkEnd w:id="3"/>
    <w:p>
      <w:pPr>
        <w:ind w:left="1880"/>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UNAUDITED CONSOLIDATED STATEMENTS OF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80" w:type="dxa"/>
            <w:vAlign w:val="bottom"/>
            <w:gridSpan w:val="5"/>
          </w:tcPr>
          <w:p>
            <w:pPr>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758"/>
        </w:trPr>
        <w:tc>
          <w:tcPr>
            <w:tcW w:w="532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5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FORTY</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THIRTY-NINE</w:t>
            </w:r>
          </w:p>
        </w:tc>
      </w:tr>
      <w:tr>
        <w:trPr>
          <w:trHeight w:val="190"/>
        </w:trPr>
        <w:tc>
          <w:tcPr>
            <w:tcW w:w="5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60" w:type="dxa"/>
            <w:vAlign w:val="bottom"/>
            <w:gridSpan w:val="3"/>
          </w:tcPr>
          <w:p>
            <w:pPr>
              <w:jc w:val="right"/>
              <w:ind w:right="318"/>
              <w:spacing w:after="0"/>
              <w:rPr>
                <w:sz w:val="20"/>
                <w:szCs w:val="20"/>
                <w:color w:val="auto"/>
              </w:rPr>
            </w:pPr>
            <w:r>
              <w:rPr>
                <w:rFonts w:ascii="Courier New" w:cs="Courier New" w:eastAsia="Courier New" w:hAnsi="Courier New"/>
                <w:sz w:val="16"/>
                <w:szCs w:val="16"/>
                <w:color w:val="auto"/>
              </w:rPr>
              <w:t>THIRTEEN WEEKS ENDED</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WEEKS ENDED</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WEEKS ENDED</w:t>
            </w:r>
          </w:p>
        </w:tc>
      </w:tr>
      <w:tr>
        <w:trPr>
          <w:trHeight w:val="190"/>
        </w:trPr>
        <w:tc>
          <w:tcPr>
            <w:tcW w:w="532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3"/>
              </w:rPr>
              <w:t>----------------------------</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JUNE 1,</w:t>
            </w:r>
          </w:p>
        </w:tc>
        <w:tc>
          <w:tcPr>
            <w:tcW w:w="4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MAY 26,</w:t>
            </w:r>
          </w:p>
        </w:tc>
        <w:tc>
          <w:tcPr>
            <w:tcW w:w="30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JUNE 1,</w:t>
            </w:r>
          </w:p>
        </w:tc>
        <w:tc>
          <w:tcPr>
            <w:tcW w:w="300" w:type="dxa"/>
            <w:vAlign w:val="bottom"/>
          </w:tcPr>
          <w:p>
            <w:pPr>
              <w:spacing w:after="0"/>
              <w:rPr>
                <w:sz w:val="16"/>
                <w:szCs w:val="16"/>
                <w:color w:val="auto"/>
              </w:rPr>
            </w:pPr>
          </w:p>
        </w:tc>
        <w:tc>
          <w:tcPr>
            <w:tcW w:w="11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MAY 26,</w:t>
            </w:r>
          </w:p>
        </w:tc>
      </w:tr>
      <w:tr>
        <w:trPr>
          <w:trHeight w:val="190"/>
        </w:trPr>
        <w:tc>
          <w:tcPr>
            <w:tcW w:w="5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2002</w:t>
            </w:r>
          </w:p>
        </w:tc>
        <w:tc>
          <w:tcPr>
            <w:tcW w:w="400" w:type="dxa"/>
            <w:vAlign w:val="bottom"/>
          </w:tcPr>
          <w:p>
            <w:pPr>
              <w:spacing w:after="0"/>
              <w:rPr>
                <w:sz w:val="16"/>
                <w:szCs w:val="16"/>
                <w:color w:val="auto"/>
              </w:rPr>
            </w:pPr>
          </w:p>
        </w:tc>
        <w:tc>
          <w:tcPr>
            <w:tcW w:w="11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c>
          <w:tcPr>
            <w:tcW w:w="3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2002</w:t>
            </w:r>
          </w:p>
        </w:tc>
        <w:tc>
          <w:tcPr>
            <w:tcW w:w="300" w:type="dxa"/>
            <w:vAlign w:val="bottom"/>
          </w:tcPr>
          <w:p>
            <w:pPr>
              <w:spacing w:after="0"/>
              <w:rPr>
                <w:sz w:val="16"/>
                <w:szCs w:val="16"/>
                <w:color w:val="auto"/>
              </w:rPr>
            </w:pPr>
          </w:p>
        </w:tc>
        <w:tc>
          <w:tcPr>
            <w:tcW w:w="11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5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246,636</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195,605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607,493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499,615</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209,381</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169,423</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523,068</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436,872</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ind w:left="500"/>
              <w:spacing w:after="0"/>
              <w:rPr>
                <w:sz w:val="20"/>
                <w:szCs w:val="20"/>
                <w:color w:val="auto"/>
              </w:rPr>
            </w:pPr>
            <w:r>
              <w:rPr>
                <w:rFonts w:ascii="Courier New" w:cs="Courier New" w:eastAsia="Courier New" w:hAnsi="Courier New"/>
                <w:sz w:val="16"/>
                <w:szCs w:val="16"/>
                <w:color w:val="auto"/>
              </w:rPr>
              <w:t>Gross profit</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37,255</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26,182</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84,425</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62,743</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5320" w:type="dxa"/>
            <w:vAlign w:val="bottom"/>
          </w:tcPr>
          <w:p>
            <w:pPr>
              <w:ind w:left="500"/>
              <w:spacing w:after="0"/>
              <w:rPr>
                <w:sz w:val="20"/>
                <w:szCs w:val="20"/>
                <w:color w:val="auto"/>
              </w:rPr>
            </w:pPr>
            <w:r>
              <w:rPr>
                <w:rFonts w:ascii="Courier New" w:cs="Courier New" w:eastAsia="Courier New" w:hAnsi="Courier New"/>
                <w:sz w:val="16"/>
                <w:szCs w:val="16"/>
                <w:color w:val="auto"/>
              </w:rPr>
              <w:t>Selling</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4,257</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4,155</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13,567</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12,876</w:t>
            </w:r>
          </w:p>
        </w:tc>
      </w:tr>
      <w:tr>
        <w:trPr>
          <w:trHeight w:val="190"/>
        </w:trPr>
        <w:tc>
          <w:tcPr>
            <w:tcW w:w="5320" w:type="dxa"/>
            <w:vAlign w:val="bottom"/>
          </w:tcPr>
          <w:p>
            <w:pPr>
              <w:ind w:left="500"/>
              <w:spacing w:after="0"/>
              <w:rPr>
                <w:sz w:val="20"/>
                <w:szCs w:val="20"/>
                <w:color w:val="auto"/>
              </w:rPr>
            </w:pPr>
            <w:r>
              <w:rPr>
                <w:rFonts w:ascii="Courier New" w:cs="Courier New" w:eastAsia="Courier New" w:hAnsi="Courier New"/>
                <w:sz w:val="16"/>
                <w:szCs w:val="16"/>
                <w:color w:val="auto"/>
              </w:rPr>
              <w:t>General and administrative</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5,709</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3,929</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14,844</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9,839</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ind w:left="500"/>
              <w:spacing w:after="0"/>
              <w:rPr>
                <w:sz w:val="20"/>
                <w:szCs w:val="20"/>
                <w:color w:val="auto"/>
              </w:rPr>
            </w:pPr>
            <w:r>
              <w:rPr>
                <w:rFonts w:ascii="Courier New" w:cs="Courier New" w:eastAsia="Courier New" w:hAnsi="Courier New"/>
                <w:sz w:val="16"/>
                <w:szCs w:val="16"/>
                <w:color w:val="auto"/>
              </w:rPr>
              <w:t>Total operating expenses</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9,966</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8,084</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28,411</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22,715</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500" w:type="dxa"/>
            <w:vAlign w:val="bottom"/>
          </w:tcPr>
          <w:p>
            <w:pPr>
              <w:spacing w:after="0"/>
              <w:rPr>
                <w:sz w:val="24"/>
                <w:szCs w:val="24"/>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27,289</w:t>
            </w:r>
          </w:p>
        </w:tc>
        <w:tc>
          <w:tcPr>
            <w:tcW w:w="400" w:type="dxa"/>
            <w:vAlign w:val="bottom"/>
          </w:tcPr>
          <w:p>
            <w:pPr>
              <w:spacing w:after="0"/>
              <w:rPr>
                <w:sz w:val="24"/>
                <w:szCs w:val="24"/>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18,098</w:t>
            </w:r>
          </w:p>
        </w:tc>
        <w:tc>
          <w:tcPr>
            <w:tcW w:w="3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56,014</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40,028</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Financial income</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547</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922</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2,351</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2,794</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500" w:type="dxa"/>
            <w:vAlign w:val="bottom"/>
          </w:tcPr>
          <w:p>
            <w:pPr>
              <w:spacing w:after="0"/>
              <w:rPr>
                <w:sz w:val="24"/>
                <w:szCs w:val="24"/>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27,836</w:t>
            </w:r>
          </w:p>
        </w:tc>
        <w:tc>
          <w:tcPr>
            <w:tcW w:w="400" w:type="dxa"/>
            <w:vAlign w:val="bottom"/>
          </w:tcPr>
          <w:p>
            <w:pPr>
              <w:spacing w:after="0"/>
              <w:rPr>
                <w:sz w:val="24"/>
                <w:szCs w:val="24"/>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19,020</w:t>
            </w:r>
          </w:p>
        </w:tc>
        <w:tc>
          <w:tcPr>
            <w:tcW w:w="3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58,365</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42,822</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Provision for taxes</w:t>
            </w:r>
          </w:p>
        </w:tc>
        <w:tc>
          <w:tcPr>
            <w:tcW w:w="500" w:type="dxa"/>
            <w:vAlign w:val="bottom"/>
          </w:tcPr>
          <w:p>
            <w:pPr>
              <w:spacing w:after="0"/>
              <w:rPr>
                <w:sz w:val="24"/>
                <w:szCs w:val="24"/>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9,742</w:t>
            </w:r>
          </w:p>
        </w:tc>
        <w:tc>
          <w:tcPr>
            <w:tcW w:w="400" w:type="dxa"/>
            <w:vAlign w:val="bottom"/>
          </w:tcPr>
          <w:p>
            <w:pPr>
              <w:spacing w:after="0"/>
              <w:rPr>
                <w:sz w:val="24"/>
                <w:szCs w:val="24"/>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6,576</w:t>
            </w:r>
          </w:p>
        </w:tc>
        <w:tc>
          <w:tcPr>
            <w:tcW w:w="3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20,113</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14,598</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Income before cumulative effect of a change in</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5320" w:type="dxa"/>
            <w:vAlign w:val="bottom"/>
          </w:tcPr>
          <w:p>
            <w:pPr>
              <w:ind w:left="300"/>
              <w:spacing w:after="0"/>
              <w:rPr>
                <w:sz w:val="20"/>
                <w:szCs w:val="20"/>
                <w:color w:val="auto"/>
              </w:rPr>
            </w:pPr>
            <w:r>
              <w:rPr>
                <w:rFonts w:ascii="Courier New" w:cs="Courier New" w:eastAsia="Courier New" w:hAnsi="Courier New"/>
                <w:sz w:val="16"/>
                <w:szCs w:val="16"/>
                <w:color w:val="auto"/>
              </w:rPr>
              <w:t>accounting principle</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18,094</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12,444</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38,252</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28,224</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5320" w:type="dxa"/>
            <w:vAlign w:val="bottom"/>
          </w:tcPr>
          <w:p>
            <w:pPr>
              <w:ind w:left="300"/>
              <w:spacing w:after="0"/>
              <w:rPr>
                <w:sz w:val="20"/>
                <w:szCs w:val="20"/>
                <w:color w:val="auto"/>
              </w:rPr>
            </w:pPr>
            <w:r>
              <w:rPr>
                <w:rFonts w:ascii="Courier New" w:cs="Courier New" w:eastAsia="Courier New" w:hAnsi="Courier New"/>
                <w:sz w:val="16"/>
                <w:szCs w:val="16"/>
                <w:color w:val="auto"/>
              </w:rPr>
              <w:t>net of taxes</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 -</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 -</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 -</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(1,050)</w:t>
            </w:r>
          </w:p>
        </w:tc>
      </w:tr>
      <w:tr>
        <w:trPr>
          <w:trHeight w:val="379"/>
        </w:trPr>
        <w:tc>
          <w:tcPr>
            <w:tcW w:w="5320" w:type="dxa"/>
            <w:vAlign w:val="bottom"/>
          </w:tcPr>
          <w:p>
            <w:pPr>
              <w:spacing w:after="0"/>
              <w:rPr>
                <w:sz w:val="24"/>
                <w:szCs w:val="24"/>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18,094</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12,444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38,252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27,174</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Earnings per share - basic (Note 9):</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5320" w:type="dxa"/>
            <w:vAlign w:val="bottom"/>
          </w:tcPr>
          <w:p>
            <w:pPr>
              <w:ind w:left="300"/>
              <w:spacing w:after="0"/>
              <w:rPr>
                <w:sz w:val="20"/>
                <w:szCs w:val="20"/>
                <w:color w:val="auto"/>
              </w:rPr>
            </w:pPr>
            <w:r>
              <w:rPr>
                <w:rFonts w:ascii="Courier New" w:cs="Courier New" w:eastAsia="Courier New" w:hAnsi="Courier New"/>
                <w:sz w:val="16"/>
                <w:szCs w:val="16"/>
                <w:color w:val="auto"/>
              </w:rPr>
              <w:t>Income before cumulative effect of change in</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5320" w:type="dxa"/>
            <w:vAlign w:val="bottom"/>
          </w:tcPr>
          <w:p>
            <w:pPr>
              <w:ind w:left="600"/>
              <w:spacing w:after="0"/>
              <w:rPr>
                <w:sz w:val="20"/>
                <w:szCs w:val="20"/>
                <w:color w:val="auto"/>
              </w:rPr>
            </w:pPr>
            <w:r>
              <w:rPr>
                <w:rFonts w:ascii="Courier New" w:cs="Courier New" w:eastAsia="Courier New" w:hAnsi="Courier New"/>
                <w:sz w:val="16"/>
                <w:szCs w:val="16"/>
                <w:color w:val="auto"/>
              </w:rPr>
              <w:t>accounting principle</w:t>
            </w:r>
          </w:p>
        </w:tc>
        <w:tc>
          <w:tcPr>
            <w:tcW w:w="5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.93</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r>
      <w:tr>
        <w:trPr>
          <w:trHeight w:val="190"/>
        </w:trPr>
        <w:tc>
          <w:tcPr>
            <w:tcW w:w="5320" w:type="dxa"/>
            <w:vAlign w:val="bottom"/>
          </w:tcPr>
          <w:p>
            <w:pPr>
              <w:ind w:left="300"/>
              <w:spacing w:after="0"/>
              <w:rPr>
                <w:sz w:val="20"/>
                <w:szCs w:val="20"/>
                <w:color w:val="auto"/>
              </w:rPr>
            </w:pPr>
            <w:r>
              <w:rPr>
                <w:rFonts w:ascii="Courier New" w:cs="Courier New" w:eastAsia="Courier New" w:hAnsi="Courier New"/>
                <w:sz w:val="16"/>
                <w:szCs w:val="16"/>
                <w:color w:val="auto"/>
              </w:rPr>
              <w:t>Cumulative effect of change in accounting</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5320" w:type="dxa"/>
            <w:vAlign w:val="bottom"/>
          </w:tcPr>
          <w:p>
            <w:pPr>
              <w:ind w:left="600"/>
              <w:spacing w:after="0"/>
              <w:rPr>
                <w:sz w:val="20"/>
                <w:szCs w:val="20"/>
                <w:color w:val="auto"/>
              </w:rPr>
            </w:pPr>
            <w:r>
              <w:rPr>
                <w:rFonts w:ascii="Courier New" w:cs="Courier New" w:eastAsia="Courier New" w:hAnsi="Courier New"/>
                <w:sz w:val="16"/>
                <w:szCs w:val="16"/>
                <w:color w:val="auto"/>
              </w:rPr>
              <w:t>principle</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 -</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 -</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 -</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Income per share</w:t>
            </w:r>
          </w:p>
        </w:tc>
        <w:tc>
          <w:tcPr>
            <w:tcW w:w="5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.93</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Earnings per share - diluted (Note 9):</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5320" w:type="dxa"/>
            <w:vAlign w:val="bottom"/>
          </w:tcPr>
          <w:p>
            <w:pPr>
              <w:ind w:left="300"/>
              <w:spacing w:after="0"/>
              <w:rPr>
                <w:sz w:val="20"/>
                <w:szCs w:val="20"/>
                <w:color w:val="auto"/>
              </w:rPr>
            </w:pPr>
            <w:r>
              <w:rPr>
                <w:rFonts w:ascii="Courier New" w:cs="Courier New" w:eastAsia="Courier New" w:hAnsi="Courier New"/>
                <w:sz w:val="16"/>
                <w:szCs w:val="16"/>
                <w:color w:val="auto"/>
              </w:rPr>
              <w:t>Income before cumulative effect of a change in</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5320" w:type="dxa"/>
            <w:vAlign w:val="bottom"/>
          </w:tcPr>
          <w:p>
            <w:pPr>
              <w:ind w:left="600"/>
              <w:spacing w:after="0"/>
              <w:rPr>
                <w:sz w:val="20"/>
                <w:szCs w:val="20"/>
                <w:color w:val="auto"/>
              </w:rPr>
            </w:pPr>
            <w:r>
              <w:rPr>
                <w:rFonts w:ascii="Courier New" w:cs="Courier New" w:eastAsia="Courier New" w:hAnsi="Courier New"/>
                <w:sz w:val="16"/>
                <w:szCs w:val="16"/>
                <w:color w:val="auto"/>
              </w:rPr>
              <w:t>accounting principle</w:t>
            </w:r>
          </w:p>
        </w:tc>
        <w:tc>
          <w:tcPr>
            <w:tcW w:w="5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.90</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190"/>
        </w:trPr>
        <w:tc>
          <w:tcPr>
            <w:tcW w:w="5320" w:type="dxa"/>
            <w:vAlign w:val="bottom"/>
          </w:tcPr>
          <w:p>
            <w:pPr>
              <w:ind w:left="300"/>
              <w:spacing w:after="0"/>
              <w:rPr>
                <w:sz w:val="20"/>
                <w:szCs w:val="20"/>
                <w:color w:val="auto"/>
              </w:rPr>
            </w:pPr>
            <w:r>
              <w:rPr>
                <w:rFonts w:ascii="Courier New" w:cs="Courier New" w:eastAsia="Courier New" w:hAnsi="Courier New"/>
                <w:sz w:val="16"/>
                <w:szCs w:val="16"/>
                <w:color w:val="auto"/>
              </w:rPr>
              <w:t>Cumulative effect of change in accounting</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5320" w:type="dxa"/>
            <w:vAlign w:val="bottom"/>
          </w:tcPr>
          <w:p>
            <w:pPr>
              <w:ind w:left="600"/>
              <w:spacing w:after="0"/>
              <w:rPr>
                <w:sz w:val="20"/>
                <w:szCs w:val="20"/>
                <w:color w:val="auto"/>
              </w:rPr>
            </w:pPr>
            <w:r>
              <w:rPr>
                <w:rFonts w:ascii="Courier New" w:cs="Courier New" w:eastAsia="Courier New" w:hAnsi="Courier New"/>
                <w:sz w:val="16"/>
                <w:szCs w:val="16"/>
                <w:color w:val="auto"/>
              </w:rPr>
              <w:t>principle</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 -</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 -</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 -</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Income per share</w:t>
            </w:r>
          </w:p>
        </w:tc>
        <w:tc>
          <w:tcPr>
            <w:tcW w:w="5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.90</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Weighted average shares of common stock</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5320" w:type="dxa"/>
            <w:vAlign w:val="bottom"/>
          </w:tcPr>
          <w:p>
            <w:pPr>
              <w:ind w:left="200"/>
              <w:spacing w:after="0"/>
              <w:rPr>
                <w:sz w:val="20"/>
                <w:szCs w:val="20"/>
                <w:color w:val="auto"/>
              </w:rPr>
            </w:pPr>
            <w:r>
              <w:rPr>
                <w:rFonts w:ascii="Courier New" w:cs="Courier New" w:eastAsia="Courier New" w:hAnsi="Courier New"/>
                <w:sz w:val="16"/>
                <w:szCs w:val="16"/>
                <w:color w:val="auto"/>
              </w:rPr>
              <w:t>outstanding:</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5320" w:type="dxa"/>
            <w:vAlign w:val="bottom"/>
          </w:tcPr>
          <w:p>
            <w:pPr>
              <w:ind w:left="600"/>
              <w:spacing w:after="0"/>
              <w:rPr>
                <w:sz w:val="20"/>
                <w:szCs w:val="20"/>
                <w:color w:val="auto"/>
              </w:rPr>
            </w:pPr>
            <w:r>
              <w:rPr>
                <w:rFonts w:ascii="Courier New" w:cs="Courier New" w:eastAsia="Courier New" w:hAnsi="Courier New"/>
                <w:sz w:val="16"/>
                <w:szCs w:val="16"/>
                <w:color w:val="auto"/>
              </w:rPr>
              <w:t>Basic</w:t>
            </w:r>
          </w:p>
        </w:tc>
        <w:tc>
          <w:tcPr>
            <w:tcW w:w="5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19,552</w:t>
            </w:r>
          </w:p>
        </w:tc>
        <w:tc>
          <w:tcPr>
            <w:tcW w:w="4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20,566</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20,337</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20,748</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ind w:left="600"/>
              <w:spacing w:after="0"/>
              <w:rPr>
                <w:sz w:val="20"/>
                <w:szCs w:val="20"/>
                <w:color w:val="auto"/>
              </w:rPr>
            </w:pPr>
            <w:r>
              <w:rPr>
                <w:rFonts w:ascii="Courier New" w:cs="Courier New" w:eastAsia="Courier New" w:hAnsi="Courier New"/>
                <w:sz w:val="16"/>
                <w:szCs w:val="16"/>
                <w:color w:val="auto"/>
              </w:rPr>
              <w:t>Diluted</w:t>
            </w:r>
          </w:p>
        </w:tc>
        <w:tc>
          <w:tcPr>
            <w:tcW w:w="500" w:type="dxa"/>
            <w:vAlign w:val="bottom"/>
          </w:tcPr>
          <w:p>
            <w:pPr>
              <w:spacing w:after="0"/>
              <w:rPr>
                <w:sz w:val="24"/>
                <w:szCs w:val="24"/>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19,995</w:t>
            </w:r>
          </w:p>
        </w:tc>
        <w:tc>
          <w:tcPr>
            <w:tcW w:w="400" w:type="dxa"/>
            <w:vAlign w:val="bottom"/>
          </w:tcPr>
          <w:p>
            <w:pPr>
              <w:spacing w:after="0"/>
              <w:rPr>
                <w:sz w:val="24"/>
                <w:szCs w:val="24"/>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20,885</w:t>
            </w:r>
          </w:p>
        </w:tc>
        <w:tc>
          <w:tcPr>
            <w:tcW w:w="3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20,779</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21,016</w:t>
            </w:r>
          </w:p>
        </w:tc>
      </w:tr>
      <w:tr>
        <w:trPr>
          <w:trHeight w:val="190"/>
        </w:trPr>
        <w:tc>
          <w:tcPr>
            <w:tcW w:w="53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875" w:right="139" w:bottom="430" w:gutter="0" w:footer="0" w:header="0"/>
        </w:sectPr>
      </w:pPr>
    </w:p>
    <w:bookmarkStart w:id="4" w:name="page5"/>
    <w:bookmarkEnd w:id="4"/>
    <w:p>
      <w:pPr>
        <w:jc w:val="center"/>
        <w:ind w:right="2239"/>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UNAUDITED CONSOLIDATED CONDENSED STATEMENTS OF CASH FLOWS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center"/>
              <w:ind w:right="218"/>
              <w:spacing w:after="0"/>
              <w:rPr>
                <w:sz w:val="20"/>
                <w:szCs w:val="20"/>
                <w:color w:val="auto"/>
              </w:rPr>
            </w:pPr>
            <w:r>
              <w:rPr>
                <w:rFonts w:ascii="Courier New" w:cs="Courier New" w:eastAsia="Courier New" w:hAnsi="Courier New"/>
                <w:sz w:val="16"/>
                <w:szCs w:val="16"/>
                <w:color w:val="auto"/>
                <w:w w:val="99"/>
              </w:rPr>
              <w:t>FORTY</w:t>
            </w:r>
          </w:p>
        </w:tc>
        <w:tc>
          <w:tcPr>
            <w:tcW w:w="14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THIRTY-NINE</w:t>
            </w:r>
          </w:p>
        </w:tc>
      </w:tr>
      <w:tr>
        <w:trPr>
          <w:trHeight w:val="190"/>
        </w:trPr>
        <w:tc>
          <w:tcPr>
            <w:tcW w:w="680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300" w:type="dxa"/>
            <w:vAlign w:val="bottom"/>
          </w:tcPr>
          <w:p>
            <w:pPr>
              <w:spacing w:after="0"/>
              <w:rPr>
                <w:sz w:val="16"/>
                <w:szCs w:val="16"/>
                <w:color w:val="auto"/>
              </w:rPr>
            </w:pPr>
          </w:p>
        </w:tc>
        <w:tc>
          <w:tcPr>
            <w:tcW w:w="138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WEEKS ENDED</w:t>
            </w:r>
          </w:p>
        </w:tc>
        <w:tc>
          <w:tcPr>
            <w:tcW w:w="14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WEEKS ENDED</w:t>
            </w:r>
          </w:p>
        </w:tc>
      </w:tr>
      <w:tr>
        <w:trPr>
          <w:trHeight w:val="190"/>
        </w:trPr>
        <w:tc>
          <w:tcPr>
            <w:tcW w:w="6800" w:type="dxa"/>
            <w:vAlign w:val="bottom"/>
          </w:tcPr>
          <w:p>
            <w:pPr>
              <w:spacing w:after="0"/>
              <w:rPr>
                <w:sz w:val="16"/>
                <w:szCs w:val="16"/>
                <w:color w:val="auto"/>
              </w:rPr>
            </w:pPr>
          </w:p>
        </w:tc>
        <w:tc>
          <w:tcPr>
            <w:tcW w:w="316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JUNE 1,</w:t>
            </w:r>
          </w:p>
        </w:tc>
        <w:tc>
          <w:tcPr>
            <w:tcW w:w="4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MAY 26,</w:t>
            </w:r>
          </w:p>
        </w:tc>
      </w:tr>
      <w:tr>
        <w:trPr>
          <w:trHeight w:val="190"/>
        </w:trPr>
        <w:tc>
          <w:tcPr>
            <w:tcW w:w="6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2002</w:t>
            </w:r>
          </w:p>
        </w:tc>
        <w:tc>
          <w:tcPr>
            <w:tcW w:w="400" w:type="dxa"/>
            <w:vAlign w:val="bottom"/>
          </w:tcPr>
          <w:p>
            <w:pPr>
              <w:spacing w:after="0"/>
              <w:rPr>
                <w:sz w:val="16"/>
                <w:szCs w:val="16"/>
                <w:color w:val="auto"/>
              </w:rPr>
            </w:pP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80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38,252</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27,174</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income to net cash provided by</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800" w:type="dxa"/>
            <w:vAlign w:val="bottom"/>
          </w:tcPr>
          <w:p>
            <w:pPr>
              <w:ind w:left="500"/>
              <w:spacing w:after="0"/>
              <w:rPr>
                <w:sz w:val="20"/>
                <w:szCs w:val="20"/>
                <w:color w:val="auto"/>
              </w:rPr>
            </w:pPr>
            <w:r>
              <w:rPr>
                <w:rFonts w:ascii="Courier New" w:cs="Courier New" w:eastAsia="Courier New" w:hAnsi="Courier New"/>
                <w:sz w:val="16"/>
                <w:szCs w:val="16"/>
                <w:color w:val="auto"/>
              </w:rPr>
              <w:t>operating activities: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3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5,906</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5,508</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Tax benefit of employee stock options</w:t>
            </w:r>
          </w:p>
        </w:tc>
        <w:tc>
          <w:tcPr>
            <w:tcW w:w="3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3,292</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 -</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3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165</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122</w:t>
            </w:r>
          </w:p>
        </w:tc>
      </w:tr>
      <w:tr>
        <w:trPr>
          <w:trHeight w:val="190"/>
        </w:trPr>
        <w:tc>
          <w:tcPr>
            <w:tcW w:w="6800" w:type="dxa"/>
            <w:vAlign w:val="bottom"/>
          </w:tcPr>
          <w:p>
            <w:pPr>
              <w:spacing w:after="0"/>
              <w:rPr>
                <w:sz w:val="20"/>
                <w:szCs w:val="20"/>
                <w:color w:val="auto"/>
              </w:rPr>
            </w:pPr>
            <w:r>
              <w:rPr>
                <w:rFonts w:ascii="Courier New" w:cs="Courier New" w:eastAsia="Courier New" w:hAnsi="Courier New"/>
                <w:sz w:val="16"/>
                <w:szCs w:val="16"/>
                <w:color w:val="auto"/>
              </w:rPr>
              <w:t>Change in assets and liabilities: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(Increase) decrease in receivable and other assets</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(1,610)</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10,414</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(Increase) decrease in inventories</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(16,561)</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10,269</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Increase in accounts payable and accrued expenses</w:t>
            </w:r>
          </w:p>
        </w:tc>
        <w:tc>
          <w:tcPr>
            <w:tcW w:w="3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17,355</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1,272</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Increase in income taxes payable</w:t>
            </w:r>
          </w:p>
        </w:tc>
        <w:tc>
          <w:tcPr>
            <w:tcW w:w="3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6,431</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6,073</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Decrease in deferred icome taxes</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(1,537)</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 -</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Increase in postretirement benefits</w:t>
            </w:r>
          </w:p>
        </w:tc>
        <w:tc>
          <w:tcPr>
            <w:tcW w:w="3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4,075</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4,967</w:t>
            </w:r>
          </w:p>
        </w:tc>
      </w:tr>
      <w:tr>
        <w:trPr>
          <w:trHeight w:val="190"/>
        </w:trPr>
        <w:tc>
          <w:tcPr>
            <w:tcW w:w="680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80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55,768</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65,799</w:t>
            </w:r>
          </w:p>
        </w:tc>
      </w:tr>
      <w:tr>
        <w:trPr>
          <w:trHeight w:val="190"/>
        </w:trPr>
        <w:tc>
          <w:tcPr>
            <w:tcW w:w="680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flows used by investing activities: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Purchases of property and equipment</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(5,418)</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(6,577)</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Investments in dealer receivables</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(87,819)</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(82,464)</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Collections of dealer receivables</w:t>
            </w:r>
          </w:p>
        </w:tc>
        <w:tc>
          <w:tcPr>
            <w:tcW w:w="3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89,025</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78,464</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(2,099)</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(2,564)</w:t>
            </w:r>
          </w:p>
        </w:tc>
      </w:tr>
      <w:tr>
        <w:trPr>
          <w:trHeight w:val="190"/>
        </w:trPr>
        <w:tc>
          <w:tcPr>
            <w:tcW w:w="680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800" w:type="dxa"/>
            <w:vAlign w:val="bottom"/>
          </w:tcPr>
          <w:p>
            <w:pPr>
              <w:spacing w:after="0"/>
              <w:rPr>
                <w:sz w:val="20"/>
                <w:szCs w:val="20"/>
                <w:color w:val="auto"/>
              </w:rPr>
            </w:pPr>
            <w:r>
              <w:rPr>
                <w:rFonts w:ascii="Courier New" w:cs="Courier New" w:eastAsia="Courier New" w:hAnsi="Courier New"/>
                <w:sz w:val="16"/>
                <w:szCs w:val="16"/>
                <w:color w:val="auto"/>
              </w:rPr>
              <w:t>Net cash used by investing activities</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(6,311)</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(13,141)</w:t>
            </w:r>
          </w:p>
        </w:tc>
      </w:tr>
      <w:tr>
        <w:trPr>
          <w:trHeight w:val="190"/>
        </w:trPr>
        <w:tc>
          <w:tcPr>
            <w:tcW w:w="680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flows used by financing activities and capital transactions: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Payments for purchase of common stock</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(81,778)</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(10,686)</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Payment of cash dividends</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(2,075)</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(2,062)</w:t>
            </w:r>
          </w:p>
        </w:tc>
      </w:tr>
      <w:tr>
        <w:trPr>
          <w:trHeight w:val="190"/>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Proceeds from issuance of common stock (including treasury stock)</w:t>
            </w:r>
          </w:p>
        </w:tc>
        <w:tc>
          <w:tcPr>
            <w:tcW w:w="30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4,317</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1,829</w:t>
            </w:r>
          </w:p>
        </w:tc>
      </w:tr>
      <w:tr>
        <w:trPr>
          <w:trHeight w:val="190"/>
        </w:trPr>
        <w:tc>
          <w:tcPr>
            <w:tcW w:w="680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800" w:type="dxa"/>
            <w:vAlign w:val="bottom"/>
          </w:tcPr>
          <w:p>
            <w:pPr>
              <w:spacing w:after="0"/>
              <w:rPr>
                <w:sz w:val="20"/>
                <w:szCs w:val="20"/>
                <w:color w:val="auto"/>
              </w:rPr>
            </w:pPr>
            <w:r>
              <w:rPr>
                <w:rFonts w:ascii="Courier New" w:cs="Courier New" w:eastAsia="Courier New" w:hAnsi="Courier New"/>
                <w:sz w:val="16"/>
                <w:szCs w:val="16"/>
                <w:color w:val="auto"/>
              </w:rPr>
              <w:t>Net cash used by financing activities and</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800" w:type="dxa"/>
            <w:vAlign w:val="bottom"/>
          </w:tcPr>
          <w:p>
            <w:pPr>
              <w:ind w:left="300"/>
              <w:spacing w:after="0"/>
              <w:rPr>
                <w:sz w:val="20"/>
                <w:szCs w:val="20"/>
                <w:color w:val="auto"/>
              </w:rPr>
            </w:pPr>
            <w:r>
              <w:rPr>
                <w:rFonts w:ascii="Courier New" w:cs="Courier New" w:eastAsia="Courier New" w:hAnsi="Courier New"/>
                <w:sz w:val="16"/>
                <w:szCs w:val="16"/>
                <w:color w:val="auto"/>
              </w:rPr>
              <w:t>capital transactions</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(79,536)</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(10,919)</w:t>
            </w:r>
          </w:p>
        </w:tc>
      </w:tr>
      <w:tr>
        <w:trPr>
          <w:trHeight w:val="190"/>
        </w:trPr>
        <w:tc>
          <w:tcPr>
            <w:tcW w:w="680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800" w:type="dxa"/>
            <w:vAlign w:val="bottom"/>
          </w:tcPr>
          <w:p>
            <w:pPr>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3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(30,079)</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41,739</w:t>
            </w:r>
          </w:p>
        </w:tc>
      </w:tr>
      <w:tr>
        <w:trPr>
          <w:trHeight w:val="379"/>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and cash equivalents - beginning of period</w:t>
            </w:r>
          </w:p>
        </w:tc>
        <w:tc>
          <w:tcPr>
            <w:tcW w:w="30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102,280</w:t>
            </w:r>
          </w:p>
        </w:tc>
        <w:tc>
          <w:tcPr>
            <w:tcW w:w="40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51,443</w:t>
            </w:r>
          </w:p>
        </w:tc>
      </w:tr>
      <w:tr>
        <w:trPr>
          <w:trHeight w:val="190"/>
        </w:trPr>
        <w:tc>
          <w:tcPr>
            <w:tcW w:w="680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and cash equivalents - end of period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72,201</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93,182</w:t>
            </w:r>
          </w:p>
        </w:tc>
      </w:tr>
      <w:tr>
        <w:trPr>
          <w:trHeight w:val="190"/>
        </w:trPr>
        <w:tc>
          <w:tcPr>
            <w:tcW w:w="680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75" w:right="1440" w:bottom="1440" w:gutter="0" w:footer="0" w:header="0"/>
        </w:sectPr>
      </w:pPr>
    </w:p>
    <w:bookmarkStart w:id="5" w:name="page6"/>
    <w:bookmarkEnd w:id="5"/>
    <w:p>
      <w:pPr>
        <w:ind w:left="1880"/>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UNAUDITED CONDENSED NOTES TO CONSOLIDATED FINANCIAL STATEMENTS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BASIS OF PRESENTATION</w:t>
      </w:r>
    </w:p>
    <w:p>
      <w:pPr>
        <w:spacing w:after="0" w:line="198" w:lineRule="exact"/>
        <w:rPr>
          <w:sz w:val="20"/>
          <w:szCs w:val="20"/>
          <w:color w:val="auto"/>
        </w:rPr>
      </w:pPr>
    </w:p>
    <w:p>
      <w:pPr>
        <w:ind w:left="500" w:right="2339"/>
        <w:spacing w:after="0" w:line="251" w:lineRule="auto"/>
        <w:rPr>
          <w:sz w:val="20"/>
          <w:szCs w:val="20"/>
          <w:color w:val="auto"/>
        </w:rPr>
      </w:pPr>
      <w:r>
        <w:rPr>
          <w:rFonts w:ascii="Courier New" w:cs="Courier New" w:eastAsia="Courier New" w:hAnsi="Courier New"/>
          <w:sz w:val="16"/>
          <w:szCs w:val="16"/>
          <w:color w:val="auto"/>
        </w:rPr>
        <w:t>In the opinion of management, the accompanying unaudited consolidated condensed financial statements contain all adjustments, consisting of normal recurring accruals, necessary to present fairly the consolidated financial position as of June 1, 2002, the consolidated results of operations for the 40 and 13 weeks ended June 1, 2002 and the 39 and 13 weeks ended May 26, 2001, and the consolidated cash flows for the 40 weeks ended June 1, 2002 and the 39 weeks ended May 26, 2001. The statement of income for the 40 weeks ended June 1, 2002, is not necessarily indicative of the results to be expected for the full year. The balance sheet data as of August 25, 2001 was derived from audited financial statements, but does not include all disclosures contained in the Company's Annual Report to Shareholders for the year ended August 25, 2001. These interim consolidated financial statements should be read in conjunction with the audited financial statements and notes thereto appearing in the Company's Annual Report to Shareholders for the year ended August 25,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NEW ACCOUNTING PRONOUNCEMENTS</w:t>
      </w:r>
    </w:p>
    <w:p>
      <w:pPr>
        <w:spacing w:after="0" w:line="198" w:lineRule="exact"/>
        <w:rPr>
          <w:sz w:val="20"/>
          <w:szCs w:val="20"/>
          <w:color w:val="auto"/>
        </w:rPr>
      </w:pPr>
    </w:p>
    <w:p>
      <w:pPr>
        <w:ind w:left="500" w:right="2339"/>
        <w:spacing w:after="0" w:line="251" w:lineRule="auto"/>
        <w:rPr>
          <w:sz w:val="20"/>
          <w:szCs w:val="20"/>
          <w:color w:val="auto"/>
        </w:rPr>
      </w:pPr>
      <w:r>
        <w:rPr>
          <w:rFonts w:ascii="Courier New" w:cs="Courier New" w:eastAsia="Courier New" w:hAnsi="Courier New"/>
          <w:sz w:val="16"/>
          <w:szCs w:val="16"/>
          <w:color w:val="auto"/>
        </w:rPr>
        <w:t>On August 27, 2000, the Company adopted the Securities and Exchange Commission's (SEC) Staff Accounting Bulletin (SAB) No. 101 - REVENUE RECOGNITION IN FINANCIAL STATEMENTS, which the SEC staff issued in December 1999. SAB No. 101 sets forth the SEC staff's views concerning revenue recognition. As a result of SAB No. 101 the Company began recording revenue upon receipt of products by Winnebago Industries' dealers rather than upon shipment by the Company. This change required an adjustment to income in the Company's first quarter 2001 results, which reflects the cumulative effect on the prior year's results due to the application of SAB No. 101.</w:t>
      </w:r>
    </w:p>
    <w:p>
      <w:pPr>
        <w:spacing w:after="0" w:line="190" w:lineRule="exact"/>
        <w:rPr>
          <w:sz w:val="20"/>
          <w:szCs w:val="20"/>
          <w:color w:val="auto"/>
        </w:rPr>
      </w:pPr>
    </w:p>
    <w:p>
      <w:pPr>
        <w:ind w:left="500" w:right="2339"/>
        <w:spacing w:after="0" w:line="251" w:lineRule="auto"/>
        <w:rPr>
          <w:sz w:val="20"/>
          <w:szCs w:val="20"/>
          <w:color w:val="auto"/>
        </w:rPr>
      </w:pPr>
      <w:r>
        <w:rPr>
          <w:rFonts w:ascii="Courier New" w:cs="Courier New" w:eastAsia="Courier New" w:hAnsi="Courier New"/>
          <w:sz w:val="16"/>
          <w:szCs w:val="16"/>
          <w:color w:val="auto"/>
        </w:rPr>
        <w:t>In July 2001, the Financial Accounting Standards Board (FASB) issued Statement of Financial Accounting Standards (SFAS) No. 141, "Business Combinations." SFAS No. 141 establishes new standards for accounting and reporting requirements for business combinations and requires that the purchase method of accounting be used for all business combinations initiated after June 30, 2001. Use of the pooling-of-interests method will be prohibited. In July 2001, the FASB also issued SFAS No. 142, "Goodwill and Other Intangible Assets." SFAS No. 142 establishes new standards for goodwill acquired in a business combination and eliminates amortization of goodwill and instead sets forth methods to periodically evaluate goodwill for impairment. The Company expects to adopt these statements on September 1, 2002, the beginning of the first quarter of the Company's 2003 fiscal year. Management does not believe that either SFAS No. 141 or 142 will have a material impact on the Company's consolidated financial statements.</w:t>
      </w:r>
    </w:p>
    <w:p>
      <w:pPr>
        <w:spacing w:after="0" w:line="190" w:lineRule="exact"/>
        <w:rPr>
          <w:sz w:val="20"/>
          <w:szCs w:val="20"/>
          <w:color w:val="auto"/>
        </w:rPr>
      </w:pPr>
    </w:p>
    <w:p>
      <w:pPr>
        <w:ind w:left="500" w:right="2339"/>
        <w:spacing w:after="0" w:line="251"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SFAS No. 143 required entities to record the fair value of a liability for an asset retirement obligation in the period in which it is incurred. Also, in September 2001, the FASB issued SFAS No. 144, "Accounting for the Impairment or Disposal of Long-Lived Assets," which addresses financial accounting and reporting for the impairment or disposal of long-lived assets. While SFAS No. 144 supersedes SFAS No. 121, "Accounting for the Impairment of Long-Lived Assets and for Long-Lived Assets to be Disposed Of," it retains many of the fundamental provisions of that statement. The Company is required to adopt SFAS Nos. 143 and 144 in fiscal 2003. The Company is reviewing the impact of SFAS Nos. 143 and 144, and does not believe adoption of either of these new standards will have a material affect on the Company's financial statements.</w:t>
      </w:r>
    </w:p>
    <w:p>
      <w:pPr>
        <w:spacing w:after="0" w:line="3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75" w:right="1440" w:bottom="1440" w:gutter="0" w:footer="0" w:header="0"/>
        </w:sectPr>
      </w:pPr>
    </w:p>
    <w:bookmarkStart w:id="6" w:name="page7"/>
    <w:bookmarkEnd w:id="6"/>
    <w:p>
      <w:pPr>
        <w:ind w:left="500" w:right="2439"/>
        <w:spacing w:after="0" w:line="251" w:lineRule="auto"/>
        <w:rPr>
          <w:sz w:val="20"/>
          <w:szCs w:val="20"/>
          <w:color w:val="auto"/>
        </w:rPr>
      </w:pPr>
      <w:r>
        <w:rPr>
          <w:rFonts w:ascii="Courier New" w:cs="Courier New" w:eastAsia="Courier New" w:hAnsi="Courier New"/>
          <w:sz w:val="16"/>
          <w:szCs w:val="16"/>
          <w:color w:val="auto"/>
        </w:rPr>
        <w:t>The Company adopted Emerging Issues Task Force (EITF) Issue No. 01-9, ACCOUNTING FOR CONSIDERATION GIVEN BY A VENDOR TO A CUSTOMER OR A RESELLER OF THE VENDOR'S PRODUCTS, at the beginning of the third quarter of fiscal 2002. This guidance was effective for periods beginning after December 15,</w:t>
      </w:r>
    </w:p>
    <w:p>
      <w:pPr>
        <w:ind w:left="500" w:right="2339"/>
        <w:spacing w:after="0" w:line="251" w:lineRule="auto"/>
        <w:rPr>
          <w:sz w:val="20"/>
          <w:szCs w:val="20"/>
          <w:color w:val="auto"/>
        </w:rPr>
      </w:pPr>
      <w:r>
        <w:rPr>
          <w:rFonts w:ascii="Courier New" w:cs="Courier New" w:eastAsia="Courier New" w:hAnsi="Courier New"/>
          <w:sz w:val="16"/>
          <w:szCs w:val="16"/>
          <w:color w:val="auto"/>
        </w:rPr>
        <w:t>2001. EITF 01-9 requires that certain payments to customers for cooperative advertising and certain sales incentive offers that were historically classified in selling expense be shown as a reduction in net revenues. The adoption of EITF 01-9 resulted in a reduction of previously reported net revenues (and an offsetting reduction of selling expense) of $4.1 million for the 39 weeks ended May 26, 2001 ($1.4 million for the 13 weeks ended May 26, 2001). The adoption of this new accounting policy had no impact on previously reported operating income, net income, or earnings per share.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INVENTORIES</w:t>
      </w:r>
    </w:p>
    <w:p>
      <w:pPr>
        <w:spacing w:after="0" w:line="198" w:lineRule="exact"/>
        <w:rPr>
          <w:sz w:val="20"/>
          <w:szCs w:val="20"/>
          <w:color w:val="auto"/>
        </w:rPr>
      </w:pPr>
    </w:p>
    <w:p>
      <w:pPr>
        <w:ind w:left="500" w:right="2339"/>
        <w:spacing w:after="0" w:line="253" w:lineRule="auto"/>
        <w:rPr>
          <w:sz w:val="20"/>
          <w:szCs w:val="20"/>
          <w:color w:val="auto"/>
        </w:rPr>
      </w:pPr>
      <w:r>
        <w:rPr>
          <w:rFonts w:ascii="Courier New" w:cs="Courier New" w:eastAsia="Courier New" w:hAnsi="Courier New"/>
          <w:sz w:val="16"/>
          <w:szCs w:val="16"/>
          <w:color w:val="auto"/>
        </w:rPr>
        <w:t>Inventories are valued at the lower of cost or market, with cost being determined under the last-in, first-out (LIFO) method and market defined as net realizable value.</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Inventories are composed of the following (dollars in thousands):</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w w:val="98"/>
              </w:rPr>
              <w:t>June 1,</w:t>
            </w:r>
          </w:p>
        </w:tc>
        <w:tc>
          <w:tcPr>
            <w:tcW w:w="3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August 25,</w:t>
            </w:r>
          </w:p>
        </w:tc>
      </w:tr>
      <w:tr>
        <w:trPr>
          <w:trHeight w:val="190"/>
        </w:trPr>
        <w:tc>
          <w:tcPr>
            <w:tcW w:w="2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2002</w:t>
            </w:r>
          </w:p>
        </w:tc>
        <w:tc>
          <w:tcPr>
            <w:tcW w:w="300" w:type="dxa"/>
            <w:vAlign w:val="bottom"/>
          </w:tcPr>
          <w:p>
            <w:pPr>
              <w:spacing w:after="0"/>
              <w:rPr>
                <w:sz w:val="16"/>
                <w:szCs w:val="16"/>
                <w:color w:val="auto"/>
              </w:rPr>
            </w:pP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276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2760" w:type="dxa"/>
            <w:vAlign w:val="bottom"/>
          </w:tcPr>
          <w:p>
            <w:pPr>
              <w:spacing w:after="0"/>
              <w:rPr>
                <w:sz w:val="20"/>
                <w:szCs w:val="20"/>
                <w:color w:val="auto"/>
              </w:rPr>
            </w:pPr>
            <w:r>
              <w:rPr>
                <w:rFonts w:ascii="Courier New" w:cs="Courier New" w:eastAsia="Courier New" w:hAnsi="Courier New"/>
                <w:sz w:val="16"/>
                <w:szCs w:val="16"/>
                <w:color w:val="auto"/>
              </w:rPr>
              <w:t>Finished goods ...........</w:t>
            </w:r>
          </w:p>
        </w:tc>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34,520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36,930</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rPr>
              <w:t>Work in process ..........</w:t>
            </w:r>
          </w:p>
        </w:tc>
        <w:tc>
          <w:tcPr>
            <w:tcW w:w="50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24,083</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21,725</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rPr>
              <w:t>Raw materials ............</w:t>
            </w:r>
          </w:p>
        </w:tc>
        <w:tc>
          <w:tcPr>
            <w:tcW w:w="50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61,964</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44,232</w:t>
            </w:r>
          </w:p>
        </w:tc>
      </w:tr>
      <w:tr>
        <w:trPr>
          <w:trHeight w:val="190"/>
        </w:trPr>
        <w:tc>
          <w:tcPr>
            <w:tcW w:w="276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120,567</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102,887</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rPr>
              <w:t>LIFO reserve .............</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(24,191)</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(23,072)</w:t>
            </w:r>
          </w:p>
        </w:tc>
      </w:tr>
      <w:tr>
        <w:trPr>
          <w:trHeight w:val="190"/>
        </w:trPr>
        <w:tc>
          <w:tcPr>
            <w:tcW w:w="276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760" w:type="dxa"/>
            <w:vAlign w:val="bottom"/>
          </w:tcPr>
          <w:p>
            <w:pPr>
              <w:spacing w:after="0"/>
              <w:rPr>
                <w:sz w:val="16"/>
                <w:szCs w:val="16"/>
                <w:color w:val="auto"/>
              </w:rPr>
            </w:pPr>
          </w:p>
        </w:tc>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96,376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79,815</w:t>
            </w:r>
          </w:p>
        </w:tc>
      </w:tr>
      <w:tr>
        <w:trPr>
          <w:trHeight w:val="190"/>
        </w:trPr>
        <w:tc>
          <w:tcPr>
            <w:tcW w:w="276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LINE OF CREDIT</w:t>
      </w:r>
    </w:p>
    <w:p>
      <w:pPr>
        <w:spacing w:after="0" w:line="198" w:lineRule="exact"/>
        <w:rPr>
          <w:sz w:val="20"/>
          <w:szCs w:val="20"/>
          <w:color w:val="auto"/>
        </w:rPr>
      </w:pPr>
    </w:p>
    <w:p>
      <w:pPr>
        <w:ind w:left="500" w:right="2339"/>
        <w:spacing w:after="0" w:line="252" w:lineRule="auto"/>
        <w:rPr>
          <w:sz w:val="20"/>
          <w:szCs w:val="20"/>
          <w:color w:val="auto"/>
        </w:rPr>
      </w:pPr>
      <w:r>
        <w:rPr>
          <w:rFonts w:ascii="Courier New" w:cs="Courier New" w:eastAsia="Courier New" w:hAnsi="Courier New"/>
          <w:sz w:val="16"/>
          <w:szCs w:val="16"/>
          <w:color w:val="auto"/>
        </w:rPr>
        <w:t>On October 19, 2000, the Company entered into an unsecured Credit Agreement with Wells Fargo Bank Iowa, National Association, as amended. The Credit Agreement provided the Company with a line of credit of $20,000,000. The Company did not renew this agreement when it expired on January 31, 2002.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CONTINGENT LIABILITIES AND COMMITMENTS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It is customary practice for manufacturers in the recreation vehicle</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industry to enter into repurchase agreements with lending institutions</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which have provided wholesale floorplan financing to dealers. The Company's</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agreements provide for the repurchase of its products from the financing</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institution in the event of repossession upon a dealer's default. The</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Company was contingently liable for approximately $262,514,000 and</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$216,784,000 under repurchase agreements with lending institutions as of</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June 1, 2002 and August 25, 2001, respectively. Included in these</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contingent liabilities as of June 1, 2002 and August 25, 2001 are</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approximately $1,254,000 and $3,276,000, respectively, of certain dealer</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receivables subject to recourse agreements with Bank of America Specialty</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Group and Conseco Finance Servicing Group. Also included in these</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contingent liabilities are approximately $1,789,000 and $0 under a</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repurchase agreement with Transamerica Commercial Finance Corporation,</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Canada (Transamerica) as of June 1, 2002 and August 25, 2001, respectively.</w:t>
      </w:r>
    </w:p>
    <w:p>
      <w:pPr>
        <w:spacing w:after="0" w:line="198" w:lineRule="exact"/>
        <w:rPr>
          <w:sz w:val="20"/>
          <w:szCs w:val="20"/>
          <w:color w:val="auto"/>
        </w:rPr>
      </w:pPr>
    </w:p>
    <w:p>
      <w:pPr>
        <w:ind w:left="500" w:right="2439"/>
        <w:spacing w:after="0" w:line="251" w:lineRule="auto"/>
        <w:rPr>
          <w:sz w:val="20"/>
          <w:szCs w:val="20"/>
          <w:color w:val="auto"/>
        </w:rPr>
      </w:pPr>
      <w:r>
        <w:rPr>
          <w:rFonts w:ascii="Courier New" w:cs="Courier New" w:eastAsia="Courier New" w:hAnsi="Courier New"/>
          <w:sz w:val="16"/>
          <w:szCs w:val="16"/>
          <w:color w:val="auto"/>
        </w:rPr>
        <w:t>During the second quarter of fiscal 2002, the Company guaranteed to a bank certain interest bearing debt obligations of Forest City Economic Development, Inc. totaling an amount of up to but not to exceed $700,000 and agreed to pledge a $500,000 certificate of deposit to said bank. Mr. John V. Hanson, a director of the Company, is also a director of the bank and its parent and owns approximately 33.3 percent of the parent's outstanding stock. Mary Jo Boman, the wife of Gerald E. Boman, a director of the Company, is also director of the bank and its parent and owns approximately 33.3 percent of the parent's outstanding stock. The Company believes that this obligation will be repaid in full and has therefore provided no reserve for this contingency at June 1, 2002.</w:t>
      </w:r>
    </w:p>
    <w:p>
      <w:pPr>
        <w:sectPr>
          <w:pgSz w:w="11900" w:h="16838" w:orient="portrait"/>
          <w:cols w:equalWidth="0" w:num="1">
            <w:col w:w="10219"/>
          </w:cols>
          <w:pgMar w:left="240" w:top="87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NOTE 6: SUPPLEMENTAL CASH FLOW DISCLOSURE</w:t>
      </w:r>
    </w:p>
    <w:p>
      <w:pPr>
        <w:spacing w:after="0" w:line="198" w:lineRule="exact"/>
        <w:rPr>
          <w:sz w:val="20"/>
          <w:szCs w:val="20"/>
          <w:color w:val="auto"/>
        </w:rPr>
      </w:pPr>
    </w:p>
    <w:p>
      <w:pPr>
        <w:ind w:left="500" w:right="2339"/>
        <w:spacing w:after="0" w:line="255" w:lineRule="auto"/>
        <w:rPr>
          <w:sz w:val="20"/>
          <w:szCs w:val="20"/>
          <w:color w:val="auto"/>
        </w:rPr>
      </w:pPr>
      <w:r>
        <w:rPr>
          <w:rFonts w:ascii="Courier New" w:cs="Courier New" w:eastAsia="Courier New" w:hAnsi="Courier New"/>
          <w:sz w:val="16"/>
          <w:szCs w:val="16"/>
          <w:color w:val="auto"/>
        </w:rPr>
        <w:t>For the periods indicated, the Company paid cash for the following (dollars in thousands):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Courier New" w:cs="Courier New" w:eastAsia="Courier New" w:hAnsi="Courier New"/>
                <w:sz w:val="16"/>
                <w:szCs w:val="16"/>
                <w:color w:val="auto"/>
                <w:w w:val="99"/>
              </w:rPr>
              <w:t>Forty</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Thirty-Nine</w:t>
            </w:r>
          </w:p>
        </w:tc>
      </w:tr>
      <w:tr>
        <w:trPr>
          <w:trHeight w:val="190"/>
        </w:trPr>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Weeks Ended</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Weeks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Ended</w:t>
            </w:r>
          </w:p>
        </w:tc>
      </w:tr>
      <w:tr>
        <w:trPr>
          <w:trHeight w:val="190"/>
        </w:trPr>
        <w:tc>
          <w:tcPr>
            <w:tcW w:w="138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June 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May</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w:t>
            </w:r>
          </w:p>
        </w:tc>
      </w:tr>
      <w:tr>
        <w:trPr>
          <w:trHeight w:val="190"/>
        </w:trPr>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2002</w:t>
            </w: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138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138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246</w:t>
            </w:r>
          </w:p>
        </w:tc>
        <w:tc>
          <w:tcPr>
            <w:tcW w:w="8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90"/>
        </w:trPr>
        <w:tc>
          <w:tcPr>
            <w:tcW w:w="13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11,717</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7,020</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DIVIDEND DECLARED</w:t>
      </w:r>
    </w:p>
    <w:p>
      <w:pPr>
        <w:spacing w:after="0" w:line="198" w:lineRule="exact"/>
        <w:rPr>
          <w:sz w:val="20"/>
          <w:szCs w:val="20"/>
          <w:color w:val="auto"/>
        </w:rPr>
      </w:pPr>
    </w:p>
    <w:p>
      <w:pPr>
        <w:ind w:left="500" w:right="2339"/>
        <w:spacing w:after="0" w:line="253" w:lineRule="auto"/>
        <w:rPr>
          <w:sz w:val="20"/>
          <w:szCs w:val="20"/>
          <w:color w:val="auto"/>
        </w:rPr>
      </w:pPr>
      <w:r>
        <w:rPr>
          <w:rFonts w:ascii="Courier New" w:cs="Courier New" w:eastAsia="Courier New" w:hAnsi="Courier New"/>
          <w:sz w:val="16"/>
          <w:szCs w:val="16"/>
          <w:color w:val="auto"/>
        </w:rPr>
        <w:t>On June 19, 2002, the Board of Directors declared a cash dividend of $.10 per common share payable July 8, 2002, to shareholders of record on June 7, 2002.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REPURCHASE OF OUTSTANDING STOCK</w:t>
      </w:r>
    </w:p>
    <w:p>
      <w:pPr>
        <w:spacing w:after="0" w:line="198" w:lineRule="exact"/>
        <w:rPr>
          <w:sz w:val="20"/>
          <w:szCs w:val="20"/>
          <w:color w:val="auto"/>
        </w:rPr>
      </w:pPr>
    </w:p>
    <w:p>
      <w:pPr>
        <w:ind w:left="500" w:right="2439"/>
        <w:spacing w:after="0" w:line="253" w:lineRule="auto"/>
        <w:rPr>
          <w:sz w:val="20"/>
          <w:szCs w:val="20"/>
          <w:color w:val="auto"/>
        </w:rPr>
      </w:pPr>
      <w:r>
        <w:rPr>
          <w:rFonts w:ascii="Courier New" w:cs="Courier New" w:eastAsia="Courier New" w:hAnsi="Courier New"/>
          <w:sz w:val="16"/>
          <w:szCs w:val="16"/>
          <w:color w:val="auto"/>
        </w:rPr>
        <w:t>On June 19, 2002, the Board of Directors authorized the repurchase of outstanding shares of the Company's common stock for an aggregate purchase price of up to $15,000,000.</w:t>
      </w:r>
    </w:p>
    <w:p>
      <w:pPr>
        <w:spacing w:after="0" w:line="185" w:lineRule="exact"/>
        <w:rPr>
          <w:sz w:val="20"/>
          <w:szCs w:val="20"/>
          <w:color w:val="auto"/>
        </w:rPr>
      </w:pPr>
    </w:p>
    <w:p>
      <w:pPr>
        <w:ind w:left="500" w:right="2339"/>
        <w:spacing w:after="0" w:line="251" w:lineRule="auto"/>
        <w:rPr>
          <w:sz w:val="20"/>
          <w:szCs w:val="20"/>
          <w:color w:val="auto"/>
        </w:rPr>
      </w:pPr>
      <w:r>
        <w:rPr>
          <w:rFonts w:ascii="Courier New" w:cs="Courier New" w:eastAsia="Courier New" w:hAnsi="Courier New"/>
          <w:sz w:val="16"/>
          <w:szCs w:val="16"/>
          <w:color w:val="auto"/>
        </w:rPr>
        <w:t>In April 2002, pursuant to an authorization of the Board of Directors, the Company repurchased 2,100,000 shares of common stock from Hanson Capital Partners, LLC ("HCP"). HCP is a Delaware limited liability company whose members are the Luise V. Hanson Qualified Terminable Interest Property Marital Deduction Trust (the "QTIP Trust"), which has a 34.9 percent membership interest in HCP, and the Luise V. Hanson Revocable Trust, dated September 22, 1984 (the "Revocable Trust"), which has a 65.1 percent membership interest in HCP. John V. Hanson, a director of the Company, Mary Jo Boman, the wife of Gerald E. Boman, a director of the Company, Paul D. Hanson and Bessemer Trust Company, N.A. act as co-trustees under the QTIP Trust. Mrs. Luise V. Hanson is trustee of the Revocable Trust. Mrs. Hanson is also a controlling person of the Company. Mrs. Hanson is the mother of John V. Hanson, Mary Jo Boman and Paul D. Hanson and the mother-in-law of Gerald E. Boman. The shares were repurchased for an aggregate purchase price of $77,700,000 ($37 per share). The Company utilized its cash on hand to pay the purchase price of the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INCOME PER SHARE</w:t>
      </w:r>
    </w:p>
    <w:p>
      <w:pPr>
        <w:spacing w:after="0" w:line="198" w:lineRule="exact"/>
        <w:rPr>
          <w:sz w:val="20"/>
          <w:szCs w:val="20"/>
          <w:color w:val="auto"/>
        </w:rPr>
      </w:pPr>
    </w:p>
    <w:p>
      <w:pPr>
        <w:ind w:left="500" w:right="2439"/>
        <w:spacing w:after="0" w:line="253" w:lineRule="auto"/>
        <w:rPr>
          <w:sz w:val="20"/>
          <w:szCs w:val="20"/>
          <w:color w:val="auto"/>
        </w:rPr>
      </w:pPr>
      <w:r>
        <w:rPr>
          <w:rFonts w:ascii="Courier New" w:cs="Courier New" w:eastAsia="Courier New" w:hAnsi="Courier New"/>
          <w:sz w:val="16"/>
          <w:szCs w:val="16"/>
          <w:color w:val="auto"/>
        </w:rPr>
        <w:t>The following table reflects the calculation of basic and diluted earnings per share for the 13 and 40 weeks ended June 1, 2002 and the 13 and 39 weeks ended May 26, 2001 (in thousands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FORTY</w:t>
            </w:r>
          </w:p>
        </w:tc>
        <w:tc>
          <w:tcPr>
            <w:tcW w:w="13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THIRTY-NINE</w:t>
            </w:r>
          </w:p>
        </w:tc>
      </w:tr>
      <w:tr>
        <w:trPr>
          <w:trHeight w:val="190"/>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THIRTEEN WEEKS ENDED</w:t>
            </w:r>
          </w:p>
        </w:tc>
        <w:tc>
          <w:tcPr>
            <w:tcW w:w="1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WEEKS ENDED</w:t>
            </w:r>
          </w:p>
        </w:tc>
        <w:tc>
          <w:tcPr>
            <w:tcW w:w="13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WEEKS ENDED</w:t>
            </w:r>
          </w:p>
        </w:tc>
      </w:tr>
      <w:tr>
        <w:trPr>
          <w:trHeight w:val="190"/>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JUNE 1,</w:t>
            </w:r>
          </w:p>
        </w:tc>
        <w:tc>
          <w:tcPr>
            <w:tcW w:w="14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MAY 26,</w:t>
            </w:r>
          </w:p>
        </w:tc>
        <w:tc>
          <w:tcPr>
            <w:tcW w:w="34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JUNE 1,</w:t>
            </w:r>
          </w:p>
        </w:tc>
        <w:tc>
          <w:tcPr>
            <w:tcW w:w="3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MAY 26,</w:t>
            </w:r>
          </w:p>
        </w:tc>
      </w:tr>
      <w:tr>
        <w:trPr>
          <w:trHeight w:val="190"/>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719"/>
              <w:spacing w:after="0"/>
              <w:rPr>
                <w:sz w:val="20"/>
                <w:szCs w:val="20"/>
                <w:color w:val="auto"/>
              </w:rPr>
            </w:pPr>
            <w:r>
              <w:rPr>
                <w:rFonts w:ascii="Courier New" w:cs="Courier New" w:eastAsia="Courier New" w:hAnsi="Courier New"/>
                <w:sz w:val="16"/>
                <w:szCs w:val="16"/>
                <w:color w:val="auto"/>
              </w:rPr>
              <w:t>2002</w:t>
            </w:r>
          </w:p>
        </w:tc>
        <w:tc>
          <w:tcPr>
            <w:tcW w:w="140" w:type="dxa"/>
            <w:vAlign w:val="bottom"/>
          </w:tcPr>
          <w:p>
            <w:pPr>
              <w:spacing w:after="0"/>
              <w:rPr>
                <w:sz w:val="16"/>
                <w:szCs w:val="16"/>
                <w:color w:val="auto"/>
              </w:rPr>
            </w:pPr>
          </w:p>
        </w:tc>
        <w:tc>
          <w:tcPr>
            <w:tcW w:w="12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6"/>
                <w:szCs w:val="16"/>
                <w:color w:val="auto"/>
              </w:rPr>
            </w:pPr>
          </w:p>
        </w:tc>
        <w:tc>
          <w:tcPr>
            <w:tcW w:w="12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2002</w:t>
            </w:r>
          </w:p>
        </w:tc>
        <w:tc>
          <w:tcPr>
            <w:tcW w:w="340" w:type="dxa"/>
            <w:vAlign w:val="bottom"/>
          </w:tcPr>
          <w:p>
            <w:pPr>
              <w:spacing w:after="0"/>
              <w:rPr>
                <w:sz w:val="16"/>
                <w:szCs w:val="16"/>
                <w:color w:val="auto"/>
              </w:rPr>
            </w:pPr>
          </w:p>
        </w:tc>
        <w:tc>
          <w:tcPr>
            <w:tcW w:w="10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4140" w:type="dxa"/>
            <w:vAlign w:val="bottom"/>
          </w:tcPr>
          <w:p>
            <w:pPr>
              <w:spacing w:after="0"/>
              <w:rPr>
                <w:sz w:val="16"/>
                <w:szCs w:val="16"/>
                <w:color w:val="auto"/>
              </w:rPr>
            </w:pPr>
          </w:p>
        </w:tc>
        <w:tc>
          <w:tcPr>
            <w:tcW w:w="16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spacing w:after="0"/>
              <w:rPr>
                <w:sz w:val="20"/>
                <w:szCs w:val="20"/>
                <w:color w:val="auto"/>
              </w:rPr>
            </w:pPr>
            <w:r>
              <w:rPr>
                <w:rFonts w:ascii="Courier New" w:cs="Courier New" w:eastAsia="Courier New" w:hAnsi="Courier New"/>
                <w:sz w:val="16"/>
                <w:szCs w:val="16"/>
                <w:color w:val="auto"/>
              </w:rPr>
              <w:t>EARNINGS PER SHARE - BASIC:</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18,094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12,444</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38,252</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27,174</w:t>
            </w:r>
          </w:p>
        </w:tc>
      </w:tr>
      <w:tr>
        <w:trPr>
          <w:trHeight w:val="190"/>
        </w:trPr>
        <w:tc>
          <w:tcPr>
            <w:tcW w:w="4140" w:type="dxa"/>
            <w:vAlign w:val="bottom"/>
          </w:tcPr>
          <w:p>
            <w:pPr>
              <w:spacing w:after="0"/>
              <w:rPr>
                <w:sz w:val="16"/>
                <w:szCs w:val="16"/>
                <w:color w:val="auto"/>
              </w:rPr>
            </w:pPr>
          </w:p>
        </w:tc>
        <w:tc>
          <w:tcPr>
            <w:tcW w:w="16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200" w:type="dxa"/>
            <w:vAlign w:val="bottom"/>
          </w:tcPr>
          <w:p>
            <w:pPr>
              <w:spacing w:after="0"/>
              <w:rPr>
                <w:sz w:val="16"/>
                <w:szCs w:val="16"/>
                <w:color w:val="auto"/>
              </w:rPr>
            </w:pP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19,552</w:t>
            </w:r>
          </w:p>
        </w:tc>
        <w:tc>
          <w:tcPr>
            <w:tcW w:w="14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20,566</w:t>
            </w:r>
          </w:p>
        </w:tc>
        <w:tc>
          <w:tcPr>
            <w:tcW w:w="34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20,337</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20,748</w:t>
            </w:r>
          </w:p>
        </w:tc>
      </w:tr>
      <w:tr>
        <w:trPr>
          <w:trHeight w:val="190"/>
        </w:trPr>
        <w:tc>
          <w:tcPr>
            <w:tcW w:w="4140" w:type="dxa"/>
            <w:vAlign w:val="bottom"/>
          </w:tcPr>
          <w:p>
            <w:pPr>
              <w:spacing w:after="0"/>
              <w:rPr>
                <w:sz w:val="16"/>
                <w:szCs w:val="16"/>
                <w:color w:val="auto"/>
              </w:rPr>
            </w:pPr>
          </w:p>
        </w:tc>
        <w:tc>
          <w:tcPr>
            <w:tcW w:w="16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Earnings per share - basic</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.61</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1.88</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r>
      <w:tr>
        <w:trPr>
          <w:trHeight w:val="190"/>
        </w:trPr>
        <w:tc>
          <w:tcPr>
            <w:tcW w:w="4140" w:type="dxa"/>
            <w:vAlign w:val="bottom"/>
          </w:tcPr>
          <w:p>
            <w:pPr>
              <w:spacing w:after="0"/>
              <w:rPr>
                <w:sz w:val="16"/>
                <w:szCs w:val="16"/>
                <w:color w:val="auto"/>
              </w:rPr>
            </w:pPr>
          </w:p>
        </w:tc>
        <w:tc>
          <w:tcPr>
            <w:tcW w:w="16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spacing w:after="0"/>
              <w:rPr>
                <w:sz w:val="20"/>
                <w:szCs w:val="20"/>
                <w:color w:val="auto"/>
              </w:rPr>
            </w:pPr>
            <w:r>
              <w:rPr>
                <w:rFonts w:ascii="Courier New" w:cs="Courier New" w:eastAsia="Courier New" w:hAnsi="Courier New"/>
                <w:sz w:val="16"/>
                <w:szCs w:val="16"/>
                <w:color w:val="auto"/>
              </w:rPr>
              <w:t>EARNINGS PER SHARE - ASSUMING DILUTION:</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18,094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12,444</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38,252</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27,174</w:t>
            </w:r>
          </w:p>
        </w:tc>
      </w:tr>
      <w:tr>
        <w:trPr>
          <w:trHeight w:val="190"/>
        </w:trPr>
        <w:tc>
          <w:tcPr>
            <w:tcW w:w="4140" w:type="dxa"/>
            <w:vAlign w:val="bottom"/>
          </w:tcPr>
          <w:p>
            <w:pPr>
              <w:spacing w:after="0"/>
              <w:rPr>
                <w:sz w:val="16"/>
                <w:szCs w:val="16"/>
                <w:color w:val="auto"/>
              </w:rPr>
            </w:pPr>
          </w:p>
        </w:tc>
        <w:tc>
          <w:tcPr>
            <w:tcW w:w="16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200" w:type="dxa"/>
            <w:vAlign w:val="bottom"/>
          </w:tcPr>
          <w:p>
            <w:pPr>
              <w:spacing w:after="0"/>
              <w:rPr>
                <w:sz w:val="16"/>
                <w:szCs w:val="16"/>
                <w:color w:val="auto"/>
              </w:rPr>
            </w:pP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19,552</w:t>
            </w:r>
          </w:p>
        </w:tc>
        <w:tc>
          <w:tcPr>
            <w:tcW w:w="14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20,566</w:t>
            </w:r>
          </w:p>
        </w:tc>
        <w:tc>
          <w:tcPr>
            <w:tcW w:w="34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20,337</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20,748</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Dilutive impact of options outstanding</w:t>
            </w:r>
          </w:p>
        </w:tc>
        <w:tc>
          <w:tcPr>
            <w:tcW w:w="200" w:type="dxa"/>
            <w:vAlign w:val="bottom"/>
          </w:tcPr>
          <w:p>
            <w:pPr>
              <w:spacing w:after="0"/>
              <w:rPr>
                <w:sz w:val="16"/>
                <w:szCs w:val="16"/>
                <w:color w:val="auto"/>
              </w:rPr>
            </w:pP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443</w:t>
            </w:r>
          </w:p>
        </w:tc>
        <w:tc>
          <w:tcPr>
            <w:tcW w:w="14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319</w:t>
            </w:r>
          </w:p>
        </w:tc>
        <w:tc>
          <w:tcPr>
            <w:tcW w:w="34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442</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268</w:t>
            </w:r>
          </w:p>
        </w:tc>
      </w:tr>
      <w:tr>
        <w:trPr>
          <w:trHeight w:val="190"/>
        </w:trPr>
        <w:tc>
          <w:tcPr>
            <w:tcW w:w="4140" w:type="dxa"/>
            <w:vAlign w:val="bottom"/>
          </w:tcPr>
          <w:p>
            <w:pPr>
              <w:spacing w:after="0"/>
              <w:rPr>
                <w:sz w:val="16"/>
                <w:szCs w:val="16"/>
                <w:color w:val="auto"/>
              </w:rPr>
            </w:pPr>
          </w:p>
        </w:tc>
        <w:tc>
          <w:tcPr>
            <w:tcW w:w="16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Weighted average shares &amp; potential</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4140" w:type="dxa"/>
            <w:vAlign w:val="bottom"/>
          </w:tcPr>
          <w:p>
            <w:pPr>
              <w:ind w:left="400"/>
              <w:spacing w:after="0"/>
              <w:rPr>
                <w:sz w:val="20"/>
                <w:szCs w:val="20"/>
                <w:color w:val="auto"/>
              </w:rPr>
            </w:pPr>
            <w:r>
              <w:rPr>
                <w:rFonts w:ascii="Courier New" w:cs="Courier New" w:eastAsia="Courier New" w:hAnsi="Courier New"/>
                <w:sz w:val="16"/>
                <w:szCs w:val="16"/>
                <w:color w:val="auto"/>
              </w:rPr>
              <w:t>dilutive shares outstanding</w:t>
            </w:r>
          </w:p>
        </w:tc>
        <w:tc>
          <w:tcPr>
            <w:tcW w:w="200" w:type="dxa"/>
            <w:vAlign w:val="bottom"/>
          </w:tcPr>
          <w:p>
            <w:pPr>
              <w:spacing w:after="0"/>
              <w:rPr>
                <w:sz w:val="16"/>
                <w:szCs w:val="16"/>
                <w:color w:val="auto"/>
              </w:rPr>
            </w:pP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19,995</w:t>
            </w:r>
          </w:p>
        </w:tc>
        <w:tc>
          <w:tcPr>
            <w:tcW w:w="14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20,885</w:t>
            </w:r>
          </w:p>
        </w:tc>
        <w:tc>
          <w:tcPr>
            <w:tcW w:w="34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20,779</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21,016</w:t>
            </w:r>
          </w:p>
        </w:tc>
      </w:tr>
      <w:tr>
        <w:trPr>
          <w:trHeight w:val="190"/>
        </w:trPr>
        <w:tc>
          <w:tcPr>
            <w:tcW w:w="4140" w:type="dxa"/>
            <w:vAlign w:val="bottom"/>
          </w:tcPr>
          <w:p>
            <w:pPr>
              <w:spacing w:after="0"/>
              <w:rPr>
                <w:sz w:val="16"/>
                <w:szCs w:val="16"/>
                <w:color w:val="auto"/>
              </w:rPr>
            </w:pPr>
          </w:p>
        </w:tc>
        <w:tc>
          <w:tcPr>
            <w:tcW w:w="16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Earnings per share - diluted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.60</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1.84</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90"/>
        </w:trPr>
        <w:tc>
          <w:tcPr>
            <w:tcW w:w="4140" w:type="dxa"/>
            <w:vAlign w:val="bottom"/>
          </w:tcPr>
          <w:p>
            <w:pPr>
              <w:spacing w:after="0"/>
              <w:rPr>
                <w:sz w:val="16"/>
                <w:szCs w:val="16"/>
                <w:color w:val="auto"/>
              </w:rPr>
            </w:pPr>
          </w:p>
        </w:tc>
        <w:tc>
          <w:tcPr>
            <w:tcW w:w="16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758"/>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875" w:right="1440" w:bottom="0" w:gutter="0" w:footer="0" w:header="0"/>
        </w:sectPr>
      </w:pPr>
    </w:p>
    <w:bookmarkStart w:id="8" w:name="page9"/>
    <w:bookmarkEnd w:id="8"/>
    <w:p>
      <w:pPr>
        <w:ind w:left="500" w:right="2339"/>
        <w:spacing w:after="0" w:line="251" w:lineRule="auto"/>
        <w:rPr>
          <w:sz w:val="20"/>
          <w:szCs w:val="20"/>
          <w:color w:val="auto"/>
        </w:rPr>
      </w:pPr>
      <w:r>
        <w:rPr>
          <w:rFonts w:ascii="Courier New" w:cs="Courier New" w:eastAsia="Courier New" w:hAnsi="Courier New"/>
          <w:sz w:val="16"/>
          <w:szCs w:val="16"/>
          <w:color w:val="auto"/>
        </w:rPr>
        <w:t>During the 13 weeks ended May 26, 2001, there were options to purchase 166,800 shares of common stock outstanding at a price of $18.50, 14,000 shares of common stock at a price of $19.71875 per share and 22,000 shares of common stock at a price of $18. These options were not included in the computation of diluted earnings per share because the exercise prices for the options were greater than the average market price of the common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BUSINESS SEGMENT INFORMATION</w:t>
      </w:r>
    </w:p>
    <w:p>
      <w:pPr>
        <w:spacing w:after="0" w:line="198" w:lineRule="exact"/>
        <w:rPr>
          <w:sz w:val="20"/>
          <w:szCs w:val="20"/>
          <w:color w:val="auto"/>
        </w:rPr>
      </w:pPr>
    </w:p>
    <w:p>
      <w:pPr>
        <w:ind w:left="500" w:right="2339"/>
        <w:spacing w:after="0" w:line="251" w:lineRule="auto"/>
        <w:rPr>
          <w:sz w:val="20"/>
          <w:szCs w:val="20"/>
          <w:color w:val="auto"/>
        </w:rPr>
      </w:pPr>
      <w:r>
        <w:rPr>
          <w:rFonts w:ascii="Courier New" w:cs="Courier New" w:eastAsia="Courier New" w:hAnsi="Courier New"/>
          <w:sz w:val="16"/>
          <w:szCs w:val="16"/>
          <w:color w:val="auto"/>
        </w:rPr>
        <w:t>The Company defines its operations into two business segments: Recreational vehicles and other manufactured products, and dealer financing. Recreation vehicles and other manufactured products includes all data relating to the manufacturing and selling of the Company's Class A, B and C motor home products as well as sales of component products for other manufacturers and recreation vehicle related parts and service revenue. Dealer financing includes floorplan, used and rental unit financing for a limited number of the Company's dealers. Management focuses on operating income as a segment's measure of profit or loss when evaluating a segment's financial performance. Operating income is before interest expense, interest income, and income taxes. A variety of balance sheet ratios are used by management to measure the business. Maximizing the return from each segment's assets excluding cash and cash equivalents is the primary focus.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190" w:lineRule="exact"/>
        <w:rPr>
          <w:sz w:val="20"/>
          <w:szCs w:val="20"/>
          <w:color w:val="auto"/>
        </w:rPr>
      </w:pPr>
    </w:p>
    <w:p>
      <w:pPr>
        <w:ind w:left="500" w:right="2619"/>
        <w:spacing w:after="0" w:line="255" w:lineRule="auto"/>
        <w:rPr>
          <w:sz w:val="20"/>
          <w:szCs w:val="20"/>
          <w:color w:val="auto"/>
        </w:rPr>
      </w:pPr>
      <w:r>
        <w:rPr>
          <w:rFonts w:ascii="Courier New" w:cs="Courier New" w:eastAsia="Courier New" w:hAnsi="Courier New"/>
          <w:sz w:val="16"/>
          <w:szCs w:val="16"/>
          <w:color w:val="auto"/>
        </w:rPr>
        <w:t>For the 40 weeks ended June 1, 2002 and the 39 weeks ended May 26, 2001, the Company's segment information is as follows:</w:t>
      </w:r>
    </w:p>
    <w:p>
      <w:pPr>
        <w:spacing w:after="0" w:line="200" w:lineRule="exact"/>
        <w:rPr>
          <w:sz w:val="20"/>
          <w:szCs w:val="20"/>
          <w:color w:val="auto"/>
        </w:rPr>
      </w:pPr>
    </w:p>
    <w:p>
      <w:pPr>
        <w:spacing w:after="0" w:line="363"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RECREATION</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VEHICLES &amp; OTHER</w:t>
      </w:r>
    </w:p>
    <w:p>
      <w:pPr>
        <w:spacing w:after="0" w:line="8" w:lineRule="exact"/>
        <w:rPr>
          <w:sz w:val="20"/>
          <w:szCs w:val="20"/>
          <w:color w:val="auto"/>
        </w:rPr>
      </w:pPr>
    </w:p>
    <w:p>
      <w:pPr>
        <w:ind w:left="4340"/>
        <w:spacing w:after="0"/>
        <w:tabs>
          <w:tab w:leader="none" w:pos="6100" w:val="left"/>
          <w:tab w:leader="none" w:pos="7480" w:val="left"/>
        </w:tabs>
        <w:rPr>
          <w:sz w:val="20"/>
          <w:szCs w:val="20"/>
          <w:color w:val="auto"/>
        </w:rPr>
      </w:pPr>
      <w:r>
        <w:rPr>
          <w:rFonts w:ascii="Courier New" w:cs="Courier New" w:eastAsia="Courier New" w:hAnsi="Courier New"/>
          <w:sz w:val="16"/>
          <w:szCs w:val="16"/>
          <w:color w:val="auto"/>
        </w:rPr>
        <w:t>MANUFACTURED</w:t>
      </w:r>
      <w:r>
        <w:rPr>
          <w:sz w:val="20"/>
          <w:szCs w:val="20"/>
          <w:color w:val="auto"/>
        </w:rPr>
        <w:tab/>
      </w:r>
      <w:r>
        <w:rPr>
          <w:rFonts w:ascii="Courier New" w:cs="Courier New" w:eastAsia="Courier New" w:hAnsi="Courier New"/>
          <w:sz w:val="16"/>
          <w:szCs w:val="16"/>
          <w:color w:val="auto"/>
        </w:rPr>
        <w:t>DEALER</w:t>
      </w:r>
      <w:r>
        <w:rPr>
          <w:sz w:val="20"/>
          <w:szCs w:val="20"/>
          <w:color w:val="auto"/>
        </w:rPr>
        <w:tab/>
      </w:r>
      <w:r>
        <w:rPr>
          <w:rFonts w:ascii="Courier New" w:cs="Courier New" w:eastAsia="Courier New" w:hAnsi="Courier New"/>
          <w:sz w:val="16"/>
          <w:szCs w:val="16"/>
          <w:color w:val="auto"/>
        </w:rPr>
        <w:t>GENERAL</w:t>
      </w:r>
    </w:p>
    <w:p>
      <w:pPr>
        <w:spacing w:after="0" w:line="8" w:lineRule="exact"/>
        <w:rPr>
          <w:sz w:val="20"/>
          <w:szCs w:val="20"/>
          <w:color w:val="auto"/>
        </w:rPr>
      </w:pPr>
    </w:p>
    <w:p>
      <w:pPr>
        <w:ind w:left="500"/>
        <w:spacing w:after="0"/>
        <w:tabs>
          <w:tab w:leader="none" w:pos="4420" w:val="left"/>
          <w:tab w:leader="none" w:pos="6000" w:val="left"/>
          <w:tab w:leader="none" w:pos="7380" w:val="left"/>
          <w:tab w:leader="none" w:pos="9060" w:val="left"/>
        </w:tabs>
        <w:rPr>
          <w:sz w:val="20"/>
          <w:szCs w:val="20"/>
          <w:color w:val="auto"/>
        </w:rPr>
      </w:pPr>
      <w:r>
        <w:rPr>
          <w:rFonts w:ascii="Courier New" w:cs="Courier New" w:eastAsia="Courier New" w:hAnsi="Courier New"/>
          <w:sz w:val="16"/>
          <w:szCs w:val="16"/>
          <w:color w:val="auto"/>
        </w:rPr>
        <w:t>(DOLLARS IN THOUSANDS)</w:t>
      </w:r>
      <w:r>
        <w:rPr>
          <w:sz w:val="20"/>
          <w:szCs w:val="20"/>
          <w:color w:val="auto"/>
        </w:rPr>
        <w:tab/>
      </w:r>
      <w:r>
        <w:rPr>
          <w:rFonts w:ascii="Courier New" w:cs="Courier New" w:eastAsia="Courier New" w:hAnsi="Courier New"/>
          <w:sz w:val="16"/>
          <w:szCs w:val="16"/>
          <w:color w:val="auto"/>
        </w:rPr>
        <w:t>PRODUCTS</w:t>
      </w:r>
      <w:r>
        <w:rPr>
          <w:sz w:val="20"/>
          <w:szCs w:val="20"/>
          <w:color w:val="auto"/>
        </w:rPr>
        <w:tab/>
      </w:r>
      <w:r>
        <w:rPr>
          <w:rFonts w:ascii="Courier New" w:cs="Courier New" w:eastAsia="Courier New" w:hAnsi="Courier New"/>
          <w:sz w:val="16"/>
          <w:szCs w:val="16"/>
          <w:color w:val="auto"/>
        </w:rPr>
        <w:t>FINANCING</w:t>
      </w:r>
      <w:r>
        <w:rPr>
          <w:sz w:val="20"/>
          <w:szCs w:val="20"/>
          <w:color w:val="auto"/>
        </w:rPr>
        <w:tab/>
      </w:r>
      <w:r>
        <w:rPr>
          <w:rFonts w:ascii="Courier New" w:cs="Courier New" w:eastAsia="Courier New" w:hAnsi="Courier New"/>
          <w:sz w:val="16"/>
          <w:szCs w:val="16"/>
          <w:color w:val="auto"/>
        </w:rPr>
        <w:t>CORPORATE</w:t>
      </w:r>
      <w:r>
        <w:rPr>
          <w:sz w:val="20"/>
          <w:szCs w:val="20"/>
          <w:color w:val="auto"/>
        </w:rPr>
        <w:tab/>
      </w:r>
      <w:r>
        <w:rPr>
          <w:rFonts w:ascii="Courier New" w:cs="Courier New" w:eastAsia="Courier New" w:hAnsi="Courier New"/>
          <w:sz w:val="16"/>
          <w:szCs w:val="16"/>
          <w:color w:val="auto"/>
        </w:rPr>
        <w:t>TOTAL</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3300" w:type="dxa"/>
            <w:vAlign w:val="bottom"/>
          </w:tcPr>
          <w:p>
            <w:pPr>
              <w:spacing w:after="0"/>
              <w:rPr>
                <w:sz w:val="20"/>
                <w:szCs w:val="20"/>
                <w:color w:val="auto"/>
              </w:rPr>
            </w:pPr>
            <w:r>
              <w:rPr>
                <w:rFonts w:ascii="Courier New" w:cs="Courier New" w:eastAsia="Courier New" w:hAnsi="Courier New"/>
                <w:sz w:val="16"/>
                <w:szCs w:val="16"/>
                <w:color w:val="auto"/>
              </w:rPr>
              <w:t>40 Weeks Ended June 1, 2002</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605,121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2,372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607,493</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780" w:type="dxa"/>
            <w:vAlign w:val="bottom"/>
          </w:tcPr>
          <w:p>
            <w:pPr>
              <w:spacing w:after="0"/>
              <w:rPr>
                <w:sz w:val="16"/>
                <w:szCs w:val="16"/>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54,622</w:t>
            </w:r>
          </w:p>
        </w:tc>
        <w:tc>
          <w:tcPr>
            <w:tcW w:w="500" w:type="dxa"/>
            <w:vAlign w:val="bottom"/>
          </w:tcPr>
          <w:p>
            <w:pPr>
              <w:spacing w:after="0"/>
              <w:rPr>
                <w:sz w:val="16"/>
                <w:szCs w:val="16"/>
                <w:color w:val="auto"/>
              </w:rPr>
            </w:pP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893</w:t>
            </w:r>
          </w:p>
        </w:tc>
        <w:tc>
          <w:tcPr>
            <w:tcW w:w="4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499</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56,014</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Identifiable assets</w:t>
            </w:r>
          </w:p>
        </w:tc>
        <w:tc>
          <w:tcPr>
            <w:tcW w:w="780" w:type="dxa"/>
            <w:vAlign w:val="bottom"/>
          </w:tcPr>
          <w:p>
            <w:pPr>
              <w:spacing w:after="0"/>
              <w:rPr>
                <w:sz w:val="16"/>
                <w:szCs w:val="16"/>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196,672</w:t>
            </w:r>
          </w:p>
        </w:tc>
        <w:tc>
          <w:tcPr>
            <w:tcW w:w="500" w:type="dxa"/>
            <w:vAlign w:val="bottom"/>
          </w:tcPr>
          <w:p>
            <w:pPr>
              <w:spacing w:after="0"/>
              <w:rPr>
                <w:sz w:val="16"/>
                <w:szCs w:val="16"/>
                <w:color w:val="auto"/>
              </w:rPr>
            </w:pP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39,351</w:t>
            </w:r>
          </w:p>
        </w:tc>
        <w:tc>
          <w:tcPr>
            <w:tcW w:w="4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105,577</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341,600</w:t>
            </w: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39 Weeks Ended May 26, 2001</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496,321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3,294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499,615</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780" w:type="dxa"/>
            <w:vAlign w:val="bottom"/>
          </w:tcPr>
          <w:p>
            <w:pPr>
              <w:spacing w:after="0"/>
              <w:rPr>
                <w:sz w:val="16"/>
                <w:szCs w:val="16"/>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37,305</w:t>
            </w:r>
          </w:p>
        </w:tc>
        <w:tc>
          <w:tcPr>
            <w:tcW w:w="500" w:type="dxa"/>
            <w:vAlign w:val="bottom"/>
          </w:tcPr>
          <w:p>
            <w:pPr>
              <w:spacing w:after="0"/>
              <w:rPr>
                <w:sz w:val="16"/>
                <w:szCs w:val="16"/>
                <w:color w:val="auto"/>
              </w:rPr>
            </w:pP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1,028</w:t>
            </w:r>
          </w:p>
        </w:tc>
        <w:tc>
          <w:tcPr>
            <w:tcW w:w="4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1,695</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40,028</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Identifiable assets</w:t>
            </w:r>
          </w:p>
        </w:tc>
        <w:tc>
          <w:tcPr>
            <w:tcW w:w="780" w:type="dxa"/>
            <w:vAlign w:val="bottom"/>
          </w:tcPr>
          <w:p>
            <w:pPr>
              <w:spacing w:after="0"/>
              <w:rPr>
                <w:sz w:val="16"/>
                <w:szCs w:val="16"/>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172,632</w:t>
            </w:r>
          </w:p>
        </w:tc>
        <w:tc>
          <w:tcPr>
            <w:tcW w:w="500" w:type="dxa"/>
            <w:vAlign w:val="bottom"/>
          </w:tcPr>
          <w:p>
            <w:pPr>
              <w:spacing w:after="0"/>
              <w:rPr>
                <w:sz w:val="16"/>
                <w:szCs w:val="16"/>
                <w:color w:val="auto"/>
              </w:rPr>
            </w:pP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37,132</w:t>
            </w:r>
          </w:p>
        </w:tc>
        <w:tc>
          <w:tcPr>
            <w:tcW w:w="4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125,289</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335,053</w:t>
            </w:r>
          </w:p>
        </w:tc>
      </w:tr>
    </w:tbl>
    <w:p>
      <w:pPr>
        <w:spacing w:after="0" w:line="384"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Certain prior year information has been reclassified to conform to the current year presentation.</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7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Item 2.</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MANAGEMENT'S DISCUSSION AND ANALYSIS OF FINANCIAL CONDITION AND</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INFORMATION</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Certain of the matters discussed in this report are "forward looking statements," as defined in the Private Securities Litigation Reform Act of 1995, which involve risks and uncertainties, including, but not limited to, reactions to actual or threatened terrorist attacks, the availability and price of fuel, a significant increase in interest rates, a slowdown in the economy, availability of chassis, slower than anticipated sales of new or existing products, new products introduced by competitors, collections of dealer receivables and other factors which may be disclosed throughout this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 looking statements whether as a result of new information, future events or otherwise, except as required by law or the rules of The New York Stock Exchange.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discussion and analysis of the Company's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the Company to make assumptions, estimates and judgments that affect the reported amounts of assets, liabilities, revenues and expenses, and related disclosure of contingent assets and liabilities. On an ongoing basis, the Company evaluates its estimates. The Company bases its estimates on historical experience and on various other assumptions that are believed to be reasonable under the circumstances. Actual results may differ from these estimates under different assumptions or conditions. The Company believes the following critical accounting policies and related judgments and estimates affect the preparations of its Consolidated Financial Statements. These policies were selected because they involve additional management judgement due to the sensitivity of the methods, assumptions and estimates necessary in determining the related income statement, asset and/or liability amounts.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has reserves for numerous loss exposures, such as product warranties, product liability, litigation, accounts receivable and reserve for incurred but not reported health care claims. The Company also has loss exposure on loan guarantees and repurchase agreements (see Note 5 of Unaudited Condensed Notes to Consolidated Financial Statements). Establishing loss reserves for these matters requires the use of assumptions,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Thirteen Weeks Ended June 1, 2002 Compared to Thirteen Weeks Ended May 26, 2001</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revenues for recreation vehicle and other manufactured products for the 13 weeks ended June 1, 2002 were $245,913,000, an increase of $51,361,000, or 26.4 percent from the 13-week period ended May 26, 2001. Motor home unit sales (Class A and C) were 3,355, an increase of 668 units, or 24.9 percent, during the third quarter of fiscal 2002 compared to the third quarter of fiscal 2001. The increases can be attributed to more volume during the third quarter of fiscal 2002. The Company believes that its continued market share gains, improvements in consumer confidence levels and sustained low interest rates have all contributed to the improvement in revenues.</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75" w:right="1440" w:bottom="1440" w:gutter="0" w:footer="0" w:header="0"/>
        </w:sectPr>
      </w:pPr>
    </w:p>
    <w:bookmarkStart w:id="10" w:name="page11"/>
    <w:bookmarkEnd w:id="10"/>
    <w:p>
      <w:pPr>
        <w:ind w:right="2339"/>
        <w:spacing w:after="0" w:line="252" w:lineRule="auto"/>
        <w:rPr>
          <w:sz w:val="20"/>
          <w:szCs w:val="20"/>
          <w:color w:val="auto"/>
        </w:rPr>
      </w:pPr>
      <w:r>
        <w:rPr>
          <w:rFonts w:ascii="Courier New" w:cs="Courier New" w:eastAsia="Courier New" w:hAnsi="Courier New"/>
          <w:sz w:val="16"/>
          <w:szCs w:val="16"/>
          <w:color w:val="auto"/>
        </w:rPr>
        <w:t>Net revenues for dealer financing of Winnebago Acceptance Corporation (WAC) were $723,000 for the 13 weeks ended June 1, 2002; a decrease of $330,000 or 31.3 percent from the 13-week period ended May 26, 2001 due primarily to lower interest rates.</w:t>
      </w:r>
    </w:p>
    <w:p>
      <w:pPr>
        <w:spacing w:after="0" w:line="187"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Gross profit, as a percent of net revenues, was 15.1 percent for the 13 weeks ended June 1, 2002 compared to 13.4 percent for the 13 weeks ended May 26, 2001. The Company's gross profit was higher due primarily to increased volume of motor home production and deliveries to dealers.</w:t>
      </w:r>
    </w:p>
    <w:p>
      <w:pPr>
        <w:spacing w:after="0" w:line="187"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Selling expenses were $4,257,000 or 1.7 percent of net revenues during the third quarter of fiscal 2002 compared to $4,155,000 or 2.1 percent of net revenues during the third quarter of fiscal 2001. Increased sales volume was the primary cause of the reduction in percentage during the third quarter of fiscal 2002.</w:t>
      </w:r>
    </w:p>
    <w:p>
      <w:pPr>
        <w:spacing w:after="0" w:line="187"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General and administrative expenses were $5,709,000 or 2.3 percent of net revenues during the 13 weeks ended June 1, 2002 compared to $3,929,000 or 2.0 percent of net revenues during the 13 weeks ended May 26, 2001. The increases in dollars and percentage when comparing the two quarters were primarily due to increases in employee incentive programs and to a lesser extent increased legal reserves.</w:t>
      </w:r>
    </w:p>
    <w:p>
      <w:pPr>
        <w:spacing w:after="0" w:line="37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had net financial income of $547,000 for the third quarter of fiscal 2002 compared to net financial income of $922,000 for the comparable quarter of fiscal 2001. During the 13 weeks ended June 1, 2002, the Company recorded $551,000 of net interest income and losses of $4,000 in foreign currency transactions. During the 13 weeks ended May 26, 2001, the Company recorded $927,000 of net interest income and losses of $5,000 in foreign currency transactions. When comparing the two quarters, the average available cash for investing during the third quarter of fiscal 2002 was larger than the average available cash during the third quarter of fiscal 2001. However, the average rate the Company earned on investments was lower than the average rate earned during the second quarter of fiscal 2001.</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The effective income tax rate increased to 35.0 percent during the third quarter of fiscal 2002 from 34.6 percent during the third quarter of fiscal 2001. The increase was due primarily to higher provisions for state income taxes during the 13 weeks ended June 1, 2002.</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For the third quarter of fiscal 2002, the Company had net income of $18,094,000, or $.90 per diluted share compared to the third quarter of fiscal 2001's net income of $12,444,000, or $.60 per diluted share. Net income and earnings per diluted share increased by 45.4 percent and 50.0 percent, respectively, when comparing the third quarter of fiscal 2002 to the third quarter of fiscal 2001. The difference in percentages when comparing net income to net earnings per share was due primarily to a lower number of outstanding shares of the Company's common stock during the 13 weeks ended June 1, 2002 (see Note 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Forty Weeks Ended June 1, 2002 Compared to Thirty-Nine Weeks Ended May 26, 2001.</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Net revenues for manufactured products for the 40 weeks ended June 1, 2002 were $605,121,000, an increase of $108,800,000, or 21.9 percent from the 39-week period ended May 26, 2001. Motor home unit sales (Class A and C) were 8,120 units, an increase of 1,432 units, or 21.4 percent during the 40 weeks ended June 1, 2002 when compared to the 39 weeks ended May 26, 2001. The Company believes that its continued market share gains, improvements in consumer confidence levels and sustained low interest rates have all contributed to the improvement in revenues.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Net revenues for dealer financing of WAC were $2,372,000 for the 40 weeks ended June 1, 2002; a decrease of $922,000 or 28.0 percent from the 39-week period ended May 26, 2001. Decreased revenues for dealer financing reflect a significant decrease in interest rates partially offset by higher average outstanding balances when comparing the 40 weeks ended June 1, 2002 to the 39 weeks ended May 26, 2001.</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Gross profit, as a percent of net revenue, was 13.9 percent for the 40 weeks ended June 1, 2002 compared to 12.6 percent for the 39 weeks ended May 26, 2001. The Company's higher margins were due primarily to increased volume of motor home production and deliveries to dealers.</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75" w:right="1440" w:bottom="1440" w:gutter="0" w:footer="0" w:header="0"/>
        </w:sectPr>
      </w:pPr>
    </w:p>
    <w:bookmarkStart w:id="11" w:name="page12"/>
    <w:bookmarkEnd w:id="11"/>
    <w:p>
      <w:pPr>
        <w:ind w:right="2339"/>
        <w:spacing w:after="0" w:line="252" w:lineRule="auto"/>
        <w:rPr>
          <w:sz w:val="20"/>
          <w:szCs w:val="20"/>
          <w:color w:val="auto"/>
        </w:rPr>
      </w:pPr>
      <w:r>
        <w:rPr>
          <w:rFonts w:ascii="Courier New" w:cs="Courier New" w:eastAsia="Courier New" w:hAnsi="Courier New"/>
          <w:sz w:val="16"/>
          <w:szCs w:val="16"/>
          <w:color w:val="auto"/>
        </w:rPr>
        <w:t>Selling expenses were $13,567,000, or 2.2 percent of net revenues during the 40 weeks ended June 1, 2002 compared to $12,876,000, or 2.6 percent of net revenues during the 39 weeks ended May 26, 2001. Increased sales volume was the primary cause of the reduction in percentage during the fiscal 2002 period.</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General and administrative expenses were $14,844,000 or 2.4 percent of net revenues during the 40 weeks ended June 1, 2002 compared to $9,839,000, or 2.0 percent of net revenues during the 39 weeks ended May 26, 2001. The increases in dollars and percentage when comparing the two periods were primarily due to increases in employee incentive programs and to a lesser extent increased legal reserves.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had net financial income of $2,351,000 for the 40 weeks ended June 1, 2002 compared to net financial income of $2,794,000 for the 39 weeks ended May 26, 2001. During the fiscal 2002 period, the Company recorded $2,377,000 of net interest income and losses of $26,000 in foreign currency transactions. During the fiscal 2001 period, the Company recorded $2,796,000 of net interest income and losses of $2,000 in foreign currency transactions. When comparing the two periods, the average available cash for investing during fiscal 2002 was larger than the average available cash during fiscal 2001. However, the average rate the Company earned on investments was significantly lower than the average rate earned during the fiscal 2001 period.</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The effective income tax rate increased to 34.5 percent during the 40 weeks ended June 1, 2002 from 34.1 percent during the 39 weeks ended May 26, 2001. The primary reason for the increase was due to higher provisions for state income taxes during the 40 weeks ended June 1, 2002.</w:t>
      </w:r>
    </w:p>
    <w:p>
      <w:pPr>
        <w:spacing w:after="0" w:line="187"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At the start of fiscal 2001, the Company elected to adopt SAB No. 101 issued by the SEC in December 1999. SAB No. 101 set forth the views of the SEC staff concerning revenue recognition. As a result of SAB No. 101, the Company began recording revenue upon receipt of products by the Company's dealers rather than upon shipment by the Company. Adoption of SAB No. 101 during the 39 weeks ended May 26, 2001 resulted in a negative adjustment to the Company's income of $1,050,000, or $.05 per diluted share.</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For the 40 weeks ended June 1, 2002, the Company had net income of $38,252,000, or $1.84 per diluted share compared to the 39 weeks ended May 26, 2001's net income of $27,174,000, or $1.29 per diluted share. Net income and earnings per diluted share increased by 40.8 percent and 42.6 percent, respectively, when comparing the fiscal 2002 period to the fiscal 2001 period. The difference in percentages when comparing net income to net earnings per share was primarily due to a lower number of outstanding shares of the Company's common stock during the 40 weeks ended June 1, 2002 (see Note 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FINANCIAL CONDITION</w:t>
      </w:r>
    </w:p>
    <w:p>
      <w:pPr>
        <w:spacing w:after="0" w:line="198"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6"/>
          <w:szCs w:val="16"/>
          <w:color w:val="auto"/>
        </w:rPr>
        <w:t>The Company generally meets its working capital, capital equipment and cash requirements with funds generated from operations.</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As of June 1, 2002, working capital was $138,099,000, a decrease of $36,149,000 from the amount at August 25, 2001. The Company's principal uses of cash during the 40 weeks ended June 1, 2002 were $81,778,000 for the purchase of shares of the Company's common stock (See Note 8), $5,418,000 for the purchase of property and equipment and $2,075,000 for the payment of cash dividends. The Company's sources and uses of cash during the 40 weeks ended June 1, 2002 are set forth in the unaudited consolidated condensed statement of cash flows for that period.</w:t>
      </w:r>
    </w:p>
    <w:p>
      <w:pPr>
        <w:spacing w:after="0" w:line="190"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Principal known demands at June 1, 2002 on the Company's liquid assets for the remainder of fiscal 2002 include capital expenditures of approximately $5,100,000 and the payment of cash dividends.</w:t>
      </w:r>
    </w:p>
    <w:p>
      <w:pPr>
        <w:spacing w:after="0" w:line="185"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Management currently expects its cash on hand and funds from operations to be sufficient to cover both short-term and long-term operating requirements.</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7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As of June 1, 2002, the Company had an investment portfolio of fixed income securities, which are classified as cash and cash equivalents of $72,201,000. These securities, like all fixed income investments, are subject to interest rate risk and will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190"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As of June 1, 2002, the Company had dealer-financing receivables in the amount of $39,049,000. Interest rates charged on these receivables vary based on the prime rate.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OUTLOOK</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Studies show that the Company's prime target market of people 50 years of age and older will continue to increase by over 4 million a year through the year 2030. Order backlog for the Company's Class A and Class C motor homes was approximately 2,700 orders at June 1, 2002, an increase of approximately 125 percent over sales order backlog of approximately 1,200 orders at May 26, 2001. The Company includes in its backlog all accepted purchase orders from dealers shippable within the next six months. Orders in backlog can be canceled or postponed at the option of the purchaser at any time without penalty; therefore, backlog may not necessarily be a measure of future sales.</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7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INDEPENDENT ACCOUNTANTS' REPORT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Winnebago Industries,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Forest City, Iowa</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have reviewed the accompanying condensed consolidated balance sheet of Winnebago Industries, Inc. and subsidiaries (the Company) as of June 1, 2002, and the related condensed consolidated statements of income for the 13-week and 40-week periods ended June 1, 2002 and 13-week and 39-week periods ended May 26, 2001 and the consolidated condensed statements of cash flows for the 40-week period ended June 1, 2002 and the 39-week period ended May 26, 2001. These financial statements are the responsibility of the Company's management.</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(generally accepted auditing standards), the objective of which is the expression of an opinion regarding the financial statements taken as a whole. Accordingly, we do not express such an opinion.</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Based on our review, we are not aware of any material modifications that should be made to such condensed consolidated financial statements for them to be in conformity with accounting principles generally accepted in the United States of America.</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have previously audited, in accordance with generally accepted auditing standards, the consolidated balance sheet of the Company as of August 25, 2001, and the related consolidated statements of income, stockholders' equity, and cash flows for the year then ended (not presented herein); and in our report dated October 3, 2001, we expressed an unqualified opinion on those consolidated financial statements. In our opinion, the information set forth in the accompanying condensed consolidated balance sheet as of August 25, 2001 is fairly stated, in all material respects, in relation to the consolidated balance sheet from which it has been derived.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8" w:lineRule="exact"/>
        <w:rPr>
          <w:sz w:val="20"/>
          <w:szCs w:val="20"/>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803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Deloitte &amp; Touche LLP Minneapolis, Minnesota July 12, 2002</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7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8" w:lineRule="exact"/>
        <w:rPr>
          <w:sz w:val="20"/>
          <w:szCs w:val="20"/>
          <w:color w:val="auto"/>
        </w:rPr>
      </w:pPr>
    </w:p>
    <w:p>
      <w:pPr>
        <w:ind w:left="1180" w:hanging="390"/>
        <w:spacing w:after="0"/>
        <w:tabs>
          <w:tab w:leader="none" w:pos="11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exhibits are being filed as a part of this report.</w:t>
      </w:r>
    </w:p>
    <w:p>
      <w:pPr>
        <w:spacing w:after="0" w:line="197" w:lineRule="exact"/>
        <w:rPr>
          <w:rFonts w:ascii="Courier New" w:cs="Courier New" w:eastAsia="Courier New" w:hAnsi="Courier New"/>
          <w:sz w:val="16"/>
          <w:szCs w:val="16"/>
          <w:color w:val="auto"/>
        </w:rPr>
      </w:pPr>
    </w:p>
    <w:p>
      <w:pPr>
        <w:ind w:left="780" w:right="2519" w:firstLine="10"/>
        <w:spacing w:after="0" w:line="255" w:lineRule="auto"/>
        <w:tabs>
          <w:tab w:leader="none" w:pos="117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did not file any reports on Form 8-K during the period covered by this report.</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75" w:right="1440" w:bottom="1440" w:gutter="0" w:footer="0" w:header="0"/>
        </w:sectPr>
      </w:pPr>
    </w:p>
    <w:bookmarkStart w:id="15" w:name="page16"/>
    <w:bookmarkEnd w:id="15"/>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388"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WINNEBAGO INDUSTRIES, INC.</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875"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July 12,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D. Hertzke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Chief Executive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and President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400" w:space="100"/>
            <w:col w:w="2720" w:space="720"/>
            <w:col w:w="6279"/>
          </w:cols>
          <w:pgMar w:left="240" w:top="875" w:right="1440" w:bottom="1440" w:gutter="0" w:footer="0" w:header="0"/>
          <w:type w:val="continuous"/>
        </w:sect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July 12,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Edwin F. Barker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Chief Financial Officer</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ectPr>
          <w:pgSz w:w="11900" w:h="16838" w:orient="portrait"/>
          <w:cols w:equalWidth="0" w:num="3">
            <w:col w:w="400" w:space="100"/>
            <w:col w:w="2720" w:space="720"/>
            <w:col w:w="6279"/>
          </w:cols>
          <w:pgMar w:left="240" w:top="875" w:right="1440" w:bottom="1440" w:gutter="0" w:footer="0" w:header="0"/>
          <w:type w:val="continuous"/>
        </w:sectPr>
      </w:pPr>
    </w:p>
    <w:p>
      <w:pPr>
        <w:spacing w:after="0" w:line="18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15</w:t>
      </w:r>
    </w:p>
    <w:sectPr>
      <w:pgSz w:w="11900" w:h="16838" w:orient="portrait"/>
      <w:cols w:equalWidth="0" w:num="1">
        <w:col w:w="10219"/>
      </w:cols>
      <w:pgMar w:left="240" w:top="87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2019-12-13T08:14:23Z</dcterms:created>
  <dcterms:modified xsi:type="dcterms:W3CDTF">2019-12-13T08:14:23Z</dcterms:modified>
</cp:coreProperties>
</file>