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980" w:type="dxa"/>
        <w:tblCellMar>
          <w:top w:w="0" w:type="dxa"/>
          <w:left w:w="0" w:type="dxa"/>
          <w:bottom w:w="0" w:type="dxa"/>
          <w:right w:w="0" w:type="dxa"/>
        </w:tblCellMar>
      </w:tblPr>
      <w:tr>
        <w:trPr>
          <w:trHeight w:val="262"/>
        </w:trPr>
        <w:tc>
          <w:tcPr>
            <w:tcW w:w="2300" w:type="dxa"/>
            <w:vAlign w:val="bottom"/>
          </w:tcPr>
          <w:p>
            <w:pPr>
              <w:jc w:val="center"/>
              <w:ind w:right="344"/>
              <w:spacing w:after="0"/>
              <w:rPr>
                <w:sz w:val="20"/>
                <w:szCs w:val="20"/>
                <w:color w:val="auto"/>
              </w:rPr>
            </w:pPr>
            <w:r>
              <w:rPr>
                <w:rFonts w:ascii="Arial" w:cs="Arial" w:eastAsia="Arial" w:hAnsi="Arial"/>
                <w:sz w:val="22"/>
                <w:szCs w:val="22"/>
                <w:b w:val="1"/>
                <w:bCs w:val="1"/>
                <w:color w:val="auto"/>
                <w:w w:val="93"/>
              </w:rPr>
              <w:t>Iowa</w:t>
            </w:r>
          </w:p>
        </w:tc>
        <w:tc>
          <w:tcPr>
            <w:tcW w:w="300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1900" w:type="dxa"/>
            <w:vAlign w:val="bottom"/>
          </w:tcPr>
          <w:p>
            <w:pPr>
              <w:jc w:val="right"/>
              <w:ind w:right="44"/>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2300" w:type="dxa"/>
            <w:vAlign w:val="bottom"/>
          </w:tcPr>
          <w:p>
            <w:pPr>
              <w:jc w:val="center"/>
              <w:ind w:right="364"/>
              <w:spacing w:after="0"/>
              <w:rPr>
                <w:sz w:val="20"/>
                <w:szCs w:val="20"/>
                <w:color w:val="auto"/>
              </w:rPr>
            </w:pPr>
            <w:r>
              <w:rPr>
                <w:rFonts w:ascii="Arial" w:cs="Arial" w:eastAsia="Arial" w:hAnsi="Arial"/>
                <w:sz w:val="18"/>
                <w:szCs w:val="18"/>
                <w:color w:val="auto"/>
                <w:w w:val="89"/>
              </w:rPr>
              <w:t>(State or other jurisdiction</w:t>
            </w:r>
          </w:p>
        </w:tc>
        <w:tc>
          <w:tcPr>
            <w:tcW w:w="3000" w:type="dxa"/>
            <w:vAlign w:val="bottom"/>
          </w:tcPr>
          <w:p>
            <w:pPr>
              <w:jc w:val="center"/>
              <w:ind w:right="42"/>
              <w:spacing w:after="0"/>
              <w:rPr>
                <w:sz w:val="20"/>
                <w:szCs w:val="20"/>
                <w:color w:val="auto"/>
              </w:rPr>
            </w:pPr>
            <w:r>
              <w:rPr>
                <w:rFonts w:ascii="Arial" w:cs="Arial" w:eastAsia="Arial" w:hAnsi="Arial"/>
                <w:sz w:val="18"/>
                <w:szCs w:val="18"/>
                <w:color w:val="auto"/>
                <w:w w:val="90"/>
              </w:rPr>
              <w:t>(Commission File Number)</w:t>
            </w:r>
          </w:p>
        </w:tc>
        <w:tc>
          <w:tcPr>
            <w:tcW w:w="1900" w:type="dxa"/>
            <w:vAlign w:val="bottom"/>
          </w:tcPr>
          <w:p>
            <w:pPr>
              <w:jc w:val="center"/>
              <w:ind w:left="484"/>
              <w:spacing w:after="0"/>
              <w:rPr>
                <w:sz w:val="20"/>
                <w:szCs w:val="20"/>
                <w:color w:val="auto"/>
              </w:rPr>
            </w:pPr>
            <w:r>
              <w:rPr>
                <w:rFonts w:ascii="Arial" w:cs="Arial" w:eastAsia="Arial" w:hAnsi="Arial"/>
                <w:sz w:val="18"/>
                <w:szCs w:val="18"/>
                <w:color w:val="auto"/>
                <w:w w:val="92"/>
              </w:rPr>
              <w:t>(IRS Employer</w:t>
            </w:r>
          </w:p>
        </w:tc>
      </w:tr>
      <w:tr>
        <w:trPr>
          <w:trHeight w:val="222"/>
        </w:trPr>
        <w:tc>
          <w:tcPr>
            <w:tcW w:w="2300" w:type="dxa"/>
            <w:vAlign w:val="bottom"/>
          </w:tcPr>
          <w:p>
            <w:pPr>
              <w:jc w:val="center"/>
              <w:ind w:right="364"/>
              <w:spacing w:after="0"/>
              <w:rPr>
                <w:sz w:val="20"/>
                <w:szCs w:val="20"/>
                <w:color w:val="auto"/>
              </w:rPr>
            </w:pPr>
            <w:r>
              <w:rPr>
                <w:rFonts w:ascii="Arial" w:cs="Arial" w:eastAsia="Arial" w:hAnsi="Arial"/>
                <w:sz w:val="18"/>
                <w:szCs w:val="18"/>
                <w:color w:val="auto"/>
                <w:w w:val="92"/>
              </w:rPr>
              <w:t>of incorporation)</w:t>
            </w:r>
          </w:p>
        </w:tc>
        <w:tc>
          <w:tcPr>
            <w:tcW w:w="3000" w:type="dxa"/>
            <w:vAlign w:val="bottom"/>
          </w:tcPr>
          <w:p>
            <w:pPr>
              <w:spacing w:after="0"/>
              <w:rPr>
                <w:sz w:val="19"/>
                <w:szCs w:val="19"/>
                <w:color w:val="auto"/>
              </w:rPr>
            </w:pPr>
          </w:p>
        </w:tc>
        <w:tc>
          <w:tcPr>
            <w:tcW w:w="1900" w:type="dxa"/>
            <w:vAlign w:val="bottom"/>
          </w:tcPr>
          <w:p>
            <w:pPr>
              <w:jc w:val="center"/>
              <w:ind w:left="484"/>
              <w:spacing w:after="0"/>
              <w:rPr>
                <w:sz w:val="20"/>
                <w:szCs w:val="20"/>
                <w:color w:val="auto"/>
              </w:rPr>
            </w:pPr>
            <w:r>
              <w:rPr>
                <w:rFonts w:ascii="Arial" w:cs="Arial" w:eastAsia="Arial" w:hAnsi="Arial"/>
                <w:sz w:val="18"/>
                <w:szCs w:val="18"/>
                <w:color w:val="auto"/>
                <w:w w:val="94"/>
              </w:rPr>
              <w:t>Identification No.)</w:t>
            </w:r>
          </w:p>
        </w:tc>
      </w:tr>
      <w:tr>
        <w:trPr>
          <w:trHeight w:val="385"/>
        </w:trPr>
        <w:tc>
          <w:tcPr>
            <w:tcW w:w="5300" w:type="dxa"/>
            <w:vAlign w:val="bottom"/>
            <w:gridSpan w:val="2"/>
          </w:tcPr>
          <w:p>
            <w:pPr>
              <w:jc w:val="center"/>
              <w:ind w:right="542"/>
              <w:spacing w:after="0"/>
              <w:rPr>
                <w:sz w:val="20"/>
                <w:szCs w:val="20"/>
                <w:color w:val="auto"/>
              </w:rPr>
            </w:pPr>
            <w:r>
              <w:rPr>
                <w:rFonts w:ascii="Arial" w:cs="Arial" w:eastAsia="Arial" w:hAnsi="Arial"/>
                <w:sz w:val="22"/>
                <w:szCs w:val="22"/>
                <w:b w:val="1"/>
                <w:bCs w:val="1"/>
                <w:color w:val="auto"/>
                <w:w w:val="88"/>
              </w:rPr>
              <w:t>P.O. Box 152, Forest City, Iowa</w:t>
            </w:r>
          </w:p>
        </w:tc>
        <w:tc>
          <w:tcPr>
            <w:tcW w:w="190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5300" w:type="dxa"/>
            <w:vAlign w:val="bottom"/>
            <w:gridSpan w:val="2"/>
          </w:tcPr>
          <w:p>
            <w:pPr>
              <w:jc w:val="center"/>
              <w:ind w:right="542"/>
              <w:spacing w:after="0"/>
              <w:rPr>
                <w:sz w:val="20"/>
                <w:szCs w:val="20"/>
                <w:color w:val="auto"/>
              </w:rPr>
            </w:pPr>
            <w:r>
              <w:rPr>
                <w:rFonts w:ascii="Arial" w:cs="Arial" w:eastAsia="Arial" w:hAnsi="Arial"/>
                <w:sz w:val="18"/>
                <w:szCs w:val="18"/>
                <w:color w:val="auto"/>
                <w:w w:val="90"/>
              </w:rPr>
              <w:t>(Address of principal executive offices)</w:t>
            </w:r>
          </w:p>
        </w:tc>
        <w:tc>
          <w:tcPr>
            <w:tcW w:w="1900" w:type="dxa"/>
            <w:vAlign w:val="bottom"/>
          </w:tcPr>
          <w:p>
            <w:pPr>
              <w:jc w:val="center"/>
              <w:ind w:left="50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46"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00" w:hanging="1296"/>
        <w:spacing w:after="0" w:line="235" w:lineRule="auto"/>
        <w:tabs>
          <w:tab w:leader="none" w:pos="128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(a), (b),</w:t>
      </w:r>
    </w:p>
    <w:p>
      <w:pPr>
        <w:spacing w:after="0" w:line="15" w:lineRule="exact"/>
        <w:rPr>
          <w:sz w:val="24"/>
          <w:szCs w:val="24"/>
          <w:color w:val="auto"/>
        </w:rPr>
      </w:pPr>
    </w:p>
    <w:p>
      <w:pPr>
        <w:ind w:left="1300" w:hanging="1292"/>
        <w:spacing w:after="0" w:line="288" w:lineRule="auto"/>
        <w:tabs>
          <w:tab w:leader="none" w:pos="242"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(d)</w:t>
      </w:r>
      <w:r>
        <w:rPr>
          <w:rFonts w:ascii="Arial" w:cs="Arial" w:eastAsia="Arial" w:hAnsi="Arial"/>
          <w:sz w:val="16"/>
          <w:szCs w:val="16"/>
          <w:color w:val="auto"/>
        </w:rPr>
        <w:t xml:space="preserve">On March 26, 2008,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accepted the letter of resignation of Bruce Hertzke from the Board and from his position as Chairman of the Board and Chief Executive Officer effective May 5, 2008. Mr. Hertzke will remain an employee of the Company until May 30, 2008. The Board announced the appointment of Robert J. Olson to the Company’s Board of Directors and the election of Mr. Olson to the position of Chairman of the Board and Chief Executive Officer, in addition to his current position of President, also effective May 5, 2008. Information regarding Mr. Olson’s tenure with the Company and his business experience can be found in the Company’s Annual Report on Form 10-K filed with the Securities and Exchange Commission on October 24, 2007, the descriptions of which are incorporated herein by reference.</w:t>
      </w:r>
    </w:p>
    <w:p>
      <w:pPr>
        <w:spacing w:after="0" w:line="177" w:lineRule="exact"/>
        <w:rPr>
          <w:sz w:val="24"/>
          <w:szCs w:val="24"/>
          <w:color w:val="auto"/>
        </w:rPr>
      </w:pPr>
    </w:p>
    <w:p>
      <w:pPr>
        <w:jc w:val="both"/>
        <w:ind w:left="1300"/>
        <w:spacing w:after="0" w:line="256" w:lineRule="auto"/>
        <w:rPr>
          <w:sz w:val="20"/>
          <w:szCs w:val="20"/>
          <w:color w:val="auto"/>
        </w:rPr>
      </w:pPr>
      <w:r>
        <w:rPr>
          <w:rFonts w:ascii="Arial" w:cs="Arial" w:eastAsia="Arial" w:hAnsi="Arial"/>
          <w:sz w:val="18"/>
          <w:szCs w:val="18"/>
          <w:color w:val="auto"/>
        </w:rPr>
        <w:t>In connection with Mr. Olson’s election as Chairman of the Board, Chief Executive Officer and President, his annual salary was increased from $350,000 to $450,000, effective May 5, 2008. On March 27, 2008, the Company issued a press release announcing the election of Mr. Olson to the position of Chairman of the Board, Chief Executive Officer and President of the Company. The press release is filed as Exhibit 99.1 to this Current Report on Form 8-K.</w:t>
      </w:r>
    </w:p>
    <w:p>
      <w:pPr>
        <w:spacing w:after="0" w:line="197" w:lineRule="exact"/>
        <w:rPr>
          <w:sz w:val="24"/>
          <w:szCs w:val="24"/>
          <w:color w:val="auto"/>
        </w:rPr>
      </w:pPr>
    </w:p>
    <w:p>
      <w:pPr>
        <w:jc w:val="both"/>
        <w:ind w:left="1360" w:hanging="1136"/>
        <w:spacing w:after="0" w:line="259"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26, 2008, the Board of Directors approved the grant of 20,000 shares of restricted common stock of the Company to Mr. Hertzke in recognition of his contributions to the Company’s success during his 36 years of service with the Company. The restrictions on the stock will lapse on final day of Mr. Hertzke’s employment with the Company, May 30, 2008.</w:t>
      </w:r>
    </w:p>
    <w:p>
      <w:pPr>
        <w:sectPr>
          <w:pgSz w:w="11900" w:h="16838" w:orient="portrait"/>
          <w:cols w:equalWidth="0" w:num="1">
            <w:col w:w="11420"/>
          </w:cols>
          <w:pgMar w:left="240" w:top="786" w:right="239" w:bottom="0" w:gutter="0" w:footer="0" w:header="0"/>
        </w:sectPr>
      </w:pPr>
    </w:p>
    <w:p>
      <w:pPr>
        <w:spacing w:after="0" w:line="162"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ectPr>
          <w:pgSz w:w="11900" w:h="16838" w:orient="portrait"/>
          <w:cols w:equalWidth="0" w:num="1">
            <w:col w:w="11420"/>
          </w:cols>
          <w:pgMar w:left="240" w:top="78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900" w:type="dxa"/>
            <w:vAlign w:val="bottom"/>
          </w:tcPr>
          <w:p>
            <w:pPr>
              <w:ind w:left="220"/>
              <w:spacing w:after="0"/>
              <w:rPr>
                <w:sz w:val="20"/>
                <w:szCs w:val="20"/>
                <w:color w:val="auto"/>
              </w:rPr>
            </w:pPr>
            <w:r>
              <w:rPr>
                <w:rFonts w:ascii="Arial" w:cs="Arial" w:eastAsia="Arial" w:hAnsi="Arial"/>
                <w:sz w:val="18"/>
                <w:szCs w:val="18"/>
                <w:color w:val="auto"/>
              </w:rPr>
              <w:t>(d)</w:t>
            </w:r>
          </w:p>
        </w:tc>
        <w:tc>
          <w:tcPr>
            <w:tcW w:w="1600" w:type="dxa"/>
            <w:vAlign w:val="bottom"/>
          </w:tcPr>
          <w:p>
            <w:pPr>
              <w:ind w:left="460"/>
              <w:spacing w:after="0"/>
              <w:rPr>
                <w:sz w:val="20"/>
                <w:szCs w:val="20"/>
                <w:color w:val="auto"/>
              </w:rPr>
            </w:pPr>
            <w:r>
              <w:rPr>
                <w:rFonts w:ascii="Arial" w:cs="Arial" w:eastAsia="Arial" w:hAnsi="Arial"/>
                <w:sz w:val="18"/>
                <w:szCs w:val="18"/>
                <w:color w:val="auto"/>
              </w:rPr>
              <w:t>Exhibits</w:t>
            </w:r>
          </w:p>
        </w:tc>
        <w:tc>
          <w:tcPr>
            <w:tcW w:w="8920" w:type="dxa"/>
            <w:vAlign w:val="bottom"/>
          </w:tcPr>
          <w:p>
            <w:pPr>
              <w:spacing w:after="0"/>
              <w:rPr>
                <w:sz w:val="19"/>
                <w:szCs w:val="19"/>
                <w:color w:val="auto"/>
              </w:rPr>
            </w:pPr>
          </w:p>
        </w:tc>
      </w:tr>
      <w:tr>
        <w:trPr>
          <w:trHeight w:val="426"/>
        </w:trPr>
        <w:tc>
          <w:tcPr>
            <w:tcW w:w="900" w:type="dxa"/>
            <w:vAlign w:val="bottom"/>
          </w:tcPr>
          <w:p>
            <w:pPr>
              <w:spacing w:after="0"/>
              <w:rPr>
                <w:sz w:val="24"/>
                <w:szCs w:val="24"/>
                <w:color w:val="auto"/>
              </w:rPr>
            </w:pPr>
          </w:p>
        </w:tc>
        <w:tc>
          <w:tcPr>
            <w:tcW w:w="1600" w:type="dxa"/>
            <w:vAlign w:val="bottom"/>
          </w:tcPr>
          <w:p>
            <w:pPr>
              <w:ind w:left="740"/>
              <w:spacing w:after="0"/>
              <w:rPr>
                <w:sz w:val="20"/>
                <w:szCs w:val="20"/>
                <w:color w:val="auto"/>
              </w:rPr>
            </w:pPr>
            <w:r>
              <w:rPr>
                <w:rFonts w:ascii="Arial" w:cs="Arial" w:eastAsia="Arial" w:hAnsi="Arial"/>
                <w:sz w:val="18"/>
                <w:szCs w:val="18"/>
                <w:color w:val="auto"/>
              </w:rPr>
              <w:t>EXHIBIT</w:t>
            </w:r>
          </w:p>
        </w:tc>
        <w:tc>
          <w:tcPr>
            <w:tcW w:w="892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1600" w:type="dxa"/>
            <w:vAlign w:val="bottom"/>
          </w:tcPr>
          <w:p>
            <w:pPr>
              <w:ind w:left="700"/>
              <w:spacing w:after="0"/>
              <w:rPr>
                <w:sz w:val="20"/>
                <w:szCs w:val="20"/>
                <w:color w:val="auto"/>
              </w:rPr>
            </w:pPr>
            <w:r>
              <w:rPr>
                <w:rFonts w:ascii="Arial" w:cs="Arial" w:eastAsia="Arial" w:hAnsi="Arial"/>
                <w:sz w:val="18"/>
                <w:szCs w:val="18"/>
                <w:color w:val="auto"/>
              </w:rPr>
              <w:t>NUMBER</w:t>
            </w:r>
          </w:p>
        </w:tc>
        <w:tc>
          <w:tcPr>
            <w:tcW w:w="8920" w:type="dxa"/>
            <w:vAlign w:val="bottom"/>
          </w:tcPr>
          <w:p>
            <w:pPr>
              <w:ind w:left="3880"/>
              <w:spacing w:after="0"/>
              <w:rPr>
                <w:sz w:val="20"/>
                <w:szCs w:val="20"/>
                <w:color w:val="auto"/>
              </w:rPr>
            </w:pPr>
            <w:r>
              <w:rPr>
                <w:rFonts w:ascii="Arial" w:cs="Arial" w:eastAsia="Arial" w:hAnsi="Arial"/>
                <w:sz w:val="18"/>
                <w:szCs w:val="18"/>
                <w:color w:val="auto"/>
              </w:rPr>
              <w:t>DESCRIPTION</w:t>
            </w:r>
          </w:p>
        </w:tc>
      </w:tr>
      <w:tr>
        <w:trPr>
          <w:trHeight w:val="426"/>
        </w:trPr>
        <w:tc>
          <w:tcPr>
            <w:tcW w:w="900" w:type="dxa"/>
            <w:vAlign w:val="bottom"/>
          </w:tcPr>
          <w:p>
            <w:pPr>
              <w:spacing w:after="0"/>
              <w:rPr>
                <w:sz w:val="24"/>
                <w:szCs w:val="24"/>
                <w:color w:val="auto"/>
              </w:rPr>
            </w:pPr>
          </w:p>
        </w:tc>
        <w:tc>
          <w:tcPr>
            <w:tcW w:w="1600" w:type="dxa"/>
            <w:vAlign w:val="bottom"/>
          </w:tcPr>
          <w:p>
            <w:pPr>
              <w:jc w:val="right"/>
              <w:ind w:right="332"/>
              <w:spacing w:after="0"/>
              <w:rPr>
                <w:sz w:val="20"/>
                <w:szCs w:val="20"/>
                <w:color w:val="auto"/>
              </w:rPr>
            </w:pPr>
            <w:r>
              <w:rPr>
                <w:rFonts w:ascii="Arial" w:cs="Arial" w:eastAsia="Arial" w:hAnsi="Arial"/>
                <w:sz w:val="18"/>
                <w:szCs w:val="18"/>
                <w:color w:val="auto"/>
              </w:rPr>
              <w:t>99.1</w:t>
            </w:r>
          </w:p>
        </w:tc>
        <w:tc>
          <w:tcPr>
            <w:tcW w:w="8920" w:type="dxa"/>
            <w:vAlign w:val="bottom"/>
          </w:tcPr>
          <w:p>
            <w:pPr>
              <w:ind w:left="160"/>
              <w:spacing w:after="0"/>
              <w:rPr>
                <w:sz w:val="20"/>
                <w:szCs w:val="20"/>
                <w:color w:val="auto"/>
              </w:rPr>
            </w:pPr>
            <w:r>
              <w:rPr>
                <w:rFonts w:ascii="Arial" w:cs="Arial" w:eastAsia="Arial" w:hAnsi="Arial"/>
                <w:sz w:val="18"/>
                <w:szCs w:val="18"/>
                <w:color w:val="auto"/>
                <w:w w:val="93"/>
              </w:rPr>
              <w:t>Press Release of Winnebago Industries, Inc. Announcing Election of Bob Olson to the Position of Chairman, CEO and</w:t>
            </w:r>
          </w:p>
        </w:tc>
      </w:tr>
      <w:tr>
        <w:trPr>
          <w:trHeight w:val="222"/>
        </w:trPr>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President, dated March 27, 2008.</w:t>
            </w:r>
          </w:p>
        </w:tc>
      </w:tr>
      <w:tr>
        <w:trPr>
          <w:trHeight w:val="648"/>
        </w:trPr>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920" w:type="dxa"/>
            <w:vAlign w:val="bottom"/>
          </w:tcPr>
          <w:p>
            <w:pPr>
              <w:jc w:val="right"/>
              <w:ind w:right="5512"/>
              <w:spacing w:after="0"/>
              <w:rPr>
                <w:sz w:val="20"/>
                <w:szCs w:val="20"/>
                <w:color w:val="auto"/>
              </w:rPr>
            </w:pPr>
            <w:r>
              <w:rPr>
                <w:rFonts w:ascii="Arial" w:cs="Arial" w:eastAsia="Arial" w:hAnsi="Arial"/>
                <w:sz w:val="18"/>
                <w:szCs w:val="18"/>
                <w:color w:val="auto"/>
              </w:rPr>
              <w:t>-2-</w:t>
            </w:r>
          </w:p>
        </w:tc>
      </w:tr>
      <w:tr>
        <w:trPr>
          <w:trHeight w:val="377"/>
        </w:trPr>
        <w:tc>
          <w:tcPr>
            <w:tcW w:w="9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80" w:type="dxa"/>
            <w:vAlign w:val="bottom"/>
          </w:tcPr>
          <w:p>
            <w:pPr>
              <w:spacing w:after="0"/>
              <w:rPr>
                <w:sz w:val="20"/>
                <w:szCs w:val="20"/>
                <w:color w:val="auto"/>
              </w:rPr>
            </w:pPr>
            <w:r>
              <w:rPr>
                <w:rFonts w:ascii="Arial" w:cs="Arial" w:eastAsia="Arial" w:hAnsi="Arial"/>
                <w:sz w:val="18"/>
                <w:szCs w:val="18"/>
                <w:color w:val="auto"/>
              </w:rPr>
              <w:t>Date: April 1, 2008</w:t>
            </w:r>
          </w:p>
        </w:tc>
        <w:tc>
          <w:tcPr>
            <w:tcW w:w="6300" w:type="dxa"/>
            <w:vAlign w:val="bottom"/>
            <w:gridSpan w:val="2"/>
          </w:tcPr>
          <w:p>
            <w:pPr>
              <w:ind w:left="258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7"/>
        </w:trPr>
        <w:tc>
          <w:tcPr>
            <w:tcW w:w="3980" w:type="dxa"/>
            <w:vAlign w:val="bottom"/>
          </w:tcPr>
          <w:p>
            <w:pPr>
              <w:spacing w:after="0"/>
              <w:rPr>
                <w:sz w:val="24"/>
                <w:szCs w:val="24"/>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190"/>
        </w:trPr>
        <w:tc>
          <w:tcPr>
            <w:tcW w:w="3980" w:type="dxa"/>
            <w:vAlign w:val="bottom"/>
          </w:tcPr>
          <w:p>
            <w:pPr>
              <w:spacing w:after="0"/>
              <w:rPr>
                <w:sz w:val="16"/>
                <w:szCs w:val="16"/>
                <w:color w:val="auto"/>
              </w:rPr>
            </w:pPr>
          </w:p>
        </w:tc>
        <w:tc>
          <w:tcPr>
            <w:tcW w:w="3160" w:type="dxa"/>
            <w:vAlign w:val="bottom"/>
          </w:tcPr>
          <w:p>
            <w:pPr>
              <w:ind w:left="2580"/>
              <w:spacing w:after="0" w:line="190" w:lineRule="exact"/>
              <w:rPr>
                <w:sz w:val="20"/>
                <w:szCs w:val="20"/>
                <w:color w:val="auto"/>
              </w:rPr>
            </w:pPr>
            <w:r>
              <w:rPr>
                <w:rFonts w:ascii="Arial" w:cs="Arial" w:eastAsia="Arial" w:hAnsi="Arial"/>
                <w:sz w:val="18"/>
                <w:szCs w:val="18"/>
                <w:color w:val="auto"/>
              </w:rPr>
              <w:t>Name:</w:t>
            </w:r>
          </w:p>
        </w:tc>
        <w:tc>
          <w:tcPr>
            <w:tcW w:w="3140" w:type="dxa"/>
            <w:vAlign w:val="bottom"/>
          </w:tcPr>
          <w:p>
            <w:pPr>
              <w:spacing w:after="0" w:line="190" w:lineRule="exact"/>
              <w:rPr>
                <w:sz w:val="20"/>
                <w:szCs w:val="20"/>
                <w:color w:val="auto"/>
              </w:rPr>
            </w:pPr>
            <w:r>
              <w:rPr>
                <w:rFonts w:ascii="Arial" w:cs="Arial" w:eastAsia="Arial" w:hAnsi="Arial"/>
                <w:sz w:val="18"/>
                <w:szCs w:val="18"/>
                <w:color w:val="auto"/>
              </w:rPr>
              <w:t>Bruce D. Hertzke</w:t>
            </w:r>
          </w:p>
        </w:tc>
      </w:tr>
      <w:tr>
        <w:trPr>
          <w:trHeight w:val="236"/>
        </w:trPr>
        <w:tc>
          <w:tcPr>
            <w:tcW w:w="3980" w:type="dxa"/>
            <w:vAlign w:val="bottom"/>
          </w:tcPr>
          <w:p>
            <w:pPr>
              <w:spacing w:after="0"/>
              <w:rPr>
                <w:sz w:val="20"/>
                <w:szCs w:val="20"/>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1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 Release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Announces Election of Bob Olson to Position of Chairman, CEO and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Cash Dividend Announced –</w:t>
      </w:r>
    </w:p>
    <w:p>
      <w:pPr>
        <w:spacing w:after="0" w:line="225" w:lineRule="exact"/>
        <w:rPr>
          <w:sz w:val="20"/>
          <w:szCs w:val="20"/>
          <w:color w:val="auto"/>
        </w:rPr>
      </w:pPr>
    </w:p>
    <w:p>
      <w:pPr>
        <w:jc w:val="both"/>
        <w:ind w:right="400"/>
        <w:spacing w:after="0" w:line="298" w:lineRule="auto"/>
        <w:rPr>
          <w:sz w:val="20"/>
          <w:szCs w:val="20"/>
          <w:color w:val="auto"/>
        </w:rPr>
      </w:pPr>
      <w:r>
        <w:rPr>
          <w:rFonts w:ascii="Arial" w:cs="Arial" w:eastAsia="Arial" w:hAnsi="Arial"/>
          <w:sz w:val="16"/>
          <w:szCs w:val="16"/>
          <w:color w:val="auto"/>
        </w:rPr>
        <w:t>FOREST CITY, Iowa–(BUSINESS WIRE)–March 27, 2008–Winnebago Industries, Inc. (NYSE:WGO), Board of Directors yesterday accepted the letter of resignation of Bruce Hertzke from the Board and from his position as Chairman of the Board and Chief Executive Officer effective May 5, 2008. The Board announced the appointment of Bob Olson to the Company’s Board of Directors and the election of Olson to the position of Chairman of the Board and Chief Executive Officer, in addition to his current position of President, also effective May 5, 2008.</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Hertzke, 56, is a 36-year veteran of the Company and has held the position of Chairman and CEO since April 1998. He was elected to the additional position of President in May 1998 and relinquished that position in 2005 as part of the Company’s succession plan.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Olson, 56, is a career Winnebago Industries executive with 38 years of service with the Company. He has served as President since May 2007. Olson joined Winnebago Industries in 1969 as an hourly production employee, serving in various material and management positions prior to becoming the General Manager of Fabrication in 1986. In 1996 he was appointed Vice President of Manufacturing and in 2006 he became Senior Vice President of Operations.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Independent Board member John E. Herlitz, 65, who had served on the Company’s Board since 2005, died on March 23, 2008. Mr. Herlitz served on the Company’s Sales and Marketing and Human Resources Committees. No successor has yet been named to fill the resulting vacancy on the Board, Sales and Product Development and Human Resources Committees.</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separate action, the Board of Directors declared a quarterly cash dividend of 12 cents a share, payable on July 8, 2008 to shareholders of record as of June 6,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MULTIMEDIA AVAILABLE: </w:t>
      </w:r>
      <w:r>
        <w:rPr>
          <w:rFonts w:ascii="Arial" w:cs="Arial" w:eastAsia="Arial" w:hAnsi="Arial"/>
          <w:sz w:val="18"/>
          <w:szCs w:val="18"/>
          <w:u w:val="single" w:color="auto"/>
          <w:color w:val="auto"/>
        </w:rPr>
        <w:t>http://www.businesswire.com/cgi-bin/mmg.cgi?eid=5643772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Sheila Davis, 641-585-6803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PR/IR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sdavis@winnebagoind.com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2019-12-11T14:44:03Z</dcterms:created>
  <dcterms:modified xsi:type="dcterms:W3CDTF">2019-12-11T14:44:03Z</dcterms:modified>
</cp:coreProperties>
</file>