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9" w:lineRule="exact"/>
        <w:rPr>
          <w:sz w:val="24"/>
          <w:szCs w:val="24"/>
          <w:color w:val="auto"/>
        </w:rPr>
      </w:pPr>
    </w:p>
    <w:p>
      <w:pPr>
        <w:ind w:left="2620"/>
        <w:spacing w:after="0"/>
        <w:tabs>
          <w:tab w:leader="none" w:pos="68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17,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3773805</wp:posOffset>
            </wp:positionH>
            <wp:positionV relativeFrom="paragraph">
              <wp:posOffset>-13970</wp:posOffset>
            </wp:positionV>
            <wp:extent cx="18237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37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-13970</wp:posOffset>
            </wp:positionV>
            <wp:extent cx="2287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79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1660" w:type="dxa"/>
        <w:tblCellMar>
          <w:top w:w="0" w:type="dxa"/>
          <w:left w:w="0" w:type="dxa"/>
          <w:bottom w:w="0" w:type="dxa"/>
          <w:right w:w="0" w:type="dxa"/>
        </w:tblCellMar>
      </w:tblPr>
      <w:tr>
        <w:trPr>
          <w:trHeight w:val="222"/>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Iowa</w:t>
            </w:r>
          </w:p>
        </w:tc>
        <w:tc>
          <w:tcPr>
            <w:tcW w:w="2100" w:type="dxa"/>
            <w:vAlign w:val="bottom"/>
            <w:gridSpan w:val="4"/>
          </w:tcPr>
          <w:p>
            <w:pPr>
              <w:jc w:val="right"/>
              <w:ind w:right="680"/>
              <w:spacing w:after="0"/>
              <w:rPr>
                <w:sz w:val="20"/>
                <w:szCs w:val="20"/>
                <w:color w:val="auto"/>
              </w:rPr>
            </w:pPr>
            <w:r>
              <w:rPr>
                <w:rFonts w:ascii="Arial" w:cs="Arial" w:eastAsia="Arial" w:hAnsi="Arial"/>
                <w:sz w:val="18"/>
                <w:szCs w:val="18"/>
                <w:color w:val="auto"/>
              </w:rPr>
              <w:t>001-06403</w:t>
            </w:r>
          </w:p>
        </w:tc>
        <w:tc>
          <w:tcPr>
            <w:tcW w:w="1980" w:type="dxa"/>
            <w:vAlign w:val="bottom"/>
            <w:gridSpan w:val="3"/>
          </w:tcPr>
          <w:p>
            <w:pPr>
              <w:jc w:val="center"/>
              <w:ind w:left="992"/>
              <w:spacing w:after="0"/>
              <w:rPr>
                <w:sz w:val="20"/>
                <w:szCs w:val="20"/>
                <w:color w:val="auto"/>
              </w:rPr>
            </w:pPr>
            <w:r>
              <w:rPr>
                <w:rFonts w:ascii="Arial" w:cs="Arial" w:eastAsia="Arial" w:hAnsi="Arial"/>
                <w:sz w:val="18"/>
                <w:szCs w:val="18"/>
                <w:color w:val="auto"/>
                <w:w w:val="89"/>
              </w:rPr>
              <w:t>42-0802678</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10"/>
        </w:trPr>
        <w:tc>
          <w:tcPr>
            <w:tcW w:w="2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3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(State or other jurisdiction</w:t>
            </w:r>
          </w:p>
        </w:tc>
        <w:tc>
          <w:tcPr>
            <w:tcW w:w="210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(Commission File Number)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(IRS Employer</w:t>
            </w:r>
          </w:p>
        </w:tc>
        <w:tc>
          <w:tcPr>
            <w:tcW w:w="80" w:type="dxa"/>
            <w:vAlign w:val="bottom"/>
          </w:tcPr>
          <w:p>
            <w:pPr>
              <w:spacing w:after="0"/>
              <w:rPr>
                <w:sz w:val="24"/>
                <w:szCs w:val="24"/>
                <w:color w:val="auto"/>
              </w:rPr>
            </w:pPr>
          </w:p>
        </w:tc>
      </w:tr>
      <w:tr>
        <w:trPr>
          <w:trHeight w:val="243"/>
        </w:trPr>
        <w:tc>
          <w:tcPr>
            <w:tcW w:w="314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of incorporation)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Identification No.)</w:t>
            </w:r>
          </w:p>
        </w:tc>
        <w:tc>
          <w:tcPr>
            <w:tcW w:w="80" w:type="dxa"/>
            <w:vAlign w:val="bottom"/>
          </w:tcPr>
          <w:p>
            <w:pPr>
              <w:spacing w:after="0"/>
              <w:rPr>
                <w:sz w:val="21"/>
                <w:szCs w:val="21"/>
                <w:color w:val="auto"/>
              </w:rPr>
            </w:pPr>
          </w:p>
        </w:tc>
      </w:tr>
      <w:tr>
        <w:trPr>
          <w:trHeight w:val="459"/>
        </w:trPr>
        <w:tc>
          <w:tcPr>
            <w:tcW w:w="314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P.O. Box 152, Forest City, Iowa</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3"/>
          </w:tcPr>
          <w:p>
            <w:pPr>
              <w:jc w:val="right"/>
              <w:ind w:right="832"/>
              <w:spacing w:after="0"/>
              <w:rPr>
                <w:sz w:val="20"/>
                <w:szCs w:val="20"/>
                <w:color w:val="auto"/>
              </w:rPr>
            </w:pPr>
            <w:r>
              <w:rPr>
                <w:rFonts w:ascii="Arial" w:cs="Arial" w:eastAsia="Arial" w:hAnsi="Arial"/>
                <w:sz w:val="18"/>
                <w:szCs w:val="18"/>
                <w:color w:val="auto"/>
              </w:rPr>
              <w:t>50436</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0"/>
        </w:trPr>
        <w:tc>
          <w:tcPr>
            <w:tcW w:w="390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40" w:type="dxa"/>
            <w:vAlign w:val="bottom"/>
            <w:gridSpan w:val="7"/>
          </w:tcPr>
          <w:p>
            <w:pPr>
              <w:jc w:val="center"/>
              <w:ind w:right="1340"/>
              <w:spacing w:after="0"/>
              <w:rPr>
                <w:sz w:val="20"/>
                <w:szCs w:val="20"/>
                <w:color w:val="auto"/>
              </w:rPr>
            </w:pPr>
            <w:r>
              <w:rPr>
                <w:rFonts w:ascii="Arial" w:cs="Arial" w:eastAsia="Arial" w:hAnsi="Arial"/>
                <w:sz w:val="18"/>
                <w:szCs w:val="18"/>
                <w:color w:val="auto"/>
                <w:w w:val="90"/>
              </w:rPr>
              <w:t>(Address of principal executive offices)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tcPr>
          <w:p>
            <w:pPr>
              <w:jc w:val="center"/>
              <w:ind w:right="1400"/>
              <w:spacing w:after="0"/>
              <w:rPr>
                <w:sz w:val="20"/>
                <w:szCs w:val="20"/>
                <w:color w:val="auto"/>
              </w:rPr>
            </w:pPr>
            <w:r>
              <w:rPr>
                <w:rFonts w:ascii="Arial" w:cs="Arial" w:eastAsia="Arial" w:hAnsi="Arial"/>
                <w:sz w:val="18"/>
                <w:szCs w:val="18"/>
                <w:color w:val="auto"/>
                <w:w w:val="89"/>
              </w:rPr>
              <w:t>(Zip Code)</w:t>
            </w:r>
          </w:p>
        </w:tc>
        <w:tc>
          <w:tcPr>
            <w:tcW w:w="80" w:type="dxa"/>
            <w:vAlign w:val="bottom"/>
          </w:tcPr>
          <w:p>
            <w:pPr>
              <w:spacing w:after="0"/>
              <w:rPr>
                <w:sz w:val="24"/>
                <w:szCs w:val="24"/>
                <w:color w:val="auto"/>
              </w:rPr>
            </w:pPr>
          </w:p>
        </w:tc>
      </w:tr>
      <w:tr>
        <w:trPr>
          <w:trHeight w:val="394"/>
        </w:trPr>
        <w:tc>
          <w:tcPr>
            <w:tcW w:w="4520" w:type="dxa"/>
            <w:vAlign w:val="bottom"/>
            <w:gridSpan w:val="6"/>
          </w:tcPr>
          <w:p>
            <w:pPr>
              <w:ind w:left="880"/>
              <w:spacing w:after="0"/>
              <w:rPr>
                <w:sz w:val="20"/>
                <w:szCs w:val="20"/>
                <w:color w:val="auto"/>
              </w:rPr>
            </w:pPr>
            <w:r>
              <w:rPr>
                <w:rFonts w:ascii="Arial" w:cs="Arial" w:eastAsia="Arial" w:hAnsi="Arial"/>
                <w:sz w:val="18"/>
                <w:szCs w:val="18"/>
                <w:color w:val="auto"/>
                <w:w w:val="88"/>
              </w:rPr>
              <w:t>Registrant's telephone number, including area code</w:t>
            </w:r>
          </w:p>
        </w:tc>
        <w:tc>
          <w:tcPr>
            <w:tcW w:w="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8"/>
                <w:szCs w:val="18"/>
                <w:color w:val="auto"/>
                <w:w w:val="96"/>
              </w:rPr>
              <w:t>641-585-3535</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154305</wp:posOffset>
            </wp:positionV>
            <wp:extent cx="544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8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460" w:hanging="155"/>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312"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Winnebago Industries, Inc. is filing herewith a press release issued on March 17, 2005, as Exhibit 99.1 which is included herein. The press release was issued to report earnings for the second quarter of fiscal 2005 ended February 26, 2005.</w:t>
      </w:r>
    </w:p>
    <w:p>
      <w:pPr>
        <w:spacing w:after="0" w:line="24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12" w:lineRule="exact"/>
        <w:rPr>
          <w:sz w:val="24"/>
          <w:szCs w:val="24"/>
          <w:color w:val="auto"/>
        </w:rPr>
      </w:pPr>
    </w:p>
    <w:p>
      <w:pPr>
        <w:ind w:left="640" w:hanging="369"/>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17, 2005.</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331"/>
        </w:trPr>
        <w:tc>
          <w:tcPr>
            <w:tcW w:w="3860" w:type="dxa"/>
            <w:vAlign w:val="bottom"/>
          </w:tcPr>
          <w:p>
            <w:pPr>
              <w:spacing w:after="0"/>
              <w:rPr>
                <w:sz w:val="20"/>
                <w:szCs w:val="20"/>
                <w:color w:val="auto"/>
              </w:rPr>
            </w:pPr>
            <w:r>
              <w:rPr>
                <w:rFonts w:ascii="Arial" w:cs="Arial" w:eastAsia="Arial" w:hAnsi="Arial"/>
                <w:sz w:val="18"/>
                <w:szCs w:val="18"/>
                <w:color w:val="auto"/>
              </w:rPr>
              <w:t>Dated: March 17, 2005</w:t>
            </w:r>
          </w:p>
        </w:tc>
        <w:tc>
          <w:tcPr>
            <w:tcW w:w="7060" w:type="dxa"/>
            <w:vAlign w:val="bottom"/>
            <w:gridSpan w:val="3"/>
          </w:tcPr>
          <w:p>
            <w:pPr>
              <w:ind w:left="222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860" w:type="dxa"/>
            <w:vAlign w:val="bottom"/>
          </w:tcPr>
          <w:p>
            <w:pPr>
              <w:spacing w:after="0"/>
              <w:rPr>
                <w:sz w:val="24"/>
                <w:szCs w:val="24"/>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860" w:type="dxa"/>
            <w:vAlign w:val="bottom"/>
          </w:tcPr>
          <w:p>
            <w:pPr>
              <w:spacing w:after="0"/>
              <w:rPr>
                <w:sz w:val="22"/>
                <w:szCs w:val="22"/>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860" w:type="dxa"/>
            <w:vAlign w:val="bottom"/>
          </w:tcPr>
          <w:p>
            <w:pPr>
              <w:spacing w:after="0"/>
              <w:rPr>
                <w:sz w:val="21"/>
                <w:szCs w:val="21"/>
                <w:color w:val="auto"/>
              </w:rPr>
            </w:pPr>
          </w:p>
        </w:tc>
        <w:tc>
          <w:tcPr>
            <w:tcW w:w="2740" w:type="dxa"/>
            <w:vAlign w:val="bottom"/>
          </w:tcPr>
          <w:p>
            <w:pPr>
              <w:ind w:left="222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4"/>
          <w:szCs w:val="24"/>
          <w:color w:val="auto"/>
        </w:rPr>
      </w:pPr>
    </w:p>
    <w:p>
      <w:pPr>
        <w:sectPr>
          <w:pgSz w:w="11900" w:h="16838" w:orient="portrait"/>
          <w:cols w:equalWidth="0" w:num="1">
            <w:col w:w="11340"/>
          </w:cols>
          <w:pgMar w:left="240" w:top="233" w:right="319" w:bottom="0" w:gutter="0" w:footer="0" w:header="0"/>
        </w:sectPr>
      </w:pPr>
    </w:p>
    <w:p>
      <w:pPr>
        <w:spacing w:after="0" w:line="200" w:lineRule="exact"/>
        <w:rPr>
          <w:sz w:val="24"/>
          <w:szCs w:val="24"/>
          <w:color w:val="auto"/>
        </w:rPr>
      </w:pPr>
    </w:p>
    <w:p>
      <w:pPr>
        <w:spacing w:after="0" w:line="34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695325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2" w:name="page3"/>
    <w:bookmarkEnd w:id="2"/>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3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Sheila Davis</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Public Relations/Investor Relations Manager</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sdavis@winnebagoind.com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641/585-6803</w:t>
      </w: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WINNEBAGO INDUSTRIES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AND SIX MONTHS RESULTS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Dividend Declared —</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FOREST CITY, IOWA, March 17, 2005 — Winnebago Industries, Inc. (NYSE: WGO), the nation’s leading motor home manufacturer, today reported net income for the second quarter ended February 26, 2005 of $14.4 million, compared to net income of $15.9 million for the second quarter of fiscal 2004. On a per share basis, the Company earned 42 cents per diluted share for the second quarter of fiscal 2005, compared to 46 cents per diluted share for the second quarter of fiscal 2004.</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for the second quarter of fiscal 2005 were $239.4 million, compared to revenues of $266.0 million for the second quarter of fiscal 2004.</w:t>
      </w: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Net income for the first six months of both fiscal 2005 and 2004 was $33.9 million. On a per share basis, the Company earned 99 cents per diluted share for the first six months of fiscal 2005, compared to 96 cents per diluted share for the first six months of fiscal 2004.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first six months of fiscal 2005, the Company reported revenues of $505.5 million, compared to $521.0 million for the first six months of fiscal 2004.</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“Second quarter results were impacted by lower motor home deliveries,” said Winnebago Industries’ Chairman, CEO and President Bruce D. Hertzke.</w:t>
      </w:r>
    </w:p>
    <w:p>
      <w:pPr>
        <w:spacing w:after="0" w:line="24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“Comparisons with last year were extremely difficult. We spent the majority of the first half of fiscal 2004 on 45-hour work weeks, replenishing inventories at the wholesale level that had been drawn down during the initial months of the war in Iraq, as well as responding to the increase in retail demand. In contrast, during the first half of fiscal 2005, dealer inventory was at a more appropriate level. Dealer inventory increased by 1,414 units during the first half of fiscal 2004 compared to 623 units during the first half of fiscal 2005.”</w:t>
      </w:r>
    </w:p>
    <w:p>
      <w:pPr>
        <w:spacing w:after="0" w:line="1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“Although current industry motor home retail sales appear to be fairly closely aligned with retail sales at this time last year, there are indications that industry motor home production has exceeded market demand, causing an imbalance of motor home inventory,” said Hertzke. “As is our practice, we continue to monitor our inventories on hand, as well as our product inventories at the dealer level on a daily basis to ensure that we produce to the market demand. Going forward, we believe our sales will closely follow the retail pull of the RV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“Winnebago Industries’ products continue to perform well in the Class A diesel market segment,” Hertzke continued. “The new low-profile Winnebago Aspect and Itasca Cambria motor homes are helping Winnebago Industries to bolster market share in the Class C market. In addition, we begin deliveries of the new Winnebago View and Itasca Navion Class C diesel products next quarter. We believe these innovative new products will have a positive impact on our market share as they reach the retail market in the last quarter of fiscal 2005.”</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Winnebago Industries repurchased 52,600 shares of the Company’s common stock during the second quarter of fiscal 2005 ended February 26, 2005 for an aggregate price of approximately $1.8 million. The Company has approximately $25 million remaining on the current stock repurchase authorization from its board of directors.</w:t>
      </w:r>
    </w:p>
    <w:p>
      <w:pPr>
        <w:spacing w:after="0" w:line="19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At the meeting held yesterday, Winnebago Industries’ board of directors declared a quarterly cash dividend of seven cents a share, payable on July 6, 2005 to shareholders of record as of June 3, 2005.</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 xml:space="preserve">Winnebago Industries will conduct a conference call in conjunction with this release at 10 a.m. ET today, Thursday, March 17, 2005. Members of the news media, investors and the general public are invited to access a live broadcast of the conference call via the Investor Relations page of Company’s website at </w:t>
      </w:r>
      <w:r>
        <w:rPr>
          <w:rFonts w:ascii="Arial" w:cs="Arial" w:eastAsia="Arial" w:hAnsi="Arial"/>
          <w:sz w:val="18"/>
          <w:szCs w:val="18"/>
          <w:b w:val="1"/>
          <w:bCs w:val="1"/>
          <w:u w:val="single" w:color="auto"/>
          <w:color w:val="auto"/>
        </w:rPr>
        <w:t>www.winnebagoind.com</w:t>
      </w:r>
      <w:r>
        <w:rPr>
          <w:rFonts w:ascii="Arial" w:cs="Arial" w:eastAsia="Arial" w:hAnsi="Arial"/>
          <w:sz w:val="18"/>
          <w:szCs w:val="18"/>
          <w:color w:val="auto"/>
        </w:rPr>
        <w:t>,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www.shareholder.com/winnebago/medialist.cfm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www.vcall.com</w:t>
      </w:r>
      <w:r>
        <w:rPr>
          <w:rFonts w:ascii="Arial" w:cs="Arial" w:eastAsia="Arial" w:hAnsi="Arial"/>
          <w:sz w:val="18"/>
          <w:szCs w:val="18"/>
          <w:color w:val="auto"/>
        </w:rPr>
        <w:t>. The event will be archived and available for replay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next 90 days.</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Winnebago Industries</w:t>
      </w:r>
    </w:p>
    <w:p>
      <w:pPr>
        <w:spacing w:after="0" w:line="30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Winnebago Industries, Inc. is the leading United States manufacturer of motor homes, self-contained recreation vehicles used primarily in leisure travel and outdoor recreation activities. The Company builds quality motor homes under the Winnebago, Itasca and Rialta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http://www.winnebagoind.com/html/company/investorRelations.html</w:t>
      </w:r>
    </w:p>
    <w:p>
      <w:pPr>
        <w:spacing w:after="0" w:line="174" w:lineRule="exact"/>
        <w:rPr>
          <w:sz w:val="20"/>
          <w:szCs w:val="20"/>
          <w:color w:val="auto"/>
        </w:rPr>
      </w:pPr>
    </w:p>
    <w:p>
      <w:pPr>
        <w:ind w:right="400" w:firstLine="348"/>
        <w:spacing w:after="0" w:line="370" w:lineRule="auto"/>
        <w:rPr>
          <w:sz w:val="20"/>
          <w:szCs w:val="20"/>
          <w:color w:val="auto"/>
        </w:rPr>
      </w:pPr>
      <w:r>
        <w:rPr>
          <w:rFonts w:ascii="Arial" w:cs="Arial" w:eastAsia="Arial" w:hAnsi="Arial"/>
          <w:sz w:val="15"/>
          <w:szCs w:val="15"/>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w:t>
      </w:r>
    </w:p>
    <w:p>
      <w:pPr>
        <w:sectPr>
          <w:pgSz w:w="11900" w:h="16935" w:orient="portrait"/>
          <w:cols w:equalWidth="0" w:num="1">
            <w:col w:w="11420"/>
          </w:cols>
          <w:pgMar w:left="240" w:top="1314" w:right="239" w:bottom="0" w:gutter="0" w:footer="0" w:header="0"/>
        </w:sectPr>
      </w:pPr>
    </w:p>
    <w:bookmarkStart w:id="3" w:name="page4"/>
    <w:bookmarkEnd w:id="3"/>
    <w:p>
      <w:pPr>
        <w:spacing w:after="0" w:line="294" w:lineRule="auto"/>
        <w:rPr>
          <w:sz w:val="20"/>
          <w:szCs w:val="20"/>
          <w:color w:val="auto"/>
        </w:rPr>
      </w:pPr>
      <w:r>
        <w:rPr>
          <w:rFonts w:ascii="Arial" w:cs="Arial" w:eastAsia="Arial" w:hAnsi="Arial"/>
          <w:sz w:val="16"/>
          <w:szCs w:val="16"/>
          <w:color w:val="auto"/>
        </w:rPr>
        <w:t>including, but not limited to reactions to actual or threatened terrorist attacks, the availability and price of fuel, a significant increase in interest rates, a slowdown in the economy, availability of chassis and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(In thousands, except per share amounts)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5"/>
              <w:spacing w:after="0"/>
              <w:rPr>
                <w:sz w:val="20"/>
                <w:szCs w:val="20"/>
                <w:color w:val="auto"/>
              </w:rPr>
            </w:pPr>
            <w:r>
              <w:rPr>
                <w:rFonts w:ascii="Arial" w:cs="Arial" w:eastAsia="Arial" w:hAnsi="Arial"/>
                <w:sz w:val="14"/>
                <w:szCs w:val="14"/>
                <w:b w:val="1"/>
                <w:bCs w:val="1"/>
                <w:color w:val="auto"/>
                <w:w w:val="86"/>
              </w:rPr>
              <w:t>2/26/2005</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2/28/2004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2/26/2005</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73"/>
              <w:spacing w:after="0"/>
              <w:rPr>
                <w:sz w:val="20"/>
                <w:szCs w:val="20"/>
                <w:color w:val="auto"/>
              </w:rPr>
            </w:pPr>
            <w:r>
              <w:rPr>
                <w:rFonts w:ascii="Arial" w:cs="Arial" w:eastAsia="Arial" w:hAnsi="Arial"/>
                <w:sz w:val="14"/>
                <w:szCs w:val="14"/>
                <w:b w:val="1"/>
                <w:bCs w:val="1"/>
                <w:color w:val="auto"/>
                <w:w w:val="86"/>
              </w:rPr>
              <w:t>2/28/2004</w:t>
            </w:r>
          </w:p>
        </w:tc>
        <w:tc>
          <w:tcPr>
            <w:tcW w:w="0" w:type="dxa"/>
            <w:vAlign w:val="bottom"/>
          </w:tcPr>
          <w:p>
            <w:pPr>
              <w:spacing w:after="0"/>
              <w:rPr>
                <w:sz w:val="1"/>
                <w:szCs w:val="1"/>
                <w:color w:val="auto"/>
              </w:rPr>
            </w:pPr>
          </w:p>
        </w:tc>
      </w:tr>
      <w:tr>
        <w:trPr>
          <w:trHeight w:val="95"/>
        </w:trPr>
        <w:tc>
          <w:tcPr>
            <w:tcW w:w="3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239,359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266,033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505,492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520,966</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207,305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231,004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433,374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446,472</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32,054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72,118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74,494</w:t>
            </w:r>
          </w:p>
        </w:tc>
        <w:tc>
          <w:tcPr>
            <w:tcW w:w="0" w:type="dxa"/>
            <w:vAlign w:val="bottom"/>
          </w:tcPr>
          <w:p>
            <w:pPr>
              <w:spacing w:after="0"/>
              <w:rPr>
                <w:sz w:val="1"/>
                <w:szCs w:val="1"/>
                <w:color w:val="auto"/>
              </w:rPr>
            </w:pPr>
          </w:p>
        </w:tc>
      </w:tr>
      <w:tr>
        <w:trPr>
          <w:trHeight w:val="110"/>
        </w:trPr>
        <w:tc>
          <w:tcPr>
            <w:tcW w:w="36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Selling</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22"/>
        </w:trPr>
        <w:tc>
          <w:tcPr>
            <w:tcW w:w="368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11,777</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8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10,362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20,473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20,799</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21,692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51,645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53,695</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Financial income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Pre-tax income</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52,778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54,281</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Provision for taxes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18,868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20,334</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14,366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15,880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33,910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Income per share*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20"/>
        </w:trPr>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20"/>
        </w:trPr>
        <w:tc>
          <w:tcPr>
            <w:tcW w:w="3680" w:type="dxa"/>
            <w:vAlign w:val="bottom"/>
            <w:vMerge w:val="restart"/>
          </w:tcPr>
          <w:p>
            <w:pPr>
              <w:spacing w:after="0"/>
              <w:rPr>
                <w:sz w:val="20"/>
                <w:szCs w:val="20"/>
                <w:color w:val="auto"/>
              </w:rPr>
            </w:pPr>
            <w:r>
              <w:rPr>
                <w:rFonts w:ascii="Arial" w:cs="Arial" w:eastAsia="Arial" w:hAnsi="Arial"/>
                <w:sz w:val="18"/>
                <w:szCs w:val="18"/>
                <w:color w:val="auto"/>
              </w:rPr>
              <w:t>Number of shares used in</w:t>
            </w: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40"/>
              <w:spacing w:after="0"/>
              <w:rPr>
                <w:sz w:val="20"/>
                <w:szCs w:val="20"/>
                <w:color w:val="auto"/>
              </w:rPr>
            </w:pPr>
            <w:r>
              <w:rPr>
                <w:rFonts w:ascii="Arial" w:cs="Arial" w:eastAsia="Arial" w:hAnsi="Arial"/>
                <w:sz w:val="18"/>
                <w:szCs w:val="18"/>
                <w:color w:val="auto"/>
              </w:rPr>
              <w:t>per share calculations*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33,647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120"/>
        </w:trPr>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34,254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34,545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34,224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35,196</w:t>
            </w:r>
          </w:p>
        </w:tc>
        <w:tc>
          <w:tcPr>
            <w:tcW w:w="0" w:type="dxa"/>
            <w:vAlign w:val="bottom"/>
          </w:tcPr>
          <w:p>
            <w:pPr>
              <w:spacing w:after="0"/>
              <w:rPr>
                <w:sz w:val="1"/>
                <w:szCs w:val="1"/>
                <w:color w:val="auto"/>
              </w:rPr>
            </w:pPr>
          </w:p>
        </w:tc>
      </w:tr>
      <w:tr>
        <w:trPr>
          <w:trHeight w:val="120"/>
        </w:trPr>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-1163320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-1163320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-1163320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-1163320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-1163320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-1163320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-1163320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-1163320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-871855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-871855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-871855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-871855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-871855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-871855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-871855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-871855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-306070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-306070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-306070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-306070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-306070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-306070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-306070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-306070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Adjusted for 2-for-1 stock split on March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433705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Feb. 26, 2005</w:t>
            </w:r>
          </w:p>
        </w:tc>
        <w:tc>
          <w:tcPr>
            <w:tcW w:w="3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Aug. 28, 2004</w:t>
            </w:r>
          </w:p>
        </w:tc>
        <w:tc>
          <w:tcPr>
            <w:tcW w:w="0" w:type="dxa"/>
            <w:vAlign w:val="bottom"/>
          </w:tcPr>
          <w:p>
            <w:pPr>
              <w:spacing w:after="0"/>
              <w:rPr>
                <w:sz w:val="1"/>
                <w:szCs w:val="1"/>
                <w:color w:val="auto"/>
              </w:rPr>
            </w:pPr>
          </w:p>
        </w:tc>
      </w:tr>
      <w:tr>
        <w:trPr>
          <w:trHeight w:val="95"/>
        </w:trPr>
        <w:tc>
          <w:tcPr>
            <w:tcW w:w="39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0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16,107</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24,445</w:t>
            </w: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97,479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51,100</w:t>
            </w: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27,677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46,112</w:t>
            </w:r>
          </w:p>
        </w:tc>
        <w:tc>
          <w:tcPr>
            <w:tcW w:w="0" w:type="dxa"/>
            <w:vAlign w:val="bottom"/>
          </w:tcPr>
          <w:p>
            <w:pPr>
              <w:spacing w:after="0"/>
              <w:rPr>
                <w:sz w:val="1"/>
                <w:szCs w:val="1"/>
                <w:color w:val="auto"/>
              </w:rPr>
            </w:pPr>
          </w:p>
        </w:tc>
      </w:tr>
      <w:tr>
        <w:trPr>
          <w:trHeight w:val="216"/>
        </w:trPr>
        <w:tc>
          <w:tcPr>
            <w:tcW w:w="39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146,452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130,733</w:t>
            </w:r>
          </w:p>
        </w:tc>
        <w:tc>
          <w:tcPr>
            <w:tcW w:w="0" w:type="dxa"/>
            <w:vAlign w:val="bottom"/>
          </w:tcPr>
          <w:p>
            <w:pPr>
              <w:spacing w:after="0"/>
              <w:rPr>
                <w:sz w:val="1"/>
                <w:szCs w:val="1"/>
                <w:color w:val="auto"/>
              </w:rPr>
            </w:pPr>
          </w:p>
        </w:tc>
      </w:tr>
      <w:tr>
        <w:trPr>
          <w:trHeight w:val="222"/>
        </w:trPr>
        <w:tc>
          <w:tcPr>
            <w:tcW w:w="3900" w:type="dxa"/>
            <w:vAlign w:val="bottom"/>
          </w:tcPr>
          <w:p>
            <w:pPr>
              <w:ind w:left="14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17,841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110"/>
        </w:trPr>
        <w:tc>
          <w:tcPr>
            <w:tcW w:w="39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305,556</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270,069</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63,995</w:t>
            </w:r>
          </w:p>
        </w:tc>
        <w:tc>
          <w:tcPr>
            <w:tcW w:w="0" w:type="dxa"/>
            <w:vAlign w:val="bottom"/>
          </w:tcPr>
          <w:p>
            <w:pPr>
              <w:spacing w:after="0"/>
              <w:rPr>
                <w:sz w:val="1"/>
                <w:szCs w:val="1"/>
                <w:color w:val="auto"/>
              </w:rPr>
            </w:pPr>
          </w:p>
        </w:tc>
      </w:tr>
    </w:tbl>
    <w:p>
      <w:pPr>
        <w:sectPr>
          <w:pgSz w:w="11900" w:h="16838" w:orient="portrait"/>
          <w:cols w:equalWidth="0" w:num="1">
            <w:col w:w="11340"/>
          </w:cols>
          <w:pgMar w:left="240" w:top="131" w:right="319" w:bottom="0" w:gutter="0" w:footer="0" w:header="0"/>
        </w:sectPr>
      </w:pPr>
    </w:p>
    <w:bookmarkStart w:id="4" w:name="page5"/>
    <w:bookmarkEnd w:id="4"/>
    <w:p>
      <w:pPr>
        <w:spacing w:after="0" w:line="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25,228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21,686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22,863</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14,492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12,463</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430,093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8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40,894</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46,659</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22"/>
        </w:trPr>
        <w:tc>
          <w:tcPr>
            <w:tcW w:w="58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56,631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54,285</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109,175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105,278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Post retirement health care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00"/>
              <w:spacing w:after="0"/>
              <w:rPr>
                <w:sz w:val="20"/>
                <w:szCs w:val="20"/>
                <w:color w:val="auto"/>
              </w:rPr>
            </w:pPr>
            <w:r>
              <w:rPr>
                <w:rFonts w:ascii="Arial" w:cs="Arial" w:eastAsia="Arial" w:hAnsi="Arial"/>
                <w:sz w:val="18"/>
                <w:szCs w:val="18"/>
                <w:color w:val="auto"/>
              </w:rPr>
              <w:t>deferred compensation benefits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88,069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87,403</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232,849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110"/>
        </w:trPr>
        <w:tc>
          <w:tcPr>
            <w:tcW w:w="5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430,093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394,556</w:t>
            </w:r>
          </w:p>
        </w:tc>
        <w:tc>
          <w:tcPr>
            <w:tcW w:w="0" w:type="dxa"/>
            <w:vAlign w:val="bottom"/>
          </w:tcPr>
          <w:p>
            <w:pPr>
              <w:spacing w:after="0"/>
              <w:rPr>
                <w:sz w:val="1"/>
                <w:szCs w:val="1"/>
                <w:color w:val="auto"/>
              </w:rPr>
            </w:pPr>
          </w:p>
        </w:tc>
      </w:tr>
      <w:tr>
        <w:trPr>
          <w:trHeight w:val="120"/>
        </w:trPr>
        <w:tc>
          <w:tcPr>
            <w:tcW w:w="58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-1832610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-1832610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-1832610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-1832610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1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2/26/2005</w:t>
            </w: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2/28/2004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8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33,910</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33,947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4,931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Tax benefit of stock options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Decrease (increase) in receivables and other assets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18,210</w:t>
            </w:r>
          </w:p>
        </w:tc>
        <w:tc>
          <w:tcPr>
            <w:tcW w:w="2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(15,719)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Increase in deferred income taxes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(Decrease) increase in accounts payable</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and accrued expenses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(3,419)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Increase in income taxes payable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(Decrease) increase in postretirement benefits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(249)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46,207</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25,687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(used in) provided by investing activities:</w:t>
            </w: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(4,178)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(147,473)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(63,707)</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Proceeds from the sale of short-term investments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101,094</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103,817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Other</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(365)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(50,922)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35,028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vMerge w:val="restart"/>
          </w:tcPr>
          <w:p>
            <w:pPr>
              <w:spacing w:after="0"/>
              <w:rPr>
                <w:sz w:val="20"/>
                <w:szCs w:val="20"/>
                <w:color w:val="auto"/>
              </w:rPr>
            </w:pPr>
            <w:r>
              <w:rPr>
                <w:rFonts w:ascii="Arial" w:cs="Arial" w:eastAsia="Arial" w:hAnsi="Arial"/>
                <w:sz w:val="18"/>
                <w:szCs w:val="18"/>
                <w:color w:val="auto"/>
              </w:rPr>
              <w:t>Cash flows used in financing activities</w:t>
            </w: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2"/>
        </w:trPr>
        <w:tc>
          <w:tcPr>
            <w:tcW w:w="51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and capital transactions:</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(1,787)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(63,979)</w:t>
            </w:r>
          </w:p>
        </w:tc>
        <w:tc>
          <w:tcPr>
            <w:tcW w:w="0" w:type="dxa"/>
            <w:vAlign w:val="bottom"/>
          </w:tcPr>
          <w:p>
            <w:pPr>
              <w:spacing w:after="0"/>
              <w:rPr>
                <w:sz w:val="1"/>
                <w:szCs w:val="1"/>
                <w:color w:val="auto"/>
              </w:rPr>
            </w:pPr>
          </w:p>
        </w:tc>
      </w:tr>
      <w:tr>
        <w:trPr>
          <w:trHeight w:val="216"/>
        </w:trPr>
        <w:tc>
          <w:tcPr>
            <w:tcW w:w="5120" w:type="dxa"/>
            <w:vAlign w:val="bottom"/>
          </w:tcPr>
          <w:p>
            <w:pPr>
              <w:ind w:left="140"/>
              <w:spacing w:after="0"/>
              <w:rPr>
                <w:sz w:val="20"/>
                <w:szCs w:val="20"/>
                <w:color w:val="auto"/>
              </w:rPr>
            </w:pPr>
            <w:r>
              <w:rPr>
                <w:rFonts w:ascii="Arial" w:cs="Arial" w:eastAsia="Arial" w:hAnsi="Arial"/>
                <w:sz w:val="18"/>
                <w:szCs w:val="18"/>
                <w:color w:val="auto"/>
              </w:rPr>
              <w:t>Payment of cash dividends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(4,712)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2"/>
        </w:trPr>
        <w:tc>
          <w:tcPr>
            <w:tcW w:w="5120" w:type="dxa"/>
            <w:vAlign w:val="bottom"/>
          </w:tcPr>
          <w:p>
            <w:pPr>
              <w:ind w:left="140"/>
              <w:spacing w:after="0"/>
              <w:rPr>
                <w:sz w:val="20"/>
                <w:szCs w:val="20"/>
                <w:color w:val="auto"/>
              </w:rPr>
            </w:pPr>
            <w:r>
              <w:rPr>
                <w:rFonts w:ascii="Arial" w:cs="Arial" w:eastAsia="Arial" w:hAnsi="Arial"/>
                <w:sz w:val="18"/>
                <w:szCs w:val="18"/>
                <w:color w:val="auto"/>
              </w:rPr>
              <w:t>Proceeds from issuance of common and treasury stock</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2,876</w:t>
            </w:r>
          </w:p>
        </w:tc>
        <w:tc>
          <w:tcPr>
            <w:tcW w:w="2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20" w:type="dxa"/>
            <w:vAlign w:val="bottom"/>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(3,623)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(63,270)</w:t>
            </w: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1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880" w:type="dxa"/>
            <w:vAlign w:val="bottom"/>
            <w:gridSpan w:val="3"/>
          </w:tcPr>
          <w:p>
            <w:pPr>
              <w:jc w:val="right"/>
              <w:ind w:right="140"/>
              <w:spacing w:after="0"/>
              <w:rPr>
                <w:sz w:val="20"/>
                <w:szCs w:val="20"/>
                <w:color w:val="auto"/>
              </w:rPr>
            </w:pPr>
            <w:r>
              <w:rPr>
                <w:rFonts w:ascii="Arial" w:cs="Arial" w:eastAsia="Arial" w:hAnsi="Arial"/>
                <w:sz w:val="18"/>
                <w:szCs w:val="18"/>
                <w:color w:val="auto"/>
              </w:rPr>
              <w:t>(8,338)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24,445</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43" w:orient="portrait"/>
          <w:cols w:equalWidth="0" w:num="1">
            <w:col w:w="10219"/>
          </w:cols>
          <w:pgMar w:left="240" w:top="131" w:right="1440" w:bottom="0" w:gutter="0" w:footer="0" w:header="0"/>
        </w:sectPr>
      </w:pPr>
    </w:p>
    <w:bookmarkStart w:id="5" w:name="page6"/>
    <w:bookmarkEnd w:id="5"/>
    <w:p>
      <w:pPr>
        <w:ind w:left="1660"/>
        <w:spacing w:after="0"/>
        <w:tabs>
          <w:tab w:leader="none" w:pos="7620" w:val="left"/>
          <w:tab w:leader="none" w:pos="7960" w:val="left"/>
          <w:tab w:leader="none" w:pos="8760" w:val="left"/>
          <w:tab w:leader="none" w:pos="9180" w:val="left"/>
        </w:tabs>
        <w:rPr>
          <w:sz w:val="20"/>
          <w:szCs w:val="20"/>
          <w:color w:val="auto"/>
        </w:rPr>
      </w:pPr>
      <w:r>
        <w:rPr>
          <w:rFonts w:ascii="Arial" w:cs="Arial" w:eastAsia="Arial" w:hAnsi="Arial"/>
          <w:sz w:val="18"/>
          <w:szCs w:val="18"/>
          <w:color w:val="auto"/>
        </w:rPr>
        <w:t>Cash and cash equivalents-end of period</w:t>
      </w:r>
      <w:r>
        <w:rPr>
          <w:sz w:val="20"/>
          <w:szCs w:val="20"/>
          <w:color w:val="auto"/>
        </w:rPr>
        <w:tab/>
      </w:r>
      <w:r>
        <w:rPr>
          <w:rFonts w:ascii="Arial" w:cs="Arial" w:eastAsia="Arial" w:hAnsi="Arial"/>
          <w:sz w:val="18"/>
          <w:szCs w:val="18"/>
          <w:color w:val="auto"/>
        </w:rPr>
        <w:t>$</w:t>
        <w:tab/>
        <w:t>16,107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6,717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77470</wp:posOffset>
            </wp:positionV>
            <wp:extent cx="12560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560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Unaudited Motor Home Deliveries</w:t>
      </w:r>
    </w:p>
    <w:p>
      <w:pPr>
        <w:spacing w:after="0" w:line="21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0"/>
              </w:rPr>
              <w:t>Quarter Ended</w:t>
            </w: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23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2/26/2005</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2/28/2004</w:t>
            </w:r>
          </w:p>
        </w:tc>
        <w:tc>
          <w:tcPr>
            <w:tcW w:w="400" w:type="dxa"/>
            <w:vAlign w:val="bottom"/>
          </w:tcPr>
          <w:p>
            <w:pPr>
              <w:spacing w:after="0"/>
              <w:rPr>
                <w:sz w:val="22"/>
                <w:szCs w:val="22"/>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2/26/2005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2/28/2004</w:t>
            </w:r>
          </w:p>
        </w:tc>
        <w:tc>
          <w:tcPr>
            <w:tcW w:w="0" w:type="dxa"/>
            <w:vAlign w:val="bottom"/>
          </w:tcPr>
          <w:p>
            <w:pPr>
              <w:spacing w:after="0"/>
              <w:rPr>
                <w:sz w:val="1"/>
                <w:szCs w:val="1"/>
                <w:color w:val="auto"/>
              </w:rPr>
            </w:pPr>
          </w:p>
        </w:tc>
      </w:tr>
      <w:tr>
        <w:trPr>
          <w:trHeight w:val="95"/>
        </w:trPr>
        <w:tc>
          <w:tcPr>
            <w:tcW w:w="2240" w:type="dxa"/>
            <w:vAlign w:val="bottom"/>
            <w:vMerge w:val="restart"/>
          </w:tcPr>
          <w:p>
            <w:pPr>
              <w:spacing w:after="0"/>
              <w:rPr>
                <w:sz w:val="20"/>
                <w:szCs w:val="20"/>
                <w:color w:val="auto"/>
              </w:rPr>
            </w:pPr>
            <w:r>
              <w:rPr>
                <w:rFonts w:ascii="Arial" w:cs="Arial" w:eastAsia="Arial" w:hAnsi="Arial"/>
                <w:sz w:val="18"/>
                <w:szCs w:val="18"/>
                <w:color w:val="auto"/>
              </w:rPr>
              <w:t>Unit deliveries</w:t>
            </w:r>
          </w:p>
        </w:tc>
        <w:tc>
          <w:tcPr>
            <w:tcW w:w="1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1,268</w:t>
            </w:r>
          </w:p>
        </w:tc>
        <w:tc>
          <w:tcPr>
            <w:tcW w:w="400" w:type="dxa"/>
            <w:vAlign w:val="bottom"/>
          </w:tcPr>
          <w:p>
            <w:pPr>
              <w:spacing w:after="0"/>
              <w:rPr>
                <w:sz w:val="18"/>
                <w:szCs w:val="18"/>
                <w:color w:val="auto"/>
              </w:rPr>
            </w:pPr>
          </w:p>
        </w:tc>
        <w:tc>
          <w:tcPr>
            <w:tcW w:w="740" w:type="dxa"/>
            <w:vAlign w:val="bottom"/>
            <w:gridSpan w:val="2"/>
          </w:tcPr>
          <w:p>
            <w:pPr>
              <w:jc w:val="center"/>
              <w:ind w:left="240"/>
              <w:spacing w:after="0"/>
              <w:rPr>
                <w:sz w:val="20"/>
                <w:szCs w:val="20"/>
                <w:color w:val="auto"/>
              </w:rPr>
            </w:pPr>
            <w:r>
              <w:rPr>
                <w:rFonts w:ascii="Arial" w:cs="Arial" w:eastAsia="Arial" w:hAnsi="Arial"/>
                <w:sz w:val="18"/>
                <w:szCs w:val="18"/>
                <w:color w:val="auto"/>
                <w:w w:val="84"/>
              </w:rPr>
              <w:t>2,443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16"/>
        </w:trPr>
        <w:tc>
          <w:tcPr>
            <w:tcW w:w="22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w:t>
            </w:r>
          </w:p>
        </w:tc>
        <w:tc>
          <w:tcPr>
            <w:tcW w:w="400" w:type="dxa"/>
            <w:vAlign w:val="bottom"/>
          </w:tcPr>
          <w:p>
            <w:pPr>
              <w:spacing w:after="0"/>
              <w:rPr>
                <w:sz w:val="18"/>
                <w:szCs w:val="18"/>
                <w:color w:val="auto"/>
              </w:rPr>
            </w:pPr>
          </w:p>
        </w:tc>
        <w:tc>
          <w:tcPr>
            <w:tcW w:w="740" w:type="dxa"/>
            <w:vAlign w:val="bottom"/>
            <w:gridSpan w:val="2"/>
          </w:tcPr>
          <w:p>
            <w:pPr>
              <w:jc w:val="center"/>
              <w:ind w:left="240"/>
              <w:spacing w:after="0"/>
              <w:rPr>
                <w:sz w:val="20"/>
                <w:szCs w:val="20"/>
                <w:color w:val="auto"/>
              </w:rPr>
            </w:pPr>
            <w:r>
              <w:rPr>
                <w:rFonts w:ascii="Arial" w:cs="Arial" w:eastAsia="Arial" w:hAnsi="Arial"/>
                <w:sz w:val="18"/>
                <w:szCs w:val="18"/>
                <w:color w:val="auto"/>
                <w:w w:val="84"/>
              </w:rPr>
              <w:t>1,146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22"/>
        </w:trPr>
        <w:tc>
          <w:tcPr>
            <w:tcW w:w="2240" w:type="dxa"/>
            <w:vAlign w:val="bottom"/>
          </w:tcPr>
          <w:p>
            <w:pPr>
              <w:ind w:left="100"/>
              <w:spacing w:after="0"/>
              <w:rPr>
                <w:sz w:val="20"/>
                <w:szCs w:val="20"/>
                <w:color w:val="auto"/>
              </w:rPr>
            </w:pPr>
            <w:r>
              <w:rPr>
                <w:rFonts w:ascii="Arial" w:cs="Arial" w:eastAsia="Arial" w:hAnsi="Arial"/>
                <w:sz w:val="18"/>
                <w:szCs w:val="18"/>
                <w:color w:val="auto"/>
              </w:rPr>
              <w:t>Class C</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1,038</w:t>
            </w:r>
          </w:p>
        </w:tc>
        <w:tc>
          <w:tcPr>
            <w:tcW w:w="400" w:type="dxa"/>
            <w:vAlign w:val="bottom"/>
          </w:tcPr>
          <w:p>
            <w:pPr>
              <w:spacing w:after="0"/>
              <w:rPr>
                <w:sz w:val="19"/>
                <w:szCs w:val="19"/>
                <w:color w:val="auto"/>
              </w:rPr>
            </w:pPr>
          </w:p>
        </w:tc>
        <w:tc>
          <w:tcPr>
            <w:tcW w:w="740" w:type="dxa"/>
            <w:vAlign w:val="bottom"/>
            <w:gridSpan w:val="2"/>
          </w:tcPr>
          <w:p>
            <w:pPr>
              <w:jc w:val="center"/>
              <w:ind w:left="240"/>
              <w:spacing w:after="0"/>
              <w:rPr>
                <w:sz w:val="20"/>
                <w:szCs w:val="20"/>
                <w:color w:val="auto"/>
              </w:rPr>
            </w:pPr>
            <w:r>
              <w:rPr>
                <w:rFonts w:ascii="Arial" w:cs="Arial" w:eastAsia="Arial" w:hAnsi="Arial"/>
                <w:sz w:val="18"/>
                <w:szCs w:val="18"/>
                <w:color w:val="auto"/>
                <w:w w:val="84"/>
              </w:rPr>
              <w:t>1,790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240" w:type="dxa"/>
            <w:vAlign w:val="bottom"/>
          </w:tcPr>
          <w:p>
            <w:pPr>
              <w:ind w:left="220"/>
              <w:spacing w:after="0"/>
              <w:rPr>
                <w:sz w:val="20"/>
                <w:szCs w:val="20"/>
                <w:color w:val="auto"/>
              </w:rPr>
            </w:pPr>
            <w:r>
              <w:rPr>
                <w:rFonts w:ascii="Arial" w:cs="Arial" w:eastAsia="Arial" w:hAnsi="Arial"/>
                <w:sz w:val="18"/>
                <w:szCs w:val="18"/>
                <w:color w:val="auto"/>
              </w:rPr>
              <w:t>Total deliveries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2,554</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3,022</w:t>
            </w:r>
          </w:p>
        </w:tc>
        <w:tc>
          <w:tcPr>
            <w:tcW w:w="400" w:type="dxa"/>
            <w:vAlign w:val="bottom"/>
          </w:tcPr>
          <w:p>
            <w:pPr>
              <w:spacing w:after="0"/>
              <w:rPr>
                <w:sz w:val="24"/>
                <w:szCs w:val="24"/>
                <w:color w:val="auto"/>
              </w:rPr>
            </w:pPr>
          </w:p>
        </w:tc>
        <w:tc>
          <w:tcPr>
            <w:tcW w:w="740" w:type="dxa"/>
            <w:vAlign w:val="bottom"/>
            <w:gridSpan w:val="2"/>
          </w:tcPr>
          <w:p>
            <w:pPr>
              <w:jc w:val="center"/>
              <w:ind w:left="240"/>
              <w:spacing w:after="0"/>
              <w:rPr>
                <w:sz w:val="20"/>
                <w:szCs w:val="20"/>
                <w:color w:val="auto"/>
              </w:rPr>
            </w:pPr>
            <w:r>
              <w:rPr>
                <w:rFonts w:ascii="Arial" w:cs="Arial" w:eastAsia="Arial" w:hAnsi="Arial"/>
                <w:sz w:val="18"/>
                <w:szCs w:val="18"/>
                <w:color w:val="auto"/>
                <w:w w:val="84"/>
              </w:rPr>
              <w:t>5,379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669"/>
        </w:trPr>
        <w:tc>
          <w:tcPr>
            <w:tcW w:w="2240" w:type="dxa"/>
            <w:vAlign w:val="bottom"/>
          </w:tcPr>
          <w:p>
            <w:pPr>
              <w:spacing w:after="0"/>
              <w:rPr>
                <w:sz w:val="24"/>
                <w:szCs w:val="24"/>
                <w:color w:val="auto"/>
              </w:rPr>
            </w:pPr>
          </w:p>
        </w:tc>
        <w:tc>
          <w:tcPr>
            <w:tcW w:w="2760" w:type="dxa"/>
            <w:vAlign w:val="bottom"/>
            <w:gridSpan w:val="5"/>
          </w:tcPr>
          <w:p>
            <w:pPr>
              <w:ind w:left="840"/>
              <w:spacing w:after="0"/>
              <w:rPr>
                <w:sz w:val="20"/>
                <w:szCs w:val="20"/>
                <w:color w:val="auto"/>
              </w:rPr>
            </w:pPr>
            <w:r>
              <w:rPr>
                <w:rFonts w:ascii="Arial" w:cs="Arial" w:eastAsia="Arial" w:hAnsi="Arial"/>
                <w:sz w:val="18"/>
                <w:szCs w:val="18"/>
                <w:color w:val="auto"/>
                <w:w w:val="89"/>
              </w:rPr>
              <w:t>Winnebago Industries, Inc.</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840" w:type="dxa"/>
            <w:vAlign w:val="bottom"/>
            <w:gridSpan w:val="7"/>
          </w:tcPr>
          <w:p>
            <w:pPr>
              <w:jc w:val="center"/>
              <w:ind w:right="220"/>
              <w:spacing w:after="0"/>
              <w:rPr>
                <w:sz w:val="20"/>
                <w:szCs w:val="20"/>
                <w:color w:val="auto"/>
              </w:rPr>
            </w:pPr>
            <w:r>
              <w:rPr>
                <w:rFonts w:ascii="Arial" w:cs="Arial" w:eastAsia="Arial" w:hAnsi="Arial"/>
                <w:sz w:val="18"/>
                <w:szCs w:val="18"/>
                <w:color w:val="auto"/>
                <w:w w:val="89"/>
              </w:rPr>
              <w:t>Unaudited Backlog and Dealer Inventory</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spacing w:after="0"/>
              <w:rPr>
                <w:sz w:val="19"/>
                <w:szCs w:val="19"/>
                <w:color w:val="auto"/>
              </w:rPr>
            </w:pPr>
          </w:p>
        </w:tc>
        <w:tc>
          <w:tcPr>
            <w:tcW w:w="2760" w:type="dxa"/>
            <w:vAlign w:val="bottom"/>
            <w:gridSpan w:val="5"/>
          </w:tcPr>
          <w:p>
            <w:pPr>
              <w:jc w:val="center"/>
              <w:ind w:left="774"/>
              <w:spacing w:after="0"/>
              <w:rPr>
                <w:sz w:val="20"/>
                <w:szCs w:val="20"/>
                <w:color w:val="auto"/>
              </w:rPr>
            </w:pPr>
            <w:r>
              <w:rPr>
                <w:rFonts w:ascii="Arial" w:cs="Arial" w:eastAsia="Arial" w:hAnsi="Arial"/>
                <w:sz w:val="18"/>
                <w:szCs w:val="18"/>
                <w:color w:val="auto"/>
                <w:w w:val="94"/>
              </w:rPr>
              <w:t>(Units)</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2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9"/>
              </w:rPr>
              <w:t>2/26/2005</w:t>
            </w: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2/28/2004</w:t>
            </w:r>
          </w:p>
        </w:tc>
        <w:tc>
          <w:tcPr>
            <w:tcW w:w="0" w:type="dxa"/>
            <w:vAlign w:val="bottom"/>
          </w:tcPr>
          <w:p>
            <w:pPr>
              <w:spacing w:after="0"/>
              <w:rPr>
                <w:sz w:val="1"/>
                <w:szCs w:val="1"/>
                <w:color w:val="auto"/>
              </w:rPr>
            </w:pPr>
          </w:p>
        </w:tc>
      </w:tr>
      <w:tr>
        <w:trPr>
          <w:trHeight w:val="95"/>
        </w:trPr>
        <w:tc>
          <w:tcPr>
            <w:tcW w:w="2240" w:type="dxa"/>
            <w:vAlign w:val="bottom"/>
            <w:vMerge w:val="restart"/>
          </w:tcPr>
          <w:p>
            <w:pPr>
              <w:spacing w:after="0"/>
              <w:rPr>
                <w:sz w:val="20"/>
                <w:szCs w:val="20"/>
                <w:color w:val="auto"/>
              </w:rPr>
            </w:pPr>
            <w:r>
              <w:rPr>
                <w:rFonts w:ascii="Arial" w:cs="Arial" w:eastAsia="Arial" w:hAnsi="Arial"/>
                <w:sz w:val="18"/>
                <w:szCs w:val="18"/>
                <w:color w:val="auto"/>
              </w:rPr>
              <w:t>Sales order backlog</w:t>
            </w:r>
          </w:p>
        </w:tc>
        <w:tc>
          <w:tcPr>
            <w:tcW w:w="1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2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00"/>
              <w:spacing w:after="0"/>
              <w:rPr>
                <w:sz w:val="20"/>
                <w:szCs w:val="20"/>
                <w:color w:val="auto"/>
              </w:rPr>
            </w:pPr>
            <w:r>
              <w:rPr>
                <w:rFonts w:ascii="Arial" w:cs="Arial" w:eastAsia="Arial" w:hAnsi="Arial"/>
                <w:sz w:val="18"/>
                <w:szCs w:val="18"/>
                <w:color w:val="auto"/>
              </w:rPr>
              <w:t>Class A gas</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240" w:type="dxa"/>
            <w:vAlign w:val="bottom"/>
          </w:tcPr>
          <w:p>
            <w:pPr>
              <w:ind w:left="100"/>
              <w:spacing w:after="0"/>
              <w:rPr>
                <w:sz w:val="20"/>
                <w:szCs w:val="20"/>
                <w:color w:val="auto"/>
              </w:rPr>
            </w:pPr>
            <w:r>
              <w:rPr>
                <w:rFonts w:ascii="Arial" w:cs="Arial" w:eastAsia="Arial" w:hAnsi="Arial"/>
                <w:sz w:val="18"/>
                <w:szCs w:val="18"/>
                <w:color w:val="auto"/>
              </w:rPr>
              <w:t>Class A diesel</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2"/>
        </w:trPr>
        <w:tc>
          <w:tcPr>
            <w:tcW w:w="2240" w:type="dxa"/>
            <w:vAlign w:val="bottom"/>
          </w:tcPr>
          <w:p>
            <w:pPr>
              <w:ind w:left="100"/>
              <w:spacing w:after="0"/>
              <w:rPr>
                <w:sz w:val="20"/>
                <w:szCs w:val="20"/>
                <w:color w:val="auto"/>
              </w:rPr>
            </w:pPr>
            <w:r>
              <w:rPr>
                <w:rFonts w:ascii="Arial" w:cs="Arial" w:eastAsia="Arial" w:hAnsi="Arial"/>
                <w:sz w:val="18"/>
                <w:szCs w:val="18"/>
                <w:color w:val="auto"/>
              </w:rPr>
              <w:t>Class C</w:t>
            </w: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240" w:type="dxa"/>
            <w:vAlign w:val="bottom"/>
          </w:tcPr>
          <w:p>
            <w:pPr>
              <w:ind w:left="220"/>
              <w:spacing w:after="0"/>
              <w:rPr>
                <w:sz w:val="20"/>
                <w:szCs w:val="20"/>
                <w:color w:val="auto"/>
              </w:rPr>
            </w:pPr>
            <w:r>
              <w:rPr>
                <w:rFonts w:ascii="Arial" w:cs="Arial" w:eastAsia="Arial" w:hAnsi="Arial"/>
                <w:sz w:val="18"/>
                <w:szCs w:val="18"/>
                <w:color w:val="auto"/>
              </w:rPr>
              <w:t>Total backlog*</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Total approximate revenue</w:t>
            </w: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40" w:type="dxa"/>
            <w:vAlign w:val="bottom"/>
          </w:tcPr>
          <w:p>
            <w:pPr>
              <w:ind w:left="100"/>
              <w:spacing w:after="0"/>
              <w:rPr>
                <w:sz w:val="20"/>
                <w:szCs w:val="20"/>
                <w:color w:val="auto"/>
              </w:rPr>
            </w:pPr>
            <w:r>
              <w:rPr>
                <w:rFonts w:ascii="Arial" w:cs="Arial" w:eastAsia="Arial" w:hAnsi="Arial"/>
                <w:sz w:val="18"/>
                <w:szCs w:val="18"/>
                <w:color w:val="auto"/>
              </w:rPr>
              <w:t>dollars (in thousands)</w:t>
            </w:r>
          </w:p>
        </w:tc>
        <w:tc>
          <w:tcPr>
            <w:tcW w:w="27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189,100</w:t>
            </w:r>
          </w:p>
        </w:tc>
        <w:tc>
          <w:tcPr>
            <w:tcW w:w="740" w:type="dxa"/>
            <w:vAlign w:val="bottom"/>
            <w:gridSpan w:val="2"/>
          </w:tcPr>
          <w:p>
            <w:pPr>
              <w:jc w:val="cente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251,900</w:t>
            </w:r>
          </w:p>
        </w:tc>
        <w:tc>
          <w:tcPr>
            <w:tcW w:w="0" w:type="dxa"/>
            <w:vAlign w:val="bottom"/>
          </w:tcPr>
          <w:p>
            <w:pPr>
              <w:spacing w:after="0"/>
              <w:rPr>
                <w:sz w:val="1"/>
                <w:szCs w:val="1"/>
                <w:color w:val="auto"/>
              </w:rPr>
            </w:pPr>
          </w:p>
        </w:tc>
      </w:tr>
      <w:tr>
        <w:trPr>
          <w:trHeight w:val="459"/>
        </w:trPr>
        <w:tc>
          <w:tcPr>
            <w:tcW w:w="2240" w:type="dxa"/>
            <w:vAlign w:val="bottom"/>
          </w:tcPr>
          <w:p>
            <w:pPr>
              <w:spacing w:after="0"/>
              <w:rPr>
                <w:sz w:val="20"/>
                <w:szCs w:val="20"/>
                <w:color w:val="auto"/>
              </w:rPr>
            </w:pPr>
            <w:r>
              <w:rPr>
                <w:rFonts w:ascii="Arial" w:cs="Arial" w:eastAsia="Arial" w:hAnsi="Arial"/>
                <w:sz w:val="18"/>
                <w:szCs w:val="18"/>
                <w:color w:val="auto"/>
              </w:rPr>
              <w:t>Dealer inventory</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5,601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5,359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firstLine="8"/>
        <w:spacing w:after="0" w:line="332" w:lineRule="auto"/>
        <w:tabs>
          <w:tab w:leader="none" w:pos="13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includes in its backlog all accepted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26" w:lineRule="exact"/>
        <w:rPr>
          <w:rFonts w:ascii="Arial" w:cs="Arial" w:eastAsia="Arial" w:hAnsi="Arial"/>
          <w:sz w:val="16"/>
          <w:szCs w:val="16"/>
          <w:color w:val="auto"/>
        </w:rPr>
      </w:pPr>
    </w:p>
    <w:p>
      <w:pPr>
        <w:ind w:left="5740" w:hanging="269"/>
        <w:spacing w:after="0"/>
        <w:tabs>
          <w:tab w:leader="none" w:pos="5740" w:val="left"/>
        </w:tabs>
        <w:numPr>
          <w:ilvl w:val="1"/>
          <w:numId w:val="3"/>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00"/>
      </w:cols>
      <w:pgMar w:left="240" w:top="41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2019-12-13T08:11:29Z</dcterms:created>
  <dcterms:modified xsi:type="dcterms:W3CDTF">2019-12-13T08:11:29Z</dcterms:modified>
</cp:coreProperties>
</file>