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9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December 20,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175260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9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91" w:lineRule="exact"/>
        <w:rPr>
          <w:sz w:val="24"/>
          <w:szCs w:val="24"/>
          <w:color w:val="auto"/>
        </w:rPr>
      </w:pPr>
    </w:p>
    <w:tbl>
      <w:tblPr>
        <w:tblLayout w:type="fixed"/>
        <w:tblInd w:w="1000" w:type="dxa"/>
        <w:tblCellMar>
          <w:top w:w="0" w:type="dxa"/>
          <w:left w:w="0" w:type="dxa"/>
          <w:bottom w:w="0" w:type="dxa"/>
          <w:right w:w="0" w:type="dxa"/>
        </w:tblCellMar>
      </w:tblPr>
      <w:tr>
        <w:trPr>
          <w:trHeight w:val="217"/>
        </w:trPr>
        <w:tc>
          <w:tcPr>
            <w:tcW w:w="17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359"/>
              <w:spacing w:after="0"/>
              <w:rPr>
                <w:sz w:val="20"/>
                <w:szCs w:val="20"/>
                <w:color w:val="auto"/>
              </w:rPr>
            </w:pPr>
            <w:r>
              <w:rPr>
                <w:rFonts w:ascii="Arial" w:cs="Arial" w:eastAsia="Arial" w:hAnsi="Arial"/>
                <w:sz w:val="16"/>
                <w:szCs w:val="16"/>
                <w:b w:val="1"/>
                <w:bCs w:val="1"/>
                <w:color w:val="auto"/>
              </w:rPr>
              <w:t>Minnesota</w:t>
            </w:r>
          </w:p>
        </w:tc>
        <w:tc>
          <w:tcPr>
            <w:tcW w:w="1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001-06403</w:t>
            </w:r>
          </w:p>
        </w:tc>
        <w:tc>
          <w:tcPr>
            <w:tcW w:w="29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rPr>
              <w:t>42-0802678</w:t>
            </w:r>
          </w:p>
        </w:tc>
      </w:tr>
      <w:tr>
        <w:trPr>
          <w:trHeight w:val="169"/>
        </w:trPr>
        <w:tc>
          <w:tcPr>
            <w:tcW w:w="4620" w:type="dxa"/>
            <w:vAlign w:val="bottom"/>
            <w:gridSpan w:val="3"/>
          </w:tcPr>
          <w:p>
            <w:pPr>
              <w:jc w:val="center"/>
              <w:spacing w:after="0" w:line="169" w:lineRule="exact"/>
              <w:rPr>
                <w:sz w:val="20"/>
                <w:szCs w:val="20"/>
                <w:color w:val="auto"/>
              </w:rPr>
            </w:pPr>
            <w:r>
              <w:rPr>
                <w:rFonts w:ascii="Arial" w:cs="Arial" w:eastAsia="Arial" w:hAnsi="Arial"/>
                <w:sz w:val="16"/>
                <w:szCs w:val="16"/>
                <w:color w:val="auto"/>
              </w:rPr>
              <w:t>(State or Other Jurisdiction of Incorporation)</w:t>
            </w:r>
          </w:p>
        </w:tc>
        <w:tc>
          <w:tcPr>
            <w:tcW w:w="1660" w:type="dxa"/>
            <w:vAlign w:val="bottom"/>
          </w:tcPr>
          <w:p>
            <w:pPr>
              <w:jc w:val="center"/>
              <w:spacing w:after="0" w:line="169" w:lineRule="exact"/>
              <w:rPr>
                <w:sz w:val="20"/>
                <w:szCs w:val="20"/>
                <w:color w:val="auto"/>
              </w:rPr>
            </w:pPr>
            <w:r>
              <w:rPr>
                <w:rFonts w:ascii="Arial" w:cs="Arial" w:eastAsia="Arial" w:hAnsi="Arial"/>
                <w:sz w:val="16"/>
                <w:szCs w:val="16"/>
                <w:color w:val="auto"/>
              </w:rPr>
              <w:t>(Commission File</w:t>
            </w:r>
          </w:p>
        </w:tc>
        <w:tc>
          <w:tcPr>
            <w:tcW w:w="2960" w:type="dxa"/>
            <w:vAlign w:val="bottom"/>
          </w:tcPr>
          <w:p>
            <w:pPr>
              <w:jc w:val="center"/>
              <w:spacing w:after="0" w:line="169" w:lineRule="exact"/>
              <w:rPr>
                <w:sz w:val="20"/>
                <w:szCs w:val="20"/>
                <w:color w:val="auto"/>
              </w:rPr>
            </w:pPr>
            <w:r>
              <w:rPr>
                <w:rFonts w:ascii="Arial" w:cs="Arial" w:eastAsia="Arial" w:hAnsi="Arial"/>
                <w:sz w:val="16"/>
                <w:szCs w:val="16"/>
                <w:color w:val="auto"/>
              </w:rPr>
              <w:t>(IRS Employer Identification No.)</w:t>
            </w:r>
          </w:p>
        </w:tc>
      </w:tr>
      <w:tr>
        <w:trPr>
          <w:trHeight w:val="215"/>
        </w:trPr>
        <w:tc>
          <w:tcPr>
            <w:tcW w:w="1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Number)</w:t>
            </w:r>
          </w:p>
        </w:tc>
        <w:tc>
          <w:tcPr>
            <w:tcW w:w="2960" w:type="dxa"/>
            <w:vAlign w:val="bottom"/>
          </w:tcPr>
          <w:p>
            <w:pPr>
              <w:spacing w:after="0"/>
              <w:rPr>
                <w:sz w:val="18"/>
                <w:szCs w:val="18"/>
                <w:color w:val="auto"/>
              </w:rPr>
            </w:pPr>
          </w:p>
        </w:tc>
      </w:tr>
      <w:tr>
        <w:trPr>
          <w:trHeight w:val="541"/>
        </w:trPr>
        <w:tc>
          <w:tcPr>
            <w:tcW w:w="17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13200 Pioneer Trail</w:t>
            </w:r>
          </w:p>
        </w:tc>
        <w:tc>
          <w:tcPr>
            <w:tcW w:w="148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Eden Prairie</w:t>
            </w: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Minnesota</w:t>
            </w:r>
          </w:p>
        </w:tc>
        <w:tc>
          <w:tcPr>
            <w:tcW w:w="1660" w:type="dxa"/>
            <w:vAlign w:val="bottom"/>
          </w:tcPr>
          <w:p>
            <w:pPr>
              <w:spacing w:after="0"/>
              <w:rPr>
                <w:sz w:val="24"/>
                <w:szCs w:val="24"/>
                <w:color w:val="auto"/>
              </w:rPr>
            </w:pPr>
          </w:p>
        </w:tc>
        <w:tc>
          <w:tcPr>
            <w:tcW w:w="296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55347</w:t>
            </w:r>
          </w:p>
        </w:tc>
      </w:tr>
      <w:tr>
        <w:trPr>
          <w:trHeight w:val="235"/>
        </w:trPr>
        <w:tc>
          <w:tcPr>
            <w:tcW w:w="4620" w:type="dxa"/>
            <w:vAlign w:val="bottom"/>
            <w:gridSpan w:val="3"/>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166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39" w:lineRule="exact"/>
        <w:rPr>
          <w:sz w:val="24"/>
          <w:szCs w:val="24"/>
          <w:color w:val="auto"/>
        </w:rPr>
      </w:pPr>
    </w:p>
    <w:p>
      <w:pPr>
        <w:jc w:val="center"/>
        <w:ind w:right="20"/>
        <w:spacing w:after="0"/>
        <w:tabs>
          <w:tab w:leader="none" w:pos="120" w:val="left"/>
        </w:tabs>
        <w:rPr>
          <w:sz w:val="20"/>
          <w:szCs w:val="20"/>
          <w:color w:val="auto"/>
        </w:rPr>
      </w:pPr>
      <w:r>
        <w:rPr>
          <w:rFonts w:ascii="Arial" w:cs="Arial" w:eastAsia="Arial" w:hAnsi="Arial"/>
          <w:sz w:val="16"/>
          <w:szCs w:val="16"/>
          <w:color w:val="auto"/>
        </w:rPr>
        <w:t>Registrant's telephone number, including area code</w:t>
      </w:r>
      <w:r>
        <w:rPr>
          <w:sz w:val="20"/>
          <w:szCs w:val="20"/>
          <w:color w:val="auto"/>
        </w:rPr>
        <w:tab/>
      </w:r>
      <w:r>
        <w:rPr>
          <w:rFonts w:ascii="Arial" w:cs="Arial" w:eastAsia="Arial" w:hAnsi="Arial"/>
          <w:sz w:val="16"/>
          <w:szCs w:val="16"/>
          <w:b w:val="1"/>
          <w:bCs w:val="1"/>
          <w:color w:val="auto"/>
        </w:rPr>
        <w:t>952-829-8600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750570</wp:posOffset>
            </wp:positionH>
            <wp:positionV relativeFrom="paragraph">
              <wp:posOffset>200660</wp:posOffset>
            </wp:positionV>
            <wp:extent cx="56661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66105" cy="8255"/>
                    </a:xfrm>
                    <a:prstGeom prst="rect">
                      <a:avLst/>
                    </a:prstGeom>
                    <a:noFill/>
                  </pic:spPr>
                </pic:pic>
              </a:graphicData>
            </a:graphic>
          </wp:anchor>
        </w:drawing>
      </w:r>
    </w:p>
    <w:p>
      <w:pPr>
        <w:spacing w:after="0" w:line="390"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62" w:lineRule="exact"/>
        <w:rPr>
          <w:sz w:val="24"/>
          <w:szCs w:val="24"/>
          <w:color w:val="auto"/>
        </w:rPr>
      </w:pPr>
    </w:p>
    <w:p>
      <w:pPr>
        <w:ind w:right="2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4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1"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10" w:lineRule="exact"/>
        <w:rPr>
          <w:sz w:val="24"/>
          <w:szCs w:val="24"/>
          <w:color w:val="auto"/>
        </w:rPr>
      </w:pPr>
    </w:p>
    <w:p>
      <w:pPr>
        <w:jc w:val="both"/>
        <w:ind w:right="20"/>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spacing w:after="0" w:line="1" w:lineRule="exact"/>
        <w:rPr>
          <w:sz w:val="24"/>
          <w:szCs w:val="24"/>
          <w:color w:val="auto"/>
        </w:rPr>
      </w:pP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9" w:lineRule="exact"/>
        <w:rPr>
          <w:sz w:val="24"/>
          <w:szCs w:val="24"/>
          <w:color w:val="auto"/>
        </w:rPr>
      </w:pPr>
    </w:p>
    <w:p>
      <w:pPr>
        <w:ind w:right="16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02"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48" w:lineRule="exact"/>
        <w:rPr>
          <w:sz w:val="20"/>
          <w:szCs w:val="20"/>
          <w:color w:val="auto"/>
        </w:rPr>
      </w:pPr>
    </w:p>
    <w:p>
      <w:pPr>
        <w:ind w:right="420"/>
        <w:spacing w:after="0" w:line="304" w:lineRule="auto"/>
        <w:rPr>
          <w:sz w:val="20"/>
          <w:szCs w:val="20"/>
          <w:color w:val="auto"/>
        </w:rPr>
      </w:pPr>
      <w:r>
        <w:rPr>
          <w:rFonts w:ascii="Arial" w:cs="Arial" w:eastAsia="Arial" w:hAnsi="Arial"/>
          <w:sz w:val="16"/>
          <w:szCs w:val="16"/>
          <w:color w:val="auto"/>
        </w:rPr>
        <w:t>On December 20, 2023, Winnebago Industries, Inc. (the "Company") issued a press release to report financial results for the first quarter of Fiscal 2024 ended November 25, 2023. A copy of the press release is attached as Exhibit 99.1 and is incorporated by reference herein.</w:t>
      </w:r>
    </w:p>
    <w:p>
      <w:pPr>
        <w:spacing w:after="0" w:line="168"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first quarter of Fiscal 2024.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199" w:lineRule="exact"/>
        <w:rPr>
          <w:sz w:val="20"/>
          <w:szCs w:val="20"/>
          <w:color w:val="auto"/>
        </w:rPr>
      </w:pPr>
    </w:p>
    <w:p>
      <w:pPr>
        <w:ind w:right="380"/>
        <w:spacing w:after="0" w:line="265" w:lineRule="auto"/>
        <w:rPr>
          <w:sz w:val="20"/>
          <w:szCs w:val="20"/>
          <w:color w:val="auto"/>
        </w:rPr>
      </w:pPr>
      <w:r>
        <w:rPr>
          <w:rFonts w:ascii="Arial" w:cs="Arial" w:eastAsia="Arial" w:hAnsi="Arial"/>
          <w:sz w:val="16"/>
          <w:szCs w:val="16"/>
          <w:color w:val="auto"/>
        </w:rPr>
        <w:t>The information set forth in this Item 2.02, including Exhibit 99.1, of this Form 8-K shall be deemed "furnished" pursuant to Item 2.02 and not "filed" for purposes of Section 18 of the Securities and Exchange Act of 1934, or otherwise subject to the liabilities of that section, and shall not be deemed incorporated by reference in any filing under the Securities Act of 1933 or the Securities Exchange Act of 1934, except as shall be expressly set forth by specific reference in such filing.</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60" w:type="dxa"/>
            <w:vAlign w:val="bottom"/>
            <w:gridSpan w:val="4"/>
          </w:tcPr>
          <w:p>
            <w:pPr>
              <w:spacing w:after="0"/>
              <w:rPr>
                <w:sz w:val="20"/>
                <w:szCs w:val="20"/>
                <w:color w:val="auto"/>
              </w:rPr>
            </w:pPr>
            <w:r>
              <w:rPr>
                <w:rFonts w:ascii="Arial" w:cs="Arial" w:eastAsia="Arial" w:hAnsi="Arial"/>
                <w:sz w:val="16"/>
                <w:szCs w:val="16"/>
                <w:color w:val="auto"/>
              </w:rPr>
              <w:t>(d) Exhibits</w:t>
            </w:r>
          </w:p>
        </w:tc>
        <w:tc>
          <w:tcPr>
            <w:tcW w:w="51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4"/>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9480" w:type="dxa"/>
            <w:vAlign w:val="bottom"/>
            <w:gridSpan w:val="3"/>
          </w:tcPr>
          <w:p>
            <w:pPr>
              <w:spacing w:after="0"/>
              <w:rPr>
                <w:sz w:val="20"/>
                <w:szCs w:val="20"/>
                <w:color w:val="auto"/>
              </w:rPr>
            </w:pPr>
            <w:r>
              <w:rPr>
                <w:rFonts w:ascii="Arial" w:cs="Arial" w:eastAsia="Arial" w:hAnsi="Arial"/>
                <w:sz w:val="16"/>
                <w:szCs w:val="16"/>
                <w:b w:val="1"/>
                <w:bCs w:val="1"/>
                <w:color w:val="auto"/>
              </w:rPr>
              <w:t>Description</w:t>
            </w:r>
          </w:p>
        </w:tc>
      </w:tr>
      <w:tr>
        <w:trPr>
          <w:trHeight w:val="169"/>
        </w:trPr>
        <w:tc>
          <w:tcPr>
            <w:tcW w:w="400" w:type="dxa"/>
            <w:vAlign w:val="bottom"/>
          </w:tcPr>
          <w:p>
            <w:pPr>
              <w:spacing w:after="0"/>
              <w:rPr>
                <w:sz w:val="14"/>
                <w:szCs w:val="14"/>
                <w:color w:val="auto"/>
              </w:rPr>
            </w:pPr>
          </w:p>
        </w:tc>
        <w:tc>
          <w:tcPr>
            <w:tcW w:w="1360" w:type="dxa"/>
            <w:vAlign w:val="bottom"/>
            <w:tcBorders>
              <w:top w:val="single" w:sz="8" w:color="auto"/>
            </w:tcBorders>
            <w:gridSpan w:val="3"/>
          </w:tcPr>
          <w:p>
            <w:pPr>
              <w:ind w:left="20"/>
              <w:spacing w:after="0" w:line="169" w:lineRule="exact"/>
              <w:rPr>
                <w:sz w:val="20"/>
                <w:szCs w:val="20"/>
                <w:color w:val="auto"/>
              </w:rPr>
            </w:pPr>
            <w:r>
              <w:rPr>
                <w:rFonts w:ascii="Arial" w:cs="Arial" w:eastAsia="Arial" w:hAnsi="Arial"/>
                <w:sz w:val="16"/>
                <w:szCs w:val="16"/>
                <w:color w:val="0000FF"/>
              </w:rPr>
              <w:t>99.</w:t>
            </w:r>
            <w:r>
              <w:rPr>
                <w:rFonts w:ascii="Arial" w:cs="Arial" w:eastAsia="Arial" w:hAnsi="Arial"/>
                <w:sz w:val="16"/>
                <w:szCs w:val="16"/>
                <w:u w:val="single" w:color="auto"/>
                <w:color w:val="0000FF"/>
              </w:rPr>
              <w:t>1</w:t>
            </w:r>
          </w:p>
        </w:tc>
        <w:tc>
          <w:tcPr>
            <w:tcW w:w="938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color w:val="0000FF"/>
              </w:rPr>
              <w:t>Press Release of Winnebago Industries, Inc. dated December 20, 2023</w:t>
            </w:r>
          </w:p>
        </w:tc>
        <w:tc>
          <w:tcPr>
            <w:tcW w:w="100" w:type="dxa"/>
            <w:vAlign w:val="bottom"/>
          </w:tcPr>
          <w:p>
            <w:pPr>
              <w:spacing w:after="0"/>
              <w:rPr>
                <w:sz w:val="14"/>
                <w:szCs w:val="14"/>
                <w:color w:val="auto"/>
              </w:rPr>
            </w:pPr>
          </w:p>
        </w:tc>
      </w:tr>
      <w:tr>
        <w:trPr>
          <w:trHeight w:val="20"/>
        </w:trPr>
        <w:tc>
          <w:tcPr>
            <w:tcW w:w="4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100" w:type="dxa"/>
            <w:vAlign w:val="bottom"/>
            <w:shd w:val="clear" w:color="auto" w:fill="0000FF"/>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r>
      <w:tr>
        <w:trPr>
          <w:trHeight w:val="235"/>
        </w:trPr>
        <w:tc>
          <w:tcPr>
            <w:tcW w:w="740" w:type="dxa"/>
            <w:vAlign w:val="bottom"/>
            <w:gridSpan w:val="3"/>
          </w:tcPr>
          <w:p>
            <w:pPr>
              <w:ind w:left="420"/>
              <w:spacing w:after="0"/>
              <w:rPr>
                <w:sz w:val="20"/>
                <w:szCs w:val="20"/>
                <w:color w:val="auto"/>
              </w:rPr>
            </w:pPr>
            <w:r>
              <w:rPr>
                <w:rFonts w:ascii="Arial" w:cs="Arial" w:eastAsia="Arial" w:hAnsi="Arial"/>
                <w:sz w:val="16"/>
                <w:szCs w:val="16"/>
                <w:color w:val="auto"/>
              </w:rPr>
              <w:t>104</w:t>
            </w:r>
          </w:p>
        </w:tc>
        <w:tc>
          <w:tcPr>
            <w:tcW w:w="102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6"/>
                <w:szCs w:val="16"/>
                <w:color w:val="auto"/>
              </w:rPr>
              <w:t>Cover Page Interactive Data File (formatted as Inline XBRL)</w:t>
            </w:r>
          </w:p>
        </w:tc>
      </w:tr>
      <w:tr>
        <w:trPr>
          <w:trHeight w:val="981"/>
        </w:trPr>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5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300" w:type="dxa"/>
            <w:vAlign w:val="bottom"/>
            <w:gridSpan w:val="2"/>
          </w:tcPr>
          <w:p>
            <w:pPr>
              <w:ind w:left="7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429"/>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340" w:type="dxa"/>
            <w:vAlign w:val="bottom"/>
          </w:tcPr>
          <w:p>
            <w:pPr>
              <w:ind w:left="160"/>
              <w:spacing w:after="0"/>
              <w:rPr>
                <w:sz w:val="20"/>
                <w:szCs w:val="20"/>
                <w:color w:val="auto"/>
              </w:rPr>
            </w:pPr>
            <w:r>
              <w:rPr>
                <w:rFonts w:ascii="Arial" w:cs="Arial" w:eastAsia="Arial" w:hAnsi="Arial"/>
                <w:sz w:val="16"/>
                <w:szCs w:val="16"/>
                <w:color w:val="auto"/>
              </w:rPr>
              <w:t>December 20, 2023</w:t>
            </w:r>
          </w:p>
        </w:tc>
        <w:tc>
          <w:tcPr>
            <w:tcW w:w="1580" w:type="dxa"/>
            <w:vAlign w:val="bottom"/>
          </w:tcPr>
          <w:p>
            <w:pPr>
              <w:ind w:left="760"/>
              <w:spacing w:after="0"/>
              <w:rPr>
                <w:sz w:val="20"/>
                <w:szCs w:val="20"/>
                <w:color w:val="auto"/>
              </w:rPr>
            </w:pPr>
            <w:r>
              <w:rPr>
                <w:rFonts w:ascii="Arial" w:cs="Arial" w:eastAsia="Arial" w:hAnsi="Arial"/>
                <w:sz w:val="16"/>
                <w:szCs w:val="16"/>
                <w:color w:val="auto"/>
              </w:rPr>
              <w:t>By:</w:t>
            </w:r>
          </w:p>
        </w:tc>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Bryan L. Hughes</w:t>
            </w:r>
          </w:p>
        </w:tc>
      </w:tr>
      <w:tr>
        <w:trPr>
          <w:trHeight w:val="210"/>
        </w:trPr>
        <w:tc>
          <w:tcPr>
            <w:tcW w:w="5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580" w:type="dxa"/>
            <w:vAlign w:val="bottom"/>
          </w:tcPr>
          <w:p>
            <w:pPr>
              <w:ind w:left="760"/>
              <w:spacing w:after="0"/>
              <w:rPr>
                <w:sz w:val="20"/>
                <w:szCs w:val="20"/>
                <w:color w:val="auto"/>
              </w:rPr>
            </w:pPr>
            <w:r>
              <w:rPr>
                <w:rFonts w:ascii="Arial" w:cs="Arial" w:eastAsia="Arial" w:hAnsi="Arial"/>
                <w:sz w:val="16"/>
                <w:szCs w:val="16"/>
                <w:color w:val="auto"/>
              </w:rPr>
              <w:t>Name:</w:t>
            </w:r>
          </w:p>
        </w:tc>
        <w:tc>
          <w:tcPr>
            <w:tcW w:w="5720" w:type="dxa"/>
            <w:vAlign w:val="bottom"/>
          </w:tcPr>
          <w:p>
            <w:pPr>
              <w:ind w:left="20"/>
              <w:spacing w:after="0"/>
              <w:rPr>
                <w:sz w:val="20"/>
                <w:szCs w:val="20"/>
                <w:color w:val="auto"/>
              </w:rPr>
            </w:pPr>
            <w:r>
              <w:rPr>
                <w:rFonts w:ascii="Arial" w:cs="Arial" w:eastAsia="Arial" w:hAnsi="Arial"/>
                <w:sz w:val="16"/>
                <w:szCs w:val="16"/>
                <w:color w:val="auto"/>
              </w:rPr>
              <w:t>Bryan L. Hughes</w:t>
            </w:r>
          </w:p>
        </w:tc>
      </w:tr>
      <w:tr>
        <w:trPr>
          <w:trHeight w:val="215"/>
        </w:trPr>
        <w:tc>
          <w:tcPr>
            <w:tcW w:w="5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580" w:type="dxa"/>
            <w:vAlign w:val="bottom"/>
          </w:tcPr>
          <w:p>
            <w:pPr>
              <w:ind w:left="760"/>
              <w:spacing w:after="0"/>
              <w:rPr>
                <w:sz w:val="20"/>
                <w:szCs w:val="20"/>
                <w:color w:val="auto"/>
              </w:rPr>
            </w:pPr>
            <w:r>
              <w:rPr>
                <w:rFonts w:ascii="Arial" w:cs="Arial" w:eastAsia="Arial" w:hAnsi="Arial"/>
                <w:sz w:val="16"/>
                <w:szCs w:val="16"/>
                <w:color w:val="auto"/>
              </w:rPr>
              <w:t>Title:</w:t>
            </w:r>
          </w:p>
        </w:tc>
        <w:tc>
          <w:tcPr>
            <w:tcW w:w="5720" w:type="dxa"/>
            <w:vAlign w:val="bottom"/>
          </w:tcPr>
          <w:p>
            <w:pPr>
              <w:ind w:left="20"/>
              <w:spacing w:after="0"/>
              <w:rPr>
                <w:sz w:val="20"/>
                <w:szCs w:val="20"/>
                <w:color w:val="auto"/>
              </w:rPr>
            </w:pPr>
            <w:r>
              <w:rPr>
                <w:rFonts w:ascii="Arial" w:cs="Arial" w:eastAsia="Arial" w:hAnsi="Arial"/>
                <w:sz w:val="16"/>
                <w:szCs w:val="16"/>
                <w:color w:val="auto"/>
              </w:rPr>
              <w:t>Chief Financial Officer and Senior Vice President</w:t>
            </w:r>
          </w:p>
        </w:tc>
      </w:tr>
      <w:tr>
        <w:trPr>
          <w:trHeight w:val="216"/>
        </w:trPr>
        <w:tc>
          <w:tcPr>
            <w:tcW w:w="5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72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r>
    </w:tbl>
    <w:p>
      <w:pPr>
        <w:sectPr>
          <w:pgSz w:w="11900" w:h="16838" w:orient="portrait"/>
          <w:cols w:equalWidth="0" w:num="1">
            <w:col w:w="11220"/>
          </w:cols>
          <w:pgMar w:left="320" w:top="88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29210</wp:posOffset>
            </wp:positionV>
            <wp:extent cx="2957195" cy="814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57195" cy="81470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7020"/>
        <w:spacing w:after="0"/>
        <w:rPr>
          <w:sz w:val="20"/>
          <w:szCs w:val="20"/>
          <w:color w:val="auto"/>
        </w:rPr>
      </w:pPr>
      <w:r>
        <w:rPr>
          <w:rFonts w:ascii="Arial" w:cs="Arial" w:eastAsia="Arial" w:hAnsi="Arial"/>
          <w:sz w:val="43"/>
          <w:szCs w:val="43"/>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WINNEBAGO INDUSTRIES REPORTS FIRST QUARTER FISCAL 2024 RESULTS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Diversified Portfolio of Premium Products Demonstrates Continued Resilience in Challenging Market Environment --</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Maintains Healthy Gross Profit Margins of 15.2%, Driven by Strong Execution in Towable RV Business --</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Barletta Continues to Gain Market Share in the Aluminum Pontoon Market --</w:t>
      </w:r>
    </w:p>
    <w:p>
      <w:pPr>
        <w:spacing w:after="0" w:line="181" w:lineRule="exact"/>
        <w:rPr>
          <w:sz w:val="20"/>
          <w:szCs w:val="20"/>
          <w:color w:val="auto"/>
        </w:rPr>
      </w:pPr>
    </w:p>
    <w:p>
      <w:pPr>
        <w:ind w:left="2800" w:right="2380" w:hanging="412"/>
        <w:spacing w:after="0" w:line="543" w:lineRule="auto"/>
        <w:tabs>
          <w:tab w:leader="none" w:pos="2539"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Returned $50 Million to Shareholders Through Share Repurchases and Dividends, While Further Investing in Innovation, Digital Assets and IT Capabilities --</w:t>
      </w:r>
    </w:p>
    <w:p>
      <w:pPr>
        <w:spacing w:after="0" w:line="126" w:lineRule="exact"/>
        <w:rPr>
          <w:sz w:val="20"/>
          <w:szCs w:val="20"/>
          <w:color w:val="auto"/>
        </w:rPr>
      </w:pPr>
    </w:p>
    <w:p>
      <w:pPr>
        <w:ind w:right="340"/>
        <w:spacing w:after="0" w:line="409" w:lineRule="auto"/>
        <w:rPr>
          <w:sz w:val="20"/>
          <w:szCs w:val="20"/>
          <w:color w:val="auto"/>
        </w:rPr>
      </w:pPr>
      <w:r>
        <w:rPr>
          <w:rFonts w:ascii="Arial" w:cs="Arial" w:eastAsia="Arial" w:hAnsi="Arial"/>
          <w:sz w:val="16"/>
          <w:szCs w:val="16"/>
          <w:color w:val="auto"/>
        </w:rPr>
        <w:t>EDEN PRAIRIE, MINNESOTA, December 20, 2023 -- Winnebago Industries, Inc. (NYSE: WGO), a leading outdoor lifestyle product manufacturer, today reported financial results for the Company's Fiscal 2024 first quarter.</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First Quarter Fiscal 2024 Results</w:t>
      </w:r>
    </w:p>
    <w:p>
      <w:pPr>
        <w:spacing w:after="0" w:line="100" w:lineRule="exact"/>
        <w:rPr>
          <w:sz w:val="20"/>
          <w:szCs w:val="20"/>
          <w:color w:val="auto"/>
        </w:rPr>
      </w:pPr>
    </w:p>
    <w:p>
      <w:pPr>
        <w:ind w:right="40"/>
        <w:spacing w:after="0" w:line="380" w:lineRule="auto"/>
        <w:rPr>
          <w:sz w:val="20"/>
          <w:szCs w:val="20"/>
          <w:color w:val="auto"/>
        </w:rPr>
      </w:pPr>
      <w:r>
        <w:rPr>
          <w:rFonts w:ascii="Arial" w:cs="Arial" w:eastAsia="Arial" w:hAnsi="Arial"/>
          <w:sz w:val="16"/>
          <w:szCs w:val="16"/>
          <w:color w:val="auto"/>
        </w:rPr>
        <w:t>Revenues for the Fiscal 2024 first quarter ended November 25, 2023, were $763.0 million, a decrease of 19.9% compared to $952.2 million for the Fiscal 2023 first quarter, primarily driven by lower unit sales related to market conditions, product mix, and higher discounts and allowances compared to prior year, partially offset by carryover price increases related to higher motorized chassis costs.</w:t>
      </w:r>
    </w:p>
    <w:p>
      <w:pPr>
        <w:spacing w:after="0" w:line="206" w:lineRule="exact"/>
        <w:rPr>
          <w:sz w:val="20"/>
          <w:szCs w:val="20"/>
          <w:color w:val="auto"/>
        </w:rPr>
      </w:pPr>
    </w:p>
    <w:p>
      <w:pPr>
        <w:spacing w:after="0" w:line="376" w:lineRule="auto"/>
        <w:rPr>
          <w:sz w:val="20"/>
          <w:szCs w:val="20"/>
          <w:color w:val="auto"/>
        </w:rPr>
      </w:pPr>
      <w:r>
        <w:rPr>
          <w:rFonts w:ascii="Arial" w:cs="Arial" w:eastAsia="Arial" w:hAnsi="Arial"/>
          <w:sz w:val="16"/>
          <w:szCs w:val="16"/>
          <w:color w:val="auto"/>
        </w:rPr>
        <w:t>Gross profit for the Fiscal 2024 first quarter was $115.8 million, a decrease of 27.8% compared to $160.4 million for the Fiscal 2023 first quarter. Gross profit margin decreased 160 basis points from prior year to 15.2% primarily as a result of volume deleverage and higher discounts and allowances. Operating income was $39.1 million for the Fiscal 2024 first quarter, a decrease of 54.5% compared to $85.9 million for the first quarter of last year. Fiscal 2024 first quarter net income was $25.8 million, a decrease of 57.1% compared to $60.2 million in the prior year quarter. Reported earnings per diluted share for the Fiscal 2024 first quarter was $0.78, compared to reported earnings per diluted share of $1.73 in the same period last year. Adjusted earnings per diluted share for the Fiscal 2024 first quarter was $1.06, a decrease of 48.8% compared to adjusted earnings per diluted share of $2.07 in the same period last year. Consolidated Adjusted EBITDA was $54.1 million for the Fiscal 2024 first quarter, a decrease of 44.2%, compared to $97.0 million last year.</w:t>
      </w:r>
    </w:p>
    <w:p>
      <w:pPr>
        <w:spacing w:after="0" w:line="196" w:lineRule="exact"/>
        <w:rPr>
          <w:sz w:val="20"/>
          <w:szCs w:val="20"/>
          <w:color w:val="auto"/>
        </w:rPr>
      </w:pPr>
    </w:p>
    <w:p>
      <w:pPr>
        <w:ind w:right="20"/>
        <w:spacing w:after="0" w:line="372" w:lineRule="auto"/>
        <w:rPr>
          <w:sz w:val="20"/>
          <w:szCs w:val="20"/>
          <w:color w:val="auto"/>
        </w:rPr>
      </w:pPr>
      <w:r>
        <w:rPr>
          <w:rFonts w:ascii="Arial" w:cs="Arial" w:eastAsia="Arial" w:hAnsi="Arial"/>
          <w:sz w:val="16"/>
          <w:szCs w:val="16"/>
          <w:color w:val="auto"/>
        </w:rPr>
        <w:t>President and Chief Executive Officer Michael Happe commented, “Winnebago Industries’ first quarter results underscore the resilience of our diversified portfolio and variable cost structure in navigating a sales environment influenced by challenging retail trends and intentional inventory management by dealers. Our steadfast commitment across our portfolio to production discipline that aligns with market conditions, and improving operational excellence continues to deliver solid profitability. Throughout the first quarter, we maintained our focus on recent and forthcoming multiple new product releases in the Towables RV segment, as well as a refreshed, entry-level Aria pontoon product in the Marine segment, that address vital considerations surrounding affordability, while staying true to our reputation for outstanding quality and customer service. We also continued to strategically invest in critical long-term initiatives around advanced technology, digital transformation, and IT capabilities. The inauguration of our new Innovation Center represents an important milestone as we strive to cultivate and integrate emerging technology innovations, enhancing the overall value proposition and experience for our customers. Our unwavering commitment to investing</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895" w:right="339" w:bottom="1440" w:gutter="0" w:footer="0" w:header="0"/>
        </w:sectPr>
      </w:pPr>
    </w:p>
    <w:bookmarkStart w:id="4" w:name="page5"/>
    <w:bookmarkEnd w:id="4"/>
    <w:p>
      <w:pPr>
        <w:ind w:right="640"/>
        <w:spacing w:after="0" w:line="409" w:lineRule="auto"/>
        <w:rPr>
          <w:sz w:val="20"/>
          <w:szCs w:val="20"/>
          <w:color w:val="auto"/>
        </w:rPr>
      </w:pPr>
      <w:r>
        <w:rPr>
          <w:rFonts w:ascii="Arial" w:cs="Arial" w:eastAsia="Arial" w:hAnsi="Arial"/>
          <w:sz w:val="16"/>
          <w:szCs w:val="16"/>
          <w:color w:val="auto"/>
        </w:rPr>
        <w:t>in the future reflects our long-term confidence in driving sustained growth, expanding market share, and providing customers with a diverse array of compelling options – all while ultimately delivering value for our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Towable RV</w:t>
      </w:r>
    </w:p>
    <w:p>
      <w:pPr>
        <w:spacing w:after="0" w:line="100" w:lineRule="exact"/>
        <w:rPr>
          <w:sz w:val="20"/>
          <w:szCs w:val="20"/>
          <w:color w:val="auto"/>
        </w:rPr>
      </w:pPr>
    </w:p>
    <w:p>
      <w:pPr>
        <w:ind w:right="140"/>
        <w:spacing w:after="0" w:line="375" w:lineRule="auto"/>
        <w:rPr>
          <w:sz w:val="20"/>
          <w:szCs w:val="20"/>
          <w:color w:val="auto"/>
        </w:rPr>
      </w:pPr>
      <w:r>
        <w:rPr>
          <w:rFonts w:ascii="Arial" w:cs="Arial" w:eastAsia="Arial" w:hAnsi="Arial"/>
          <w:sz w:val="16"/>
          <w:szCs w:val="16"/>
          <w:color w:val="auto"/>
        </w:rPr>
        <w:t>Revenues for the Towable RV segment were $330.8 million for the Fiscal 2024 first quarter, down 4.8% compared to the prior year, primarily driven by a reduction in average selling price per unit related to product mix and targeted price reductions, partially offset by unit volume growth. Segment Adjusted EBITDA was $33.1 million for the Fiscal 2024 first quarter, down 8.8% compared to the prior year period. Adjusted EBITDA margin of 10.0% decreased 50 basis points compared to the prior year, primarily due to deleverage and new product start-up costs. Backlog for Fiscal 2024 first quarter decreased to $199.8 million, a decrease of 54.0% compared to the prior year period due to continued softness in market conditions and a cautious dealer network.</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Motorhome RV</w:t>
      </w:r>
    </w:p>
    <w:p>
      <w:pPr>
        <w:spacing w:after="0" w:line="100" w:lineRule="exact"/>
        <w:rPr>
          <w:sz w:val="20"/>
          <w:szCs w:val="20"/>
          <w:color w:val="auto"/>
        </w:rPr>
      </w:pPr>
    </w:p>
    <w:p>
      <w:pPr>
        <w:spacing w:after="0" w:line="374" w:lineRule="auto"/>
        <w:rPr>
          <w:sz w:val="20"/>
          <w:szCs w:val="20"/>
          <w:color w:val="auto"/>
        </w:rPr>
      </w:pPr>
      <w:r>
        <w:rPr>
          <w:rFonts w:ascii="Arial" w:cs="Arial" w:eastAsia="Arial" w:hAnsi="Arial"/>
          <w:sz w:val="16"/>
          <w:szCs w:val="16"/>
          <w:color w:val="auto"/>
        </w:rPr>
        <w:t>Revenues for the Motorhome RV segment were $334.4 million for Fiscal 2024 first quarter, down 28.0% from the prior year, primarily driven by a decline in unit volume related to market conditions and higher levels of discounts and allowances, partially offset by product mix and price increases related to higher motorized chassis costs. Segment Adjusted EBITDA for Fiscal 2024 first quarter was $21.3 million, down 57.6% compared to the prior year period. Adjusted EBITDA margin of 6.4% decreased 440 basis points compared to the prior year, primarily due to volume deleverage, higher discounts and allowances, and operational efficiency challenges. Backlog for Fiscal 2024 first quarter decreased to $545.3 million, down 65.8% from the prior year period due to continued softness in market conditions and a cautious dealer network.</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Marine</w:t>
      </w:r>
    </w:p>
    <w:p>
      <w:pPr>
        <w:spacing w:after="0" w:line="100" w:lineRule="exact"/>
        <w:rPr>
          <w:sz w:val="20"/>
          <w:szCs w:val="20"/>
          <w:color w:val="auto"/>
        </w:rPr>
      </w:pPr>
    </w:p>
    <w:p>
      <w:pPr>
        <w:spacing w:after="0" w:line="379" w:lineRule="auto"/>
        <w:rPr>
          <w:sz w:val="20"/>
          <w:szCs w:val="20"/>
          <w:color w:val="auto"/>
        </w:rPr>
      </w:pPr>
      <w:r>
        <w:rPr>
          <w:rFonts w:ascii="Arial" w:cs="Arial" w:eastAsia="Arial" w:hAnsi="Arial"/>
          <w:sz w:val="16"/>
          <w:szCs w:val="16"/>
          <w:color w:val="auto"/>
        </w:rPr>
        <w:t>Revenues for the Marine segment were $87.3 million for Fiscal 2024 first quarter, down 33.5% from the prior year, primarily driven by a decline in unit volume related to market conditions and higher discounts and allowances, partially offset by carryover price increases. Segment Adjusted EBITDA for Fiscal 2024 first quarter was $7.2 million, down 61.0% compared to the prior year period, and Adjusted EBITDA margin was 8.2%, down 590 basis points compared to the prior year, primarily due to volume deleverage and higher discounts and allowances compared to prior year. Backlog for Fiscal 2024 first quarter decreased to $140.4 million, down 55.9% from the prior year period, primarily driven by cautious dealer sentiment related to rising inventory levels.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Balance Sheet and Cash Flow</w:t>
      </w:r>
    </w:p>
    <w:p>
      <w:pPr>
        <w:spacing w:after="0" w:line="100" w:lineRule="exact"/>
        <w:rPr>
          <w:sz w:val="20"/>
          <w:szCs w:val="20"/>
          <w:color w:val="auto"/>
        </w:rPr>
      </w:pPr>
    </w:p>
    <w:p>
      <w:pPr>
        <w:ind w:right="140"/>
        <w:spacing w:after="0" w:line="409" w:lineRule="auto"/>
        <w:rPr>
          <w:sz w:val="20"/>
          <w:szCs w:val="20"/>
          <w:color w:val="auto"/>
        </w:rPr>
      </w:pPr>
      <w:r>
        <w:rPr>
          <w:rFonts w:ascii="Arial" w:cs="Arial" w:eastAsia="Arial" w:hAnsi="Arial"/>
          <w:sz w:val="16"/>
          <w:szCs w:val="16"/>
          <w:color w:val="auto"/>
        </w:rPr>
        <w:t>As of November 25, 2023, the Company had total outstanding debt of $593.1 million ($600.0 million of debt, net of debt issuance costs of $6.9 million) and working capital of $587.3 million. Cash flow used in operations was $21.4 million in the Fiscal 2024 first quarter.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180"/>
          </w:cols>
          <w:pgMar w:left="320" w:top="935" w:right="399" w:bottom="1440" w:gutter="0" w:footer="0" w:header="0"/>
        </w:sectPr>
      </w:pPr>
    </w:p>
    <w:bookmarkStart w:id="5" w:name="page6"/>
    <w:bookmarkEnd w:id="5"/>
    <w:p>
      <w:pPr>
        <w:ind w:right="60"/>
        <w:spacing w:after="0" w:line="373" w:lineRule="auto"/>
        <w:rPr>
          <w:sz w:val="20"/>
          <w:szCs w:val="20"/>
          <w:color w:val="auto"/>
        </w:rPr>
      </w:pPr>
      <w:r>
        <w:rPr>
          <w:rFonts w:ascii="Arial" w:cs="Arial" w:eastAsia="Arial" w:hAnsi="Arial"/>
          <w:sz w:val="16"/>
          <w:szCs w:val="16"/>
          <w:color w:val="auto"/>
        </w:rPr>
        <w:t>Mr. Happe continued, “Despite continued pressure from macro headwinds, the outdoor recreation market is largely performing in-line with near-term expectations and Winnebago Industries’ innovation engine continues to develop and deliver products that anticipate and exceed the expectations of discerning customers across the outdoor lifestyle market. We expect our consistent focus on bringing the highest quality and most innovative products to the market at a variety of price points, will position Winnebago Industries to grow our market share and outperform expectations as the market recovers and levels of consumer confidence rise. We remain optimistic that the current cycle of RV dealer destocking is approaching its conclusion, and that market conditions in both retail and wholesale could begin to see improvement in mid to late calendar year 2024. Going forward, we will remain nimble and intentional as we prudently monitor and adapt in response to shifting market conditions, with a focus on profitability, maintaining competitiveness, further securing a preferred market position for our esteemed premium brands and making strategic investments to drive future growth.”</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Conference Call</w:t>
      </w:r>
    </w:p>
    <w:p>
      <w:pPr>
        <w:spacing w:after="0" w:line="100" w:lineRule="exact"/>
        <w:rPr>
          <w:sz w:val="20"/>
          <w:szCs w:val="20"/>
          <w:color w:val="auto"/>
        </w:rPr>
      </w:pPr>
    </w:p>
    <w:p>
      <w:pPr>
        <w:ind w:right="80"/>
        <w:spacing w:after="0" w:line="389" w:lineRule="auto"/>
        <w:rPr>
          <w:sz w:val="20"/>
          <w:szCs w:val="20"/>
          <w:color w:val="auto"/>
        </w:rPr>
      </w:pPr>
      <w:r>
        <w:rPr>
          <w:rFonts w:ascii="Arial" w:cs="Arial" w:eastAsia="Arial" w:hAnsi="Arial"/>
          <w:sz w:val="16"/>
          <w:szCs w:val="16"/>
          <w:color w:val="auto"/>
        </w:rPr>
        <w:t>Winnebago Industries, Inc. will discuss Fiscal 2024 first quarter earnings results during a conference call scheduled for 9:00 a.m. Central Time today. Members of the news media, investors and the general public are invited to access a live broadcast of the conference call via the Investor Relations page of the Company's website at http://investor.wgo.net. The event will be archived and available for replay for the next 90 days.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86" w:lineRule="exact"/>
        <w:rPr>
          <w:sz w:val="20"/>
          <w:szCs w:val="20"/>
          <w:color w:val="auto"/>
        </w:rPr>
      </w:pPr>
    </w:p>
    <w:p>
      <w:pPr>
        <w:spacing w:after="0" w:line="377" w:lineRule="auto"/>
        <w:rPr>
          <w:sz w:val="20"/>
          <w:szCs w:val="20"/>
          <w:color w:val="auto"/>
        </w:rPr>
      </w:pPr>
      <w:r>
        <w:rPr>
          <w:rFonts w:ascii="Arial" w:cs="Arial" w:eastAsia="Arial" w:hAnsi="Arial"/>
          <w:sz w:val="16"/>
          <w:szCs w:val="16"/>
          <w:color w:val="auto"/>
        </w:rPr>
        <w:t>Winnebago Industries, Inc. is a leading North American manufacturer of outdoor lifestyle products under the Winnebago, Grand Design, Chris-Craft, Newmar and Barletta brands, which are used primarily in leisure travel and outdoor recreation activities. The Company builds high-quality motorhomes, travel trailers, fifth-wheel products, outboard and sterndrive powerboats, pontoons, and commercial community outreach vehicles. Committed to advancing sustainable innovation and leveraging vertical integration in key component areas, Winnebago Industries has multiple facilities in Iowa, Indiana, Minnesota and Florida. The Company’s common stock is listed on the New York Stock Exchange and traded under the symbol WGO. For access to Winnebago Industries' investor relations material or to add your name to an automatic email list for Company news releases, visit http://investor.wgo.net.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Forward-Looking Statements</w:t>
      </w:r>
    </w:p>
    <w:p>
      <w:pPr>
        <w:spacing w:after="0" w:line="100" w:lineRule="exact"/>
        <w:rPr>
          <w:sz w:val="20"/>
          <w:szCs w:val="20"/>
          <w:color w:val="auto"/>
        </w:rPr>
      </w:pPr>
    </w:p>
    <w:p>
      <w:pPr>
        <w:ind w:right="40"/>
        <w:spacing w:after="0" w:line="370"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general economic uncertainty in key markets and a worsening of domestic and global economic conditions or low levels of economic growth; availability of financing for RV and marine dealers; competition and new product introductions by competitors; ability to innovate and commercialize new products; ability to manage our inventory to meet demand; risk related to cyclicality and seasonality of our business; risk related to independent dealers; risk related to dealer consolidation or the loss of a significant dealer; significant increase in repurchase obligations; ability to retain relationships with our suppliers and obtain components; business or production disruptions; inadequate management of dealer inventory levels; increased material and component costs, including availability and price of fuel and other raw materials; ability to integrate mergers and acquisitions; ability to attract and retain qualified personnel and changes in market compensation rates; exposure to warranty claims; ability to protect our information technology systems from data security, cyberattacks, and network disruption risks and the ability to successfully upgrade and evolve our information technology systems; ability to retain brand reputation and related exposure to product liability claims; governmental regulation, including for climate change; increased attention to environmental, social, and governance ("ESG") matters, and our ability to meet our commitments; impairment of goodwill and trade names; and risks related to our Convertible and Senior Secured Notes including our ability to satisfy our obligations under these notes. Additional information concerning certain risks and uncertainties that could cause actual results to differ materially from that projected or suggested is contained in the Company's filings with the</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935" w:right="339" w:bottom="1440" w:gutter="0" w:footer="0" w:header="0"/>
        </w:sectPr>
      </w:pPr>
    </w:p>
    <w:bookmarkStart w:id="6" w:name="page7"/>
    <w:bookmarkEnd w:id="6"/>
    <w:p>
      <w:pPr>
        <w:spacing w:after="0" w:line="383" w:lineRule="auto"/>
        <w:rPr>
          <w:sz w:val="20"/>
          <w:szCs w:val="20"/>
          <w:color w:val="auto"/>
        </w:rPr>
      </w:pPr>
      <w:r>
        <w:rPr>
          <w:rFonts w:ascii="Arial" w:cs="Arial" w:eastAsia="Arial" w:hAnsi="Arial"/>
          <w:sz w:val="16"/>
          <w:szCs w:val="16"/>
          <w:color w:val="auto"/>
        </w:rPr>
        <w:t>Securities and Exchange Commission ("SEC") over the last 12 months, copies of which are available from the SEC or from the Company upon request. The Company disclaims any obligation or undertaking to disseminate any updates or revisions to any forward-looking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Contacts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Investors: Ray Posadas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3051F2"/>
        </w:rPr>
        <w:t>ir@winnebagoind.com</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Media: Dan Sullivan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3051F2"/>
        </w:rPr>
        <w:t>media@winnebagoind.com</w:t>
      </w: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180"/>
          </w:cols>
          <w:pgMar w:left="320" w:top="935" w:right="39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209"/>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millions, except percent and per share data)</w:t>
            </w:r>
          </w:p>
        </w:tc>
        <w:tc>
          <w:tcPr>
            <w:tcW w:w="5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November 25, 2023</w:t>
            </w: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November 26, 2022</w:t>
            </w:r>
          </w:p>
        </w:tc>
        <w:tc>
          <w:tcPr>
            <w:tcW w:w="760" w:type="dxa"/>
            <w:vAlign w:val="bottom"/>
            <w:tcBorders>
              <w:bottom w:val="single" w:sz="8" w:color="auto"/>
            </w:tcBorders>
          </w:tcPr>
          <w:p>
            <w:pPr>
              <w:spacing w:after="0"/>
              <w:rPr>
                <w:sz w:val="18"/>
                <w:szCs w:val="18"/>
                <w:color w:val="auto"/>
              </w:rPr>
            </w:pPr>
          </w:p>
        </w:tc>
      </w:tr>
      <w:tr>
        <w:trPr>
          <w:trHeight w:val="20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5"/>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647.2</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791.8</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83.2 %</w:t>
            </w:r>
          </w:p>
        </w:tc>
      </w:tr>
      <w:tr>
        <w:trPr>
          <w:trHeight w:val="210"/>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16.8 %</w:t>
            </w:r>
          </w:p>
        </w:tc>
      </w:tr>
      <w:tr>
        <w:trPr>
          <w:trHeight w:val="215"/>
        </w:trPr>
        <w:tc>
          <w:tcPr>
            <w:tcW w:w="460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9.3 %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70.7</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7.4 %</w:t>
            </w:r>
          </w:p>
        </w:tc>
      </w:tr>
      <w:tr>
        <w:trPr>
          <w:trHeight w:val="217"/>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09"/>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7.8 %</w:t>
            </w:r>
          </w:p>
        </w:tc>
      </w:tr>
      <w:tr>
        <w:trPr>
          <w:trHeight w:val="210"/>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9.0 %</w:t>
            </w:r>
          </w:p>
        </w:tc>
      </w:tr>
      <w:tr>
        <w:trPr>
          <w:trHeight w:val="215"/>
        </w:trPr>
        <w:tc>
          <w:tcPr>
            <w:tcW w:w="46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0.5 %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0.6 %</w:t>
            </w:r>
          </w:p>
        </w:tc>
      </w:tr>
      <w:tr>
        <w:trPr>
          <w:trHeight w:val="217"/>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w:t>
            </w: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9"/>
        </w:trPr>
        <w:tc>
          <w:tcPr>
            <w:tcW w:w="460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79.7</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8.4 %</w:t>
            </w: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10"/>
        </w:trPr>
        <w:tc>
          <w:tcPr>
            <w:tcW w:w="46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3.4 %</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w:t>
            </w: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6.3 %</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83"/>
        </w:trPr>
        <w:tc>
          <w:tcPr>
            <w:tcW w:w="46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15"/>
        </w:trPr>
        <w:tc>
          <w:tcPr>
            <w:tcW w:w="4600" w:type="dxa"/>
            <w:vAlign w:val="bottom"/>
          </w:tcPr>
          <w:p>
            <w:pPr>
              <w:ind w:left="20"/>
              <w:spacing w:after="0"/>
              <w:rPr>
                <w:sz w:val="20"/>
                <w:szCs w:val="20"/>
                <w:color w:val="auto"/>
              </w:rPr>
            </w:pPr>
            <w:r>
              <w:rPr>
                <w:rFonts w:ascii="Arial" w:cs="Arial" w:eastAsia="Arial" w:hAnsi="Arial"/>
                <w:sz w:val="16"/>
                <w:szCs w:val="16"/>
                <w:color w:val="auto"/>
              </w:rPr>
              <w:t>Earnings per common share:</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7"/>
        </w:trPr>
        <w:tc>
          <w:tcPr>
            <w:tcW w:w="4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5"/>
        </w:trPr>
        <w:tc>
          <w:tcPr>
            <w:tcW w:w="4600" w:type="dxa"/>
            <w:vAlign w:val="bottom"/>
          </w:tcPr>
          <w:p>
            <w:pPr>
              <w:ind w:left="180"/>
              <w:spacing w:after="0"/>
              <w:rPr>
                <w:sz w:val="20"/>
                <w:szCs w:val="20"/>
                <w:color w:val="auto"/>
              </w:rPr>
            </w:pPr>
            <w:r>
              <w:rPr>
                <w:rFonts w:ascii="Arial" w:cs="Arial" w:eastAsia="Arial" w:hAnsi="Arial"/>
                <w:sz w:val="16"/>
                <w:szCs w:val="16"/>
                <w:color w:val="auto"/>
              </w:rPr>
              <w:t>Diluted</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0.78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7"/>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5"/>
        </w:trPr>
        <w:tc>
          <w:tcPr>
            <w:tcW w:w="4600" w:type="dxa"/>
            <w:vAlign w:val="bottom"/>
          </w:tcPr>
          <w:p>
            <w:pPr>
              <w:ind w:left="180"/>
              <w:spacing w:after="0"/>
              <w:rPr>
                <w:sz w:val="20"/>
                <w:szCs w:val="20"/>
                <w:color w:val="auto"/>
              </w:rPr>
            </w:pPr>
            <w:r>
              <w:rPr>
                <w:rFonts w:ascii="Arial" w:cs="Arial" w:eastAsia="Arial" w:hAnsi="Arial"/>
                <w:sz w:val="16"/>
                <w:szCs w:val="16"/>
                <w:color w:val="auto"/>
              </w:rPr>
              <w:t>Basic</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7"/>
        </w:trPr>
        <w:tc>
          <w:tcPr>
            <w:tcW w:w="4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Amounts in tables are calculated based on unrounded numbers and therefore may not recalculate using the rounded numbers provided.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In addition, percentages may not add in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180"/>
          </w:cols>
          <w:pgMar w:left="320" w:top="890" w:right="3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4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25, 2023</w:t>
            </w:r>
          </w:p>
        </w:tc>
        <w:tc>
          <w:tcPr>
            <w:tcW w:w="220" w:type="dxa"/>
            <w:vAlign w:val="bottom"/>
          </w:tcPr>
          <w:p>
            <w:pPr>
              <w:spacing w:after="0"/>
              <w:rPr>
                <w:sz w:val="18"/>
                <w:szCs w:val="18"/>
                <w:color w:val="auto"/>
              </w:rPr>
            </w:pPr>
          </w:p>
        </w:tc>
        <w:tc>
          <w:tcPr>
            <w:tcW w:w="1660" w:type="dxa"/>
            <w:vAlign w:val="bottom"/>
          </w:tcPr>
          <w:p>
            <w:pPr>
              <w:jc w:val="right"/>
              <w:ind w:right="239"/>
              <w:spacing w:after="0"/>
              <w:rPr>
                <w:sz w:val="20"/>
                <w:szCs w:val="20"/>
                <w:color w:val="auto"/>
              </w:rPr>
            </w:pPr>
            <w:r>
              <w:rPr>
                <w:rFonts w:ascii="Arial" w:cs="Arial" w:eastAsia="Arial" w:hAnsi="Arial"/>
                <w:sz w:val="16"/>
                <w:szCs w:val="16"/>
                <w:b w:val="1"/>
                <w:bCs w:val="1"/>
                <w:color w:val="auto"/>
              </w:rPr>
              <w:t>August 26, 2023</w:t>
            </w:r>
          </w:p>
        </w:tc>
      </w:tr>
      <w:tr>
        <w:trPr>
          <w:trHeight w:val="209"/>
        </w:trPr>
        <w:tc>
          <w:tcPr>
            <w:tcW w:w="7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7"/>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309.9</w:t>
            </w:r>
          </w:p>
        </w:tc>
      </w:tr>
      <w:tr>
        <w:trPr>
          <w:trHeight w:val="215"/>
        </w:trPr>
        <w:tc>
          <w:tcPr>
            <w:tcW w:w="7340" w:type="dxa"/>
            <w:vAlign w:val="bottom"/>
          </w:tcPr>
          <w:p>
            <w:pPr>
              <w:ind w:left="260"/>
              <w:spacing w:after="0"/>
              <w:rPr>
                <w:sz w:val="20"/>
                <w:szCs w:val="20"/>
                <w:color w:val="auto"/>
              </w:rPr>
            </w:pPr>
            <w:r>
              <w:rPr>
                <w:rFonts w:ascii="Arial" w:cs="Arial" w:eastAsia="Arial" w:hAnsi="Arial"/>
                <w:sz w:val="16"/>
                <w:szCs w:val="16"/>
                <w:color w:val="auto"/>
              </w:rPr>
              <w:t>Receivables, net</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187.6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178.5</w:t>
            </w:r>
          </w:p>
        </w:tc>
      </w:tr>
      <w:tr>
        <w:trPr>
          <w:trHeight w:val="217"/>
        </w:trPr>
        <w:tc>
          <w:tcPr>
            <w:tcW w:w="7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Inventories, net</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470.6</w:t>
            </w:r>
          </w:p>
        </w:tc>
      </w:tr>
      <w:tr>
        <w:trPr>
          <w:trHeight w:val="215"/>
        </w:trPr>
        <w:tc>
          <w:tcPr>
            <w:tcW w:w="73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r>
      <w:tr>
        <w:trPr>
          <w:trHeight w:val="210"/>
        </w:trPr>
        <w:tc>
          <w:tcPr>
            <w:tcW w:w="7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996.7</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331.1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327.3</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514.5</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Other intangible assets, net</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496.4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502.0</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in life insurance</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Operating lease assets</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42.6</w:t>
            </w:r>
          </w:p>
        </w:tc>
      </w:tr>
      <w:tr>
        <w:trPr>
          <w:trHeight w:val="216"/>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assets</w:t>
            </w: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10"/>
        </w:trPr>
        <w:tc>
          <w:tcPr>
            <w:tcW w:w="7340" w:type="dxa"/>
            <w:vAlign w:val="bottom"/>
          </w:tcPr>
          <w:p>
            <w:pPr>
              <w:ind w:left="14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2,368.9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2,432.4</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23"/>
        </w:trPr>
        <w:tc>
          <w:tcPr>
            <w:tcW w:w="7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16"/>
        </w:trPr>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liabilities</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5"/>
        </w:trPr>
        <w:tc>
          <w:tcPr>
            <w:tcW w:w="734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123.4</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146.9</w:t>
            </w:r>
          </w:p>
        </w:tc>
      </w:tr>
      <w:tr>
        <w:trPr>
          <w:trHeight w:val="217"/>
        </w:trPr>
        <w:tc>
          <w:tcPr>
            <w:tcW w:w="7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Accrued expenses</w:t>
            </w: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249.1</w:t>
            </w:r>
          </w:p>
        </w:tc>
      </w:tr>
      <w:tr>
        <w:trPr>
          <w:trHeight w:val="209"/>
        </w:trPr>
        <w:tc>
          <w:tcPr>
            <w:tcW w:w="734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347.3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396.0</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net</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592.4</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Deferred income tax liabilities, net</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Unrecognized tax benefits</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Long-term operating lease liabilities</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42.0</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compensation benefits, net of current portion</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15"/>
        </w:trPr>
        <w:tc>
          <w:tcPr>
            <w:tcW w:w="73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r>
      <w:tr>
        <w:trPr>
          <w:trHeight w:val="210"/>
        </w:trPr>
        <w:tc>
          <w:tcPr>
            <w:tcW w:w="7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1,064.3</w:t>
            </w:r>
          </w:p>
        </w:tc>
      </w:tr>
      <w:tr>
        <w:trPr>
          <w:trHeight w:val="215"/>
        </w:trPr>
        <w:tc>
          <w:tcPr>
            <w:tcW w:w="73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Shareholders' equity</w:t>
            </w: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1,354.0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1,368.1</w:t>
            </w:r>
          </w:p>
        </w:tc>
      </w:tr>
      <w:tr>
        <w:trPr>
          <w:trHeight w:val="235"/>
        </w:trPr>
        <w:tc>
          <w:tcPr>
            <w:tcW w:w="7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2,368.9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2,432.4</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890"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4"/>
          </w:tcPr>
          <w:p>
            <w:pPr>
              <w:jc w:val="right"/>
              <w:ind w:right="1079"/>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7240" w:type="dxa"/>
            <w:vAlign w:val="bottom"/>
          </w:tcPr>
          <w:p>
            <w:pPr>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25, 2023</w:t>
            </w:r>
          </w:p>
        </w:tc>
        <w:tc>
          <w:tcPr>
            <w:tcW w:w="160" w:type="dxa"/>
            <w:vAlign w:val="bottom"/>
          </w:tcPr>
          <w:p>
            <w:pPr>
              <w:spacing w:after="0"/>
              <w:rPr>
                <w:sz w:val="18"/>
                <w:szCs w:val="18"/>
                <w:color w:val="auto"/>
              </w:rPr>
            </w:pPr>
          </w:p>
        </w:tc>
        <w:tc>
          <w:tcPr>
            <w:tcW w:w="1760" w:type="dxa"/>
            <w:vAlign w:val="bottom"/>
          </w:tcPr>
          <w:p>
            <w:pPr>
              <w:jc w:val="right"/>
              <w:ind w:right="139"/>
              <w:spacing w:after="0"/>
              <w:rPr>
                <w:sz w:val="20"/>
                <w:szCs w:val="20"/>
                <w:color w:val="auto"/>
              </w:rPr>
            </w:pPr>
            <w:r>
              <w:rPr>
                <w:rFonts w:ascii="Arial" w:cs="Arial" w:eastAsia="Arial" w:hAnsi="Arial"/>
                <w:sz w:val="16"/>
                <w:szCs w:val="16"/>
                <w:b w:val="1"/>
                <w:bCs w:val="1"/>
                <w:color w:val="auto"/>
              </w:rPr>
              <w:t>November 26, 2022</w:t>
            </w:r>
          </w:p>
        </w:tc>
      </w:tr>
      <w:tr>
        <w:trPr>
          <w:trHeight w:val="210"/>
        </w:trPr>
        <w:tc>
          <w:tcPr>
            <w:tcW w:w="7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15"/>
        </w:trPr>
        <w:tc>
          <w:tcPr>
            <w:tcW w:w="724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60.2</w:t>
            </w:r>
          </w:p>
        </w:tc>
      </w:tr>
      <w:tr>
        <w:trPr>
          <w:trHeight w:val="217"/>
        </w:trPr>
        <w:tc>
          <w:tcPr>
            <w:tcW w:w="7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reconcile net income to net cash (used in) provided by operating activities</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7240" w:type="dxa"/>
            <w:vAlign w:val="bottom"/>
          </w:tcPr>
          <w:p>
            <w:pPr>
              <w:ind w:left="240"/>
              <w:spacing w:after="0"/>
              <w:rPr>
                <w:sz w:val="20"/>
                <w:szCs w:val="20"/>
                <w:color w:val="auto"/>
              </w:rPr>
            </w:pPr>
            <w:r>
              <w:rPr>
                <w:rFonts w:ascii="Arial" w:cs="Arial" w:eastAsia="Arial" w:hAnsi="Arial"/>
                <w:sz w:val="16"/>
                <w:szCs w:val="16"/>
                <w:color w:val="auto"/>
              </w:rPr>
              <w:t>Depreciation</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7"/>
        </w:trPr>
        <w:tc>
          <w:tcPr>
            <w:tcW w:w="7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5"/>
        </w:trPr>
        <w:tc>
          <w:tcPr>
            <w:tcW w:w="7240" w:type="dxa"/>
            <w:vAlign w:val="bottom"/>
          </w:tcPr>
          <w:p>
            <w:pPr>
              <w:ind w:left="240"/>
              <w:spacing w:after="0"/>
              <w:rPr>
                <w:sz w:val="20"/>
                <w:szCs w:val="20"/>
                <w:color w:val="auto"/>
              </w:rPr>
            </w:pPr>
            <w:r>
              <w:rPr>
                <w:rFonts w:ascii="Arial" w:cs="Arial" w:eastAsia="Arial" w:hAnsi="Arial"/>
                <w:sz w:val="16"/>
                <w:szCs w:val="16"/>
                <w:color w:val="auto"/>
              </w:rPr>
              <w:t>Amortization of debt issuance costs</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17"/>
        </w:trPr>
        <w:tc>
          <w:tcPr>
            <w:tcW w:w="7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Last in, first-out expense</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7240" w:type="dxa"/>
            <w:vAlign w:val="bottom"/>
          </w:tcPr>
          <w:p>
            <w:pPr>
              <w:ind w:left="240"/>
              <w:spacing w:after="0"/>
              <w:rPr>
                <w:sz w:val="20"/>
                <w:szCs w:val="20"/>
                <w:color w:val="auto"/>
              </w:rPr>
            </w:pPr>
            <w:r>
              <w:rPr>
                <w:rFonts w:ascii="Arial" w:cs="Arial" w:eastAsia="Arial" w:hAnsi="Arial"/>
                <w:sz w:val="16"/>
                <w:szCs w:val="16"/>
                <w:color w:val="auto"/>
              </w:rPr>
              <w:t>Stock-based compensation</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7"/>
        </w:trPr>
        <w:tc>
          <w:tcPr>
            <w:tcW w:w="7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income taxes</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7240" w:type="dxa"/>
            <w:vAlign w:val="bottom"/>
          </w:tcPr>
          <w:p>
            <w:pPr>
              <w:ind w:left="240"/>
              <w:spacing w:after="0"/>
              <w:rPr>
                <w:sz w:val="20"/>
                <w:szCs w:val="20"/>
                <w:color w:val="auto"/>
              </w:rPr>
            </w:pPr>
            <w:r>
              <w:rPr>
                <w:rFonts w:ascii="Arial" w:cs="Arial" w:eastAsia="Arial" w:hAnsi="Arial"/>
                <w:sz w:val="16"/>
                <w:szCs w:val="16"/>
                <w:color w:val="auto"/>
              </w:rPr>
              <w:t>Contingent consideration fair value adjustment</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7"/>
        </w:trPr>
        <w:tc>
          <w:tcPr>
            <w:tcW w:w="7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net</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5"/>
        </w:trPr>
        <w:tc>
          <w:tcPr>
            <w:tcW w:w="7240" w:type="dxa"/>
            <w:vAlign w:val="bottom"/>
          </w:tcPr>
          <w:p>
            <w:pPr>
              <w:spacing w:after="0"/>
              <w:rPr>
                <w:sz w:val="20"/>
                <w:szCs w:val="20"/>
                <w:color w:val="auto"/>
              </w:rPr>
            </w:pPr>
            <w:r>
              <w:rPr>
                <w:rFonts w:ascii="Arial" w:cs="Arial" w:eastAsia="Arial" w:hAnsi="Arial"/>
                <w:sz w:val="16"/>
                <w:szCs w:val="16"/>
                <w:color w:val="auto"/>
              </w:rPr>
              <w:t>Change in operating assets and liabilities, net of assets and liabilities acquired</w:t>
            </w: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7"/>
        </w:trPr>
        <w:tc>
          <w:tcPr>
            <w:tcW w:w="7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Receivables, net</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r>
      <w:tr>
        <w:trPr>
          <w:trHeight w:val="215"/>
        </w:trPr>
        <w:tc>
          <w:tcPr>
            <w:tcW w:w="7240" w:type="dxa"/>
            <w:vAlign w:val="bottom"/>
          </w:tcPr>
          <w:p>
            <w:pPr>
              <w:ind w:left="240"/>
              <w:spacing w:after="0"/>
              <w:rPr>
                <w:sz w:val="20"/>
                <w:szCs w:val="20"/>
                <w:color w:val="auto"/>
              </w:rPr>
            </w:pPr>
            <w:r>
              <w:rPr>
                <w:rFonts w:ascii="Arial" w:cs="Arial" w:eastAsia="Arial" w:hAnsi="Arial"/>
                <w:sz w:val="16"/>
                <w:szCs w:val="16"/>
                <w:color w:val="auto"/>
              </w:rPr>
              <w:t>Inventories, net</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(28.3)</w:t>
            </w:r>
          </w:p>
        </w:tc>
      </w:tr>
      <w:tr>
        <w:trPr>
          <w:trHeight w:val="217"/>
        </w:trPr>
        <w:tc>
          <w:tcPr>
            <w:tcW w:w="7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 and other assets</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15"/>
        </w:trPr>
        <w:tc>
          <w:tcPr>
            <w:tcW w:w="724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(81.5)</w:t>
            </w:r>
          </w:p>
        </w:tc>
      </w:tr>
      <w:tr>
        <w:trPr>
          <w:trHeight w:val="217"/>
        </w:trPr>
        <w:tc>
          <w:tcPr>
            <w:tcW w:w="7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taxes and unrecognized tax benefits</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r>
      <w:tr>
        <w:trPr>
          <w:trHeight w:val="215"/>
        </w:trPr>
        <w:tc>
          <w:tcPr>
            <w:tcW w:w="72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Accrued expenses and other liabilities</w:t>
            </w: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cash (used in) provided by operating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29.9</w:t>
            </w:r>
          </w:p>
        </w:tc>
      </w:tr>
      <w:tr>
        <w:trPr>
          <w:trHeight w:val="250"/>
        </w:trPr>
        <w:tc>
          <w:tcPr>
            <w:tcW w:w="7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7240" w:type="dxa"/>
            <w:vAlign w:val="bottom"/>
          </w:tcPr>
          <w:p>
            <w:pPr>
              <w:ind w:left="120"/>
              <w:spacing w:after="0"/>
              <w:rPr>
                <w:sz w:val="20"/>
                <w:szCs w:val="20"/>
                <w:color w:val="auto"/>
              </w:rPr>
            </w:pPr>
            <w:r>
              <w:rPr>
                <w:rFonts w:ascii="Arial" w:cs="Arial" w:eastAsia="Arial" w:hAnsi="Arial"/>
                <w:sz w:val="16"/>
                <w:szCs w:val="16"/>
                <w:color w:val="auto"/>
              </w:rPr>
              <w:t>Purchases of property, plant, and equipment</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217"/>
        </w:trPr>
        <w:tc>
          <w:tcPr>
            <w:tcW w:w="7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09"/>
        </w:trPr>
        <w:tc>
          <w:tcPr>
            <w:tcW w:w="72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(27.1)</w:t>
            </w:r>
          </w:p>
        </w:tc>
      </w:tr>
      <w:tr>
        <w:trPr>
          <w:trHeight w:val="250"/>
        </w:trPr>
        <w:tc>
          <w:tcPr>
            <w:tcW w:w="7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7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Borrowings on long-term debt</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1,475.0</w:t>
            </w:r>
          </w:p>
        </w:tc>
      </w:tr>
      <w:tr>
        <w:trPr>
          <w:trHeight w:val="215"/>
        </w:trPr>
        <w:tc>
          <w:tcPr>
            <w:tcW w:w="7240" w:type="dxa"/>
            <w:vAlign w:val="bottom"/>
          </w:tcPr>
          <w:p>
            <w:pPr>
              <w:ind w:left="120"/>
              <w:spacing w:after="0"/>
              <w:rPr>
                <w:sz w:val="20"/>
                <w:szCs w:val="20"/>
                <w:color w:val="auto"/>
              </w:rPr>
            </w:pPr>
            <w:r>
              <w:rPr>
                <w:rFonts w:ascii="Arial" w:cs="Arial" w:eastAsia="Arial" w:hAnsi="Arial"/>
                <w:sz w:val="16"/>
                <w:szCs w:val="16"/>
                <w:color w:val="auto"/>
              </w:rPr>
              <w:t>Repayments on long-term debt</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(780.6)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(1,475.0)</w:t>
            </w:r>
          </w:p>
        </w:tc>
      </w:tr>
      <w:tr>
        <w:trPr>
          <w:trHeight w:val="217"/>
        </w:trPr>
        <w:tc>
          <w:tcPr>
            <w:tcW w:w="7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of cash dividends</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15"/>
        </w:trPr>
        <w:tc>
          <w:tcPr>
            <w:tcW w:w="7240" w:type="dxa"/>
            <w:vAlign w:val="bottom"/>
          </w:tcPr>
          <w:p>
            <w:pPr>
              <w:ind w:left="120"/>
              <w:spacing w:after="0"/>
              <w:rPr>
                <w:sz w:val="20"/>
                <w:szCs w:val="20"/>
                <w:color w:val="auto"/>
              </w:rPr>
            </w:pPr>
            <w:r>
              <w:rPr>
                <w:rFonts w:ascii="Arial" w:cs="Arial" w:eastAsia="Arial" w:hAnsi="Arial"/>
                <w:sz w:val="16"/>
                <w:szCs w:val="16"/>
                <w:color w:val="auto"/>
              </w:rPr>
              <w:t>Payments for repurchases of common stock</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17"/>
        </w:trPr>
        <w:tc>
          <w:tcPr>
            <w:tcW w:w="7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0"/>
        </w:trPr>
        <w:tc>
          <w:tcPr>
            <w:tcW w:w="72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w:t>
            </w:r>
          </w:p>
        </w:tc>
      </w:tr>
      <w:tr>
        <w:trPr>
          <w:trHeight w:val="250"/>
        </w:trPr>
        <w:tc>
          <w:tcPr>
            <w:tcW w:w="7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r>
      <w:tr>
        <w:trPr>
          <w:trHeight w:val="215"/>
        </w:trPr>
        <w:tc>
          <w:tcPr>
            <w:tcW w:w="7240" w:type="dxa"/>
            <w:vAlign w:val="bottom"/>
          </w:tcPr>
          <w:p>
            <w:pPr>
              <w:spacing w:after="0"/>
              <w:rPr>
                <w:sz w:val="20"/>
                <w:szCs w:val="20"/>
                <w:color w:val="auto"/>
              </w:rPr>
            </w:pPr>
            <w:r>
              <w:rPr>
                <w:rFonts w:ascii="Arial" w:cs="Arial" w:eastAsia="Arial" w:hAnsi="Arial"/>
                <w:sz w:val="16"/>
                <w:szCs w:val="16"/>
                <w:color w:val="auto"/>
              </w:rPr>
              <w:t>Net decrease in cash and cash equivalents</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(90.3)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282.2</w:t>
            </w:r>
          </w:p>
        </w:tc>
      </w:tr>
      <w:tr>
        <w:trPr>
          <w:trHeight w:val="210"/>
        </w:trPr>
        <w:tc>
          <w:tcPr>
            <w:tcW w:w="724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271.7</w:t>
            </w:r>
          </w:p>
        </w:tc>
      </w:tr>
      <w:tr>
        <w:trPr>
          <w:trHeight w:val="20"/>
        </w:trPr>
        <w:tc>
          <w:tcPr>
            <w:tcW w:w="7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180"/>
          </w:cols>
          <w:pgMar w:left="360" w:top="850" w:right="3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Disclosures</w:t>
            </w:r>
          </w:p>
        </w:tc>
        <w:tc>
          <w:tcPr>
            <w:tcW w:w="2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5300" w:type="dxa"/>
            <w:vAlign w:val="bottom"/>
          </w:tcPr>
          <w:p>
            <w:pPr>
              <w:ind w:left="120"/>
              <w:spacing w:after="0"/>
              <w:rPr>
                <w:sz w:val="20"/>
                <w:szCs w:val="20"/>
                <w:color w:val="auto"/>
              </w:rPr>
            </w:pPr>
            <w:r>
              <w:rPr>
                <w:rFonts w:ascii="Arial" w:cs="Arial" w:eastAsia="Arial" w:hAnsi="Arial"/>
                <w:sz w:val="16"/>
                <w:szCs w:val="16"/>
                <w:color w:val="auto"/>
              </w:rPr>
              <w:t>Income taxes paid (received), net</w:t>
            </w:r>
          </w:p>
        </w:tc>
        <w:tc>
          <w:tcPr>
            <w:tcW w:w="280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080" w:type="dxa"/>
            <w:vAlign w:val="bottom"/>
          </w:tcPr>
          <w:p>
            <w:pPr>
              <w:jc w:val="center"/>
              <w:ind w:left="619"/>
              <w:spacing w:after="0"/>
              <w:rPr>
                <w:sz w:val="20"/>
                <w:szCs w:val="20"/>
                <w:color w:val="auto"/>
              </w:rPr>
            </w:pPr>
            <w:r>
              <w:rPr>
                <w:rFonts w:ascii="Arial" w:cs="Arial" w:eastAsia="Arial" w:hAnsi="Arial"/>
                <w:sz w:val="16"/>
                <w:szCs w:val="16"/>
                <w:color w:val="auto"/>
              </w:rPr>
              <w:t>(1.3)</w:t>
            </w:r>
          </w:p>
        </w:tc>
      </w:tr>
      <w:tr>
        <w:trPr>
          <w:trHeight w:val="217"/>
        </w:trPr>
        <w:tc>
          <w:tcPr>
            <w:tcW w:w="5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paid</w:t>
            </w:r>
          </w:p>
        </w:tc>
        <w:tc>
          <w:tcPr>
            <w:tcW w:w="28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9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left="619"/>
              <w:spacing w:after="0"/>
              <w:rPr>
                <w:sz w:val="20"/>
                <w:szCs w:val="20"/>
                <w:color w:val="auto"/>
              </w:rPr>
            </w:pPr>
            <w:r>
              <w:rPr>
                <w:rFonts w:ascii="Arial" w:cs="Arial" w:eastAsia="Arial" w:hAnsi="Arial"/>
                <w:sz w:val="16"/>
                <w:szCs w:val="16"/>
                <w:color w:val="auto"/>
                <w:w w:val="98"/>
              </w:rPr>
              <w:t>2.3</w:t>
            </w:r>
          </w:p>
        </w:tc>
      </w:tr>
      <w:tr>
        <w:trPr>
          <w:trHeight w:val="257"/>
        </w:trPr>
        <w:tc>
          <w:tcPr>
            <w:tcW w:w="530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2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5300" w:type="dxa"/>
            <w:vAlign w:val="bottom"/>
          </w:tcPr>
          <w:p>
            <w:pPr>
              <w:ind w:left="120"/>
              <w:spacing w:after="0"/>
              <w:rPr>
                <w:sz w:val="20"/>
                <w:szCs w:val="20"/>
                <w:color w:val="auto"/>
              </w:rPr>
            </w:pPr>
            <w:r>
              <w:rPr>
                <w:rFonts w:ascii="Arial" w:cs="Arial" w:eastAsia="Arial" w:hAnsi="Arial"/>
                <w:sz w:val="16"/>
                <w:szCs w:val="16"/>
                <w:color w:val="auto"/>
              </w:rPr>
              <w:t>Capital expenditures in accounts payable</w:t>
            </w:r>
          </w:p>
        </w:tc>
        <w:tc>
          <w:tcPr>
            <w:tcW w:w="280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92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080" w:type="dxa"/>
            <w:vAlign w:val="bottom"/>
          </w:tcPr>
          <w:p>
            <w:pPr>
              <w:jc w:val="center"/>
              <w:ind w:left="619"/>
              <w:spacing w:after="0"/>
              <w:rPr>
                <w:sz w:val="20"/>
                <w:szCs w:val="20"/>
                <w:color w:val="auto"/>
              </w:rPr>
            </w:pPr>
            <w:r>
              <w:rPr>
                <w:rFonts w:ascii="Arial" w:cs="Arial" w:eastAsia="Arial" w:hAnsi="Arial"/>
                <w:sz w:val="16"/>
                <w:szCs w:val="16"/>
                <w:color w:val="auto"/>
                <w:w w:val="98"/>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180"/>
          </w:cols>
          <w:pgMar w:left="360" w:top="1152" w:right="359" w:bottom="1440" w:gutter="0" w:footer="0" w:header="0"/>
        </w:sectPr>
      </w:pPr>
    </w:p>
    <w:bookmarkStart w:id="11" w:name="page12"/>
    <w:bookmarkEnd w:id="11"/>
    <w:p>
      <w:pPr>
        <w:jc w:val="center"/>
        <w:ind w:right="-151"/>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Supplemental Information by Reportable Segment - Towable RV</w:t>
      </w:r>
    </w:p>
    <w:p>
      <w:pPr>
        <w:spacing w:after="0" w:line="12" w:lineRule="exact"/>
        <w:rPr>
          <w:sz w:val="20"/>
          <w:szCs w:val="20"/>
          <w:color w:val="auto"/>
        </w:rPr>
      </w:pPr>
    </w:p>
    <w:p>
      <w:pPr>
        <w:jc w:val="center"/>
        <w:ind w:right="-151"/>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ind w:right="-15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152" w:type="dxa"/>
        <w:tblCellMar>
          <w:top w:w="0" w:type="dxa"/>
          <w:left w:w="0" w:type="dxa"/>
          <w:bottom w:w="0" w:type="dxa"/>
          <w:right w:w="0" w:type="dxa"/>
        </w:tblCellMar>
      </w:tblPr>
      <w:tr>
        <w:trPr>
          <w:trHeight w:val="217"/>
        </w:trPr>
        <w:tc>
          <w:tcPr>
            <w:tcW w:w="2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November 25,</w:t>
            </w:r>
          </w:p>
        </w:tc>
        <w:tc>
          <w:tcPr>
            <w:tcW w:w="100" w:type="dxa"/>
            <w:vAlign w:val="bottom"/>
          </w:tcPr>
          <w:p>
            <w:pPr>
              <w:spacing w:after="0"/>
              <w:rPr>
                <w:sz w:val="13"/>
                <w:szCs w:val="13"/>
                <w:color w:val="auto"/>
              </w:rPr>
            </w:pPr>
          </w:p>
        </w:tc>
        <w:tc>
          <w:tcPr>
            <w:tcW w:w="1660" w:type="dxa"/>
            <w:vAlign w:val="bottom"/>
            <w:gridSpan w:val="3"/>
            <w:vMerge w:val="restart"/>
          </w:tcPr>
          <w:p>
            <w:pPr>
              <w:jc w:val="right"/>
              <w:ind w:right="239"/>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30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November 26,</w:t>
            </w:r>
          </w:p>
        </w:tc>
        <w:tc>
          <w:tcPr>
            <w:tcW w:w="100" w:type="dxa"/>
            <w:vAlign w:val="bottom"/>
          </w:tcPr>
          <w:p>
            <w:pPr>
              <w:spacing w:after="0"/>
              <w:rPr>
                <w:sz w:val="13"/>
                <w:szCs w:val="13"/>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330.8</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347.3</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5"/>
        </w:trPr>
        <w:tc>
          <w:tcPr>
            <w:tcW w:w="20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10.5 %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474"/>
        </w:trPr>
        <w:tc>
          <w:tcPr>
            <w:tcW w:w="2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13"/>
                <w:szCs w:val="13"/>
                <w:color w:val="auto"/>
              </w:rPr>
            </w:pPr>
          </w:p>
        </w:tc>
        <w:tc>
          <w:tcPr>
            <w:tcW w:w="130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November 25,</w:t>
            </w:r>
          </w:p>
        </w:tc>
        <w:tc>
          <w:tcPr>
            <w:tcW w:w="100" w:type="dxa"/>
            <w:vAlign w:val="bottom"/>
          </w:tcPr>
          <w:p>
            <w:pPr>
              <w:spacing w:after="0"/>
              <w:rPr>
                <w:sz w:val="13"/>
                <w:szCs w:val="13"/>
                <w:color w:val="auto"/>
              </w:rPr>
            </w:pPr>
          </w:p>
        </w:tc>
        <w:tc>
          <w:tcPr>
            <w:tcW w:w="1660" w:type="dxa"/>
            <w:vAlign w:val="bottom"/>
            <w:gridSpan w:val="3"/>
            <w:vMerge w:val="restart"/>
          </w:tcPr>
          <w:p>
            <w:pPr>
              <w:jc w:val="right"/>
              <w:ind w:right="359"/>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30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November 26,</w:t>
            </w:r>
          </w:p>
        </w:tc>
        <w:tc>
          <w:tcPr>
            <w:tcW w:w="100" w:type="dxa"/>
            <w:vAlign w:val="bottom"/>
          </w:tcPr>
          <w:p>
            <w:pPr>
              <w:spacing w:after="0"/>
              <w:rPr>
                <w:sz w:val="13"/>
                <w:szCs w:val="13"/>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Unit Change</w:t>
            </w: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0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5,381</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4,650</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15.7 %</w:t>
            </w:r>
          </w:p>
        </w:tc>
        <w:tc>
          <w:tcPr>
            <w:tcW w:w="0" w:type="dxa"/>
            <w:vAlign w:val="bottom"/>
          </w:tcPr>
          <w:p>
            <w:pPr>
              <w:spacing w:after="0"/>
              <w:rPr>
                <w:sz w:val="1"/>
                <w:szCs w:val="1"/>
                <w:color w:val="auto"/>
              </w:rPr>
            </w:pPr>
          </w:p>
        </w:tc>
      </w:tr>
      <w:tr>
        <w:trPr>
          <w:trHeight w:val="215"/>
        </w:trPr>
        <w:tc>
          <w:tcPr>
            <w:tcW w:w="2040" w:type="dxa"/>
            <w:vAlign w:val="bottom"/>
          </w:tcPr>
          <w:p>
            <w:pPr>
              <w:ind w:left="20"/>
              <w:spacing w:after="0"/>
              <w:rPr>
                <w:sz w:val="20"/>
                <w:szCs w:val="20"/>
                <w:color w:val="auto"/>
              </w:rPr>
            </w:pPr>
            <w:r>
              <w:rPr>
                <w:rFonts w:ascii="Arial" w:cs="Arial" w:eastAsia="Arial" w:hAnsi="Arial"/>
                <w:sz w:val="16"/>
                <w:szCs w:val="16"/>
                <w:color w:val="auto"/>
              </w:rPr>
              <w:t>Fifth wheel</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2,465</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31.4 %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2,541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35.3 %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(76)</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8"/>
        </w:trPr>
        <w:tc>
          <w:tcPr>
            <w:tcW w:w="20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 RV</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November 25,</w:t>
            </w: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November 26,</w:t>
            </w: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Change</w:t>
            </w:r>
            <w:r>
              <w:rPr>
                <w:rFonts w:ascii="Arial" w:cs="Arial" w:eastAsia="Arial" w:hAnsi="Arial"/>
                <w:sz w:val="21"/>
                <w:szCs w:val="21"/>
                <w:b w:val="1"/>
                <w:bCs w:val="1"/>
                <w:color w:val="auto"/>
                <w:w w:val="94"/>
                <w:vertAlign w:val="superscript"/>
              </w:rPr>
              <w:t>(1)</w:t>
            </w: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9"/>
                <w:szCs w:val="9"/>
                <w:b w:val="1"/>
                <w:bCs w:val="1"/>
                <w:color w:val="auto"/>
              </w:rPr>
              <w:t>(3)</w:t>
            </w: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40" w:type="dxa"/>
            <w:vAlign w:val="bottom"/>
          </w:tcPr>
          <w:p>
            <w:pPr>
              <w:ind w:left="140"/>
              <w:spacing w:after="0"/>
              <w:rPr>
                <w:sz w:val="20"/>
                <w:szCs w:val="20"/>
                <w:color w:val="auto"/>
              </w:rPr>
            </w:pPr>
            <w:r>
              <w:rPr>
                <w:rFonts w:ascii="Arial" w:cs="Arial" w:eastAsia="Arial" w:hAnsi="Arial"/>
                <w:sz w:val="16"/>
                <w:szCs w:val="16"/>
                <w:color w:val="auto"/>
              </w:rPr>
              <w:t>Units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5,290</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10,441</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(5,151)</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217"/>
        </w:trPr>
        <w:tc>
          <w:tcPr>
            <w:tcW w:w="2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199.8</w:t>
            </w:r>
          </w:p>
        </w:tc>
        <w:tc>
          <w:tcPr>
            <w:tcW w:w="17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434.0</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(234.3)</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216"/>
        </w:trPr>
        <w:tc>
          <w:tcPr>
            <w:tcW w:w="204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16,667</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20,576</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(3,909)</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72" w:hanging="272"/>
        <w:spacing w:after="0"/>
        <w:tabs>
          <w:tab w:leader="none" w:pos="272" w:val="left"/>
        </w:tabs>
        <w:numPr>
          <w:ilvl w:val="0"/>
          <w:numId w:val="3"/>
        </w:numPr>
        <w:rPr>
          <w:rFonts w:ascii="Arial" w:cs="Arial" w:eastAsia="Arial" w:hAnsi="Arial"/>
          <w:sz w:val="9"/>
          <w:szCs w:val="9"/>
          <w:color w:val="auto"/>
        </w:rPr>
      </w:pPr>
      <w:r>
        <w:rPr>
          <w:rFonts w:ascii="Arial" w:cs="Arial" w:eastAsia="Arial" w:hAnsi="Arial"/>
          <w:sz w:val="14"/>
          <w:szCs w:val="14"/>
          <w:color w:val="auto"/>
        </w:rPr>
        <w:t>Amounts are calculated based on unrounded numbers and therefore may not recalculate using the rounded numbers provided.</w:t>
      </w:r>
    </w:p>
    <w:p>
      <w:pPr>
        <w:spacing w:after="0" w:line="68" w:lineRule="exact"/>
        <w:rPr>
          <w:rFonts w:ascii="Arial" w:cs="Arial" w:eastAsia="Arial" w:hAnsi="Arial"/>
          <w:sz w:val="9"/>
          <w:szCs w:val="9"/>
          <w:color w:val="auto"/>
        </w:rPr>
      </w:pPr>
    </w:p>
    <w:p>
      <w:pPr>
        <w:ind w:left="272" w:hanging="272"/>
        <w:spacing w:after="0"/>
        <w:tabs>
          <w:tab w:leader="none" w:pos="272" w:val="left"/>
        </w:tabs>
        <w:numPr>
          <w:ilvl w:val="0"/>
          <w:numId w:val="3"/>
        </w:numPr>
        <w:rPr>
          <w:rFonts w:ascii="Arial" w:cs="Arial" w:eastAsia="Arial" w:hAnsi="Arial"/>
          <w:sz w:val="9"/>
          <w:szCs w:val="9"/>
          <w:color w:val="auto"/>
        </w:rPr>
      </w:pPr>
      <w:r>
        <w:rPr>
          <w:rFonts w:ascii="Arial" w:cs="Arial" w:eastAsia="Arial" w:hAnsi="Arial"/>
          <w:sz w:val="14"/>
          <w:szCs w:val="14"/>
          <w:color w:val="auto"/>
        </w:rPr>
        <w:t>Percentages may not add due to rounding differences.</w:t>
      </w:r>
    </w:p>
    <w:p>
      <w:pPr>
        <w:spacing w:after="0" w:line="68" w:lineRule="exact"/>
        <w:rPr>
          <w:rFonts w:ascii="Arial" w:cs="Arial" w:eastAsia="Arial" w:hAnsi="Arial"/>
          <w:sz w:val="9"/>
          <w:szCs w:val="9"/>
          <w:color w:val="auto"/>
        </w:rPr>
      </w:pPr>
    </w:p>
    <w:p>
      <w:pPr>
        <w:ind w:left="252" w:right="40" w:hanging="252"/>
        <w:spacing w:after="0" w:line="231" w:lineRule="auto"/>
        <w:tabs>
          <w:tab w:leader="none" w:pos="283"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51"/>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072"/>
          </w:cols>
          <w:pgMar w:left="328" w:top="850" w:right="499" w:bottom="1440" w:gutter="0" w:footer="0" w:header="0"/>
        </w:sectPr>
      </w:pPr>
    </w:p>
    <w:bookmarkStart w:id="12" w:name="page13"/>
    <w:bookmarkEnd w:id="12"/>
    <w:p>
      <w:pPr>
        <w:jc w:val="center"/>
        <w:ind w:right="-171"/>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171"/>
        <w:spacing w:after="0"/>
        <w:rPr>
          <w:sz w:val="20"/>
          <w:szCs w:val="20"/>
          <w:color w:val="auto"/>
        </w:rPr>
      </w:pPr>
      <w:r>
        <w:rPr>
          <w:rFonts w:ascii="Arial" w:cs="Arial" w:eastAsia="Arial" w:hAnsi="Arial"/>
          <w:sz w:val="18"/>
          <w:szCs w:val="18"/>
          <w:b w:val="1"/>
          <w:bCs w:val="1"/>
          <w:color w:val="auto"/>
        </w:rPr>
        <w:t>Supplemental Information by Reportable Segment - Motorhome RV</w:t>
      </w:r>
    </w:p>
    <w:p>
      <w:pPr>
        <w:spacing w:after="0" w:line="12"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192" w:type="dxa"/>
        <w:tblCellMar>
          <w:top w:w="0" w:type="dxa"/>
          <w:left w:w="0" w:type="dxa"/>
          <w:bottom w:w="0" w:type="dxa"/>
          <w:right w:w="0" w:type="dxa"/>
        </w:tblCellMar>
      </w:tblPr>
      <w:tr>
        <w:trPr>
          <w:trHeight w:val="217"/>
        </w:trPr>
        <w:tc>
          <w:tcPr>
            <w:tcW w:w="20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20" w:type="dxa"/>
            <w:vAlign w:val="bottom"/>
          </w:tcPr>
          <w:p>
            <w:pPr>
              <w:spacing w:after="0"/>
              <w:rPr>
                <w:sz w:val="13"/>
                <w:szCs w:val="13"/>
                <w:color w:val="auto"/>
              </w:rPr>
            </w:pPr>
          </w:p>
        </w:tc>
        <w:tc>
          <w:tcPr>
            <w:tcW w:w="144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rPr>
              <w:t>November 25,</w:t>
            </w:r>
          </w:p>
        </w:tc>
        <w:tc>
          <w:tcPr>
            <w:tcW w:w="100" w:type="dxa"/>
            <w:vAlign w:val="bottom"/>
          </w:tcPr>
          <w:p>
            <w:pPr>
              <w:spacing w:after="0"/>
              <w:rPr>
                <w:sz w:val="13"/>
                <w:szCs w:val="13"/>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40" w:type="dxa"/>
            <w:vAlign w:val="bottom"/>
          </w:tcPr>
          <w:p>
            <w:pPr>
              <w:spacing w:after="0"/>
              <w:rPr>
                <w:sz w:val="13"/>
                <w:szCs w:val="13"/>
                <w:color w:val="auto"/>
              </w:rPr>
            </w:pPr>
          </w:p>
        </w:tc>
        <w:tc>
          <w:tcPr>
            <w:tcW w:w="132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November 26,</w:t>
            </w:r>
          </w:p>
        </w:tc>
        <w:tc>
          <w:tcPr>
            <w:tcW w:w="100" w:type="dxa"/>
            <w:vAlign w:val="bottom"/>
          </w:tcPr>
          <w:p>
            <w:pPr>
              <w:spacing w:after="0"/>
              <w:rPr>
                <w:sz w:val="13"/>
                <w:szCs w:val="13"/>
                <w:color w:val="auto"/>
              </w:rPr>
            </w:pP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940" w:type="dxa"/>
            <w:vAlign w:val="bottom"/>
          </w:tcPr>
          <w:p>
            <w:pPr>
              <w:jc w:val="center"/>
              <w:ind w:left="419"/>
              <w:spacing w:after="0"/>
              <w:rPr>
                <w:sz w:val="20"/>
                <w:szCs w:val="20"/>
                <w:color w:val="auto"/>
              </w:rPr>
            </w:pPr>
            <w:r>
              <w:rPr>
                <w:rFonts w:ascii="Arial" w:cs="Arial" w:eastAsia="Arial" w:hAnsi="Arial"/>
                <w:sz w:val="16"/>
                <w:szCs w:val="16"/>
                <w:b w:val="1"/>
                <w:bCs w:val="1"/>
                <w:color w:val="auto"/>
              </w:rPr>
              <w:t>2023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Net revenues</w:t>
            </w: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334.4</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464.2</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(129.8)</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15"/>
        </w:trPr>
        <w:tc>
          <w:tcPr>
            <w:tcW w:w="2020" w:type="dxa"/>
            <w:vAlign w:val="bottom"/>
          </w:tcPr>
          <w:p>
            <w:pPr>
              <w:spacing w:after="0"/>
              <w:rPr>
                <w:sz w:val="20"/>
                <w:szCs w:val="20"/>
                <w:color w:val="auto"/>
              </w:rPr>
            </w:pPr>
            <w:r>
              <w:rPr>
                <w:rFonts w:ascii="Arial" w:cs="Arial" w:eastAsia="Arial" w:hAnsi="Arial"/>
                <w:sz w:val="16"/>
                <w:szCs w:val="16"/>
                <w:color w:val="auto"/>
              </w:rPr>
              <w:t>Adjusted EBITDA</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21.3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6.4 %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10.8 %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474"/>
        </w:trPr>
        <w:tc>
          <w:tcPr>
            <w:tcW w:w="20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20" w:type="dxa"/>
            <w:vAlign w:val="bottom"/>
            <w:vMerge w:val="restart"/>
          </w:tcPr>
          <w:p>
            <w:pPr>
              <w:spacing w:after="0"/>
              <w:rPr>
                <w:sz w:val="20"/>
                <w:szCs w:val="20"/>
                <w:color w:val="auto"/>
              </w:rPr>
            </w:pPr>
            <w:r>
              <w:rPr>
                <w:rFonts w:ascii="Arial" w:cs="Arial" w:eastAsia="Arial" w:hAnsi="Arial"/>
                <w:sz w:val="16"/>
                <w:szCs w:val="16"/>
                <w:b w:val="1"/>
                <w:bCs w:val="1"/>
                <w:color w:val="auto"/>
              </w:rPr>
              <w:t>Unit deliveries</w:t>
            </w:r>
          </w:p>
        </w:tc>
        <w:tc>
          <w:tcPr>
            <w:tcW w:w="144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rPr>
              <w:t>November 25,</w:t>
            </w:r>
          </w:p>
        </w:tc>
        <w:tc>
          <w:tcPr>
            <w:tcW w:w="100" w:type="dxa"/>
            <w:vAlign w:val="bottom"/>
          </w:tcPr>
          <w:p>
            <w:pPr>
              <w:spacing w:after="0"/>
              <w:rPr>
                <w:sz w:val="13"/>
                <w:szCs w:val="13"/>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40" w:type="dxa"/>
            <w:vAlign w:val="bottom"/>
          </w:tcPr>
          <w:p>
            <w:pPr>
              <w:spacing w:after="0"/>
              <w:rPr>
                <w:sz w:val="13"/>
                <w:szCs w:val="13"/>
                <w:color w:val="auto"/>
              </w:rPr>
            </w:pPr>
          </w:p>
        </w:tc>
        <w:tc>
          <w:tcPr>
            <w:tcW w:w="132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November 26,</w:t>
            </w:r>
          </w:p>
        </w:tc>
        <w:tc>
          <w:tcPr>
            <w:tcW w:w="100" w:type="dxa"/>
            <w:vAlign w:val="bottom"/>
          </w:tcPr>
          <w:p>
            <w:pPr>
              <w:spacing w:after="0"/>
              <w:rPr>
                <w:sz w:val="13"/>
                <w:szCs w:val="13"/>
                <w:color w:val="auto"/>
              </w:rPr>
            </w:pP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020" w:type="dxa"/>
            <w:vAlign w:val="bottom"/>
            <w:vMerge w:val="continue"/>
          </w:tcPr>
          <w:p>
            <w:pPr>
              <w:spacing w:after="0"/>
              <w:rPr>
                <w:sz w:val="18"/>
                <w:szCs w:val="18"/>
                <w:color w:val="auto"/>
              </w:rPr>
            </w:pPr>
          </w:p>
        </w:tc>
        <w:tc>
          <w:tcPr>
            <w:tcW w:w="940" w:type="dxa"/>
            <w:vAlign w:val="bottom"/>
          </w:tcPr>
          <w:p>
            <w:pPr>
              <w:jc w:val="center"/>
              <w:ind w:left="419"/>
              <w:spacing w:after="0"/>
              <w:rPr>
                <w:sz w:val="20"/>
                <w:szCs w:val="20"/>
                <w:color w:val="auto"/>
              </w:rPr>
            </w:pPr>
            <w:r>
              <w:rPr>
                <w:rFonts w:ascii="Arial" w:cs="Arial" w:eastAsia="Arial" w:hAnsi="Arial"/>
                <w:sz w:val="16"/>
                <w:szCs w:val="16"/>
                <w:b w:val="1"/>
                <w:bCs w:val="1"/>
                <w:color w:val="auto"/>
              </w:rPr>
              <w:t>2023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Class A</w:t>
            </w:r>
          </w:p>
        </w:tc>
        <w:tc>
          <w:tcPr>
            <w:tcW w:w="9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15"/>
        </w:trPr>
        <w:tc>
          <w:tcPr>
            <w:tcW w:w="2020" w:type="dxa"/>
            <w:vAlign w:val="bottom"/>
          </w:tcPr>
          <w:p>
            <w:pPr>
              <w:spacing w:after="0"/>
              <w:rPr>
                <w:sz w:val="20"/>
                <w:szCs w:val="20"/>
                <w:color w:val="auto"/>
              </w:rPr>
            </w:pPr>
            <w:r>
              <w:rPr>
                <w:rFonts w:ascii="Arial" w:cs="Arial" w:eastAsia="Arial" w:hAnsi="Arial"/>
                <w:sz w:val="16"/>
                <w:szCs w:val="16"/>
                <w:color w:val="auto"/>
              </w:rPr>
              <w:t>Class B</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691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40.2 %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1,322</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52.7 %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217"/>
        </w:trPr>
        <w:tc>
          <w:tcPr>
            <w:tcW w:w="2020" w:type="dxa"/>
            <w:vAlign w:val="bottom"/>
            <w:shd w:val="clear" w:color="auto" w:fill="CCEEFF"/>
          </w:tcPr>
          <w:p>
            <w:pPr>
              <w:spacing w:after="0"/>
              <w:rPr>
                <w:sz w:val="20"/>
                <w:szCs w:val="20"/>
                <w:color w:val="auto"/>
              </w:rPr>
            </w:pPr>
            <w:r>
              <w:rPr>
                <w:rFonts w:ascii="Arial" w:cs="Arial" w:eastAsia="Arial" w:hAnsi="Arial"/>
                <w:sz w:val="16"/>
                <w:szCs w:val="16"/>
                <w:color w:val="auto"/>
              </w:rPr>
              <w:t>Class C</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31.9 %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19.7 %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11.4 %</w:t>
            </w:r>
          </w:p>
        </w:tc>
        <w:tc>
          <w:tcPr>
            <w:tcW w:w="0" w:type="dxa"/>
            <w:vAlign w:val="bottom"/>
          </w:tcPr>
          <w:p>
            <w:pPr>
              <w:spacing w:after="0"/>
              <w:rPr>
                <w:sz w:val="1"/>
                <w:szCs w:val="1"/>
                <w:color w:val="auto"/>
              </w:rPr>
            </w:pPr>
          </w:p>
        </w:tc>
      </w:tr>
      <w:tr>
        <w:trPr>
          <w:trHeight w:val="183"/>
        </w:trPr>
        <w:tc>
          <w:tcPr>
            <w:tcW w:w="2020" w:type="dxa"/>
            <w:vAlign w:val="bottom"/>
          </w:tcPr>
          <w:p>
            <w:pPr>
              <w:ind w:left="120"/>
              <w:spacing w:after="0" w:line="183" w:lineRule="exact"/>
              <w:rPr>
                <w:sz w:val="20"/>
                <w:szCs w:val="20"/>
                <w:color w:val="auto"/>
              </w:rPr>
            </w:pPr>
            <w:r>
              <w:rPr>
                <w:rFonts w:ascii="Arial" w:cs="Arial" w:eastAsia="Arial" w:hAnsi="Arial"/>
                <w:sz w:val="16"/>
                <w:szCs w:val="16"/>
                <w:color w:val="auto"/>
              </w:rPr>
              <w:t>Total Motorhome RV</w:t>
            </w:r>
          </w:p>
        </w:tc>
        <w:tc>
          <w:tcPr>
            <w:tcW w:w="94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9"/>
              </w:rPr>
              <w:t>1,721</w:t>
            </w:r>
          </w:p>
        </w:tc>
        <w:tc>
          <w:tcPr>
            <w:tcW w:w="100" w:type="dxa"/>
            <w:vAlign w:val="bottom"/>
          </w:tcPr>
          <w:p>
            <w:pPr>
              <w:spacing w:after="0"/>
              <w:rPr>
                <w:sz w:val="15"/>
                <w:szCs w:val="15"/>
                <w:color w:val="auto"/>
              </w:rPr>
            </w:pPr>
          </w:p>
        </w:tc>
        <w:tc>
          <w:tcPr>
            <w:tcW w:w="14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100.0 %</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2,508</w:t>
            </w:r>
          </w:p>
        </w:tc>
        <w:tc>
          <w:tcPr>
            <w:tcW w:w="100" w:type="dxa"/>
            <w:vAlign w:val="bottom"/>
          </w:tcPr>
          <w:p>
            <w:pPr>
              <w:spacing w:after="0"/>
              <w:rPr>
                <w:sz w:val="15"/>
                <w:szCs w:val="15"/>
                <w:color w:val="auto"/>
              </w:rPr>
            </w:pPr>
          </w:p>
        </w:tc>
        <w:tc>
          <w:tcPr>
            <w:tcW w:w="14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100.0 %</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(787)</w:t>
            </w:r>
          </w:p>
        </w:tc>
        <w:tc>
          <w:tcPr>
            <w:tcW w:w="100" w:type="dxa"/>
            <w:vAlign w:val="bottom"/>
          </w:tcPr>
          <w:p>
            <w:pPr>
              <w:spacing w:after="0"/>
              <w:rPr>
                <w:sz w:val="15"/>
                <w:szCs w:val="15"/>
                <w:color w:val="auto"/>
              </w:rPr>
            </w:pPr>
          </w:p>
        </w:tc>
        <w:tc>
          <w:tcPr>
            <w:tcW w:w="13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1"/>
        </w:trPr>
        <w:tc>
          <w:tcPr>
            <w:tcW w:w="20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2020" w:type="dxa"/>
            <w:vAlign w:val="bottom"/>
          </w:tcPr>
          <w:p>
            <w:pPr>
              <w:spacing w:after="0"/>
              <w:rPr>
                <w:sz w:val="24"/>
                <w:szCs w:val="24"/>
                <w:color w:val="auto"/>
              </w:rPr>
            </w:pPr>
          </w:p>
        </w:tc>
        <w:tc>
          <w:tcPr>
            <w:tcW w:w="1440" w:type="dxa"/>
            <w:vAlign w:val="bottom"/>
            <w:gridSpan w:val="2"/>
          </w:tcPr>
          <w:p>
            <w:pPr>
              <w:jc w:val="center"/>
              <w:spacing w:after="0"/>
              <w:rPr>
                <w:sz w:val="20"/>
                <w:szCs w:val="20"/>
                <w:color w:val="auto"/>
              </w:rPr>
            </w:pPr>
            <w:r>
              <w:rPr>
                <w:rFonts w:ascii="Arial" w:cs="Arial" w:eastAsia="Arial" w:hAnsi="Arial"/>
                <w:sz w:val="16"/>
                <w:szCs w:val="16"/>
                <w:b w:val="1"/>
                <w:bCs w:val="1"/>
                <w:color w:val="auto"/>
              </w:rPr>
              <w:t>November 25,</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rPr>
              <w:t>November 26,</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Change</w:t>
            </w:r>
            <w:r>
              <w:rPr>
                <w:rFonts w:ascii="Arial" w:cs="Arial" w:eastAsia="Arial" w:hAnsi="Arial"/>
                <w:sz w:val="21"/>
                <w:szCs w:val="21"/>
                <w:b w:val="1"/>
                <w:bCs w:val="1"/>
                <w:color w:val="auto"/>
                <w:w w:val="94"/>
                <w:vertAlign w:val="superscript"/>
              </w:rPr>
              <w:t>(1)</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940" w:type="dxa"/>
            <w:vAlign w:val="bottom"/>
          </w:tcPr>
          <w:p>
            <w:pPr>
              <w:jc w:val="center"/>
              <w:ind w:left="419"/>
              <w:spacing w:after="0"/>
              <w:rPr>
                <w:sz w:val="20"/>
                <w:szCs w:val="20"/>
                <w:color w:val="auto"/>
              </w:rPr>
            </w:pPr>
            <w:r>
              <w:rPr>
                <w:rFonts w:ascii="Arial" w:cs="Arial" w:eastAsia="Arial" w:hAnsi="Arial"/>
                <w:sz w:val="16"/>
                <w:szCs w:val="16"/>
                <w:b w:val="1"/>
                <w:bCs w:val="1"/>
                <w:color w:val="auto"/>
              </w:rPr>
              <w:t>2023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9"/>
                <w:szCs w:val="9"/>
                <w:b w:val="1"/>
                <w:bCs w:val="1"/>
                <w:color w:val="auto"/>
              </w:rPr>
              <w:t>(3)</w:t>
            </w:r>
          </w:p>
        </w:tc>
        <w:tc>
          <w:tcPr>
            <w:tcW w:w="9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20" w:type="dxa"/>
            <w:vAlign w:val="bottom"/>
          </w:tcPr>
          <w:p>
            <w:pPr>
              <w:ind w:left="120"/>
              <w:spacing w:after="0"/>
              <w:rPr>
                <w:sz w:val="20"/>
                <w:szCs w:val="20"/>
                <w:color w:val="auto"/>
              </w:rPr>
            </w:pPr>
            <w:r>
              <w:rPr>
                <w:rFonts w:ascii="Arial" w:cs="Arial" w:eastAsia="Arial" w:hAnsi="Arial"/>
                <w:sz w:val="16"/>
                <w:szCs w:val="16"/>
                <w:color w:val="auto"/>
              </w:rPr>
              <w:t>Units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3,200</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10,089</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(6,889)</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(68.3)%</w:t>
            </w:r>
          </w:p>
        </w:tc>
        <w:tc>
          <w:tcPr>
            <w:tcW w:w="0" w:type="dxa"/>
            <w:vAlign w:val="bottom"/>
          </w:tcPr>
          <w:p>
            <w:pPr>
              <w:spacing w:after="0"/>
              <w:rPr>
                <w:sz w:val="1"/>
                <w:szCs w:val="1"/>
                <w:color w:val="auto"/>
              </w:rPr>
            </w:pPr>
          </w:p>
        </w:tc>
      </w:tr>
      <w:tr>
        <w:trPr>
          <w:trHeight w:val="217"/>
        </w:trPr>
        <w:tc>
          <w:tcPr>
            <w:tcW w:w="2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Dollars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545.3</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1,596.0</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(1,050.7)</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6"/>
                <w:szCs w:val="16"/>
                <w:b w:val="1"/>
                <w:bCs w:val="1"/>
                <w:color w:val="auto"/>
              </w:rPr>
              <w:t>Dealer Inventory</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Units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4,224</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4,234</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72" w:hanging="272"/>
        <w:spacing w:after="0"/>
        <w:tabs>
          <w:tab w:leader="none" w:pos="272" w:val="left"/>
        </w:tabs>
        <w:numPr>
          <w:ilvl w:val="0"/>
          <w:numId w:val="4"/>
        </w:numPr>
        <w:rPr>
          <w:rFonts w:ascii="Arial" w:cs="Arial" w:eastAsia="Arial" w:hAnsi="Arial"/>
          <w:sz w:val="9"/>
          <w:szCs w:val="9"/>
          <w:color w:val="auto"/>
        </w:rPr>
      </w:pPr>
      <w:r>
        <w:rPr>
          <w:rFonts w:ascii="Arial" w:cs="Arial" w:eastAsia="Arial" w:hAnsi="Arial"/>
          <w:sz w:val="14"/>
          <w:szCs w:val="14"/>
          <w:color w:val="auto"/>
        </w:rPr>
        <w:t>Amounts are calculated based on unrounded numbers and therefore may not recalculate using the rounded numbers provided.</w:t>
      </w:r>
    </w:p>
    <w:p>
      <w:pPr>
        <w:spacing w:after="0" w:line="68" w:lineRule="exact"/>
        <w:rPr>
          <w:rFonts w:ascii="Arial" w:cs="Arial" w:eastAsia="Arial" w:hAnsi="Arial"/>
          <w:sz w:val="9"/>
          <w:szCs w:val="9"/>
          <w:color w:val="auto"/>
        </w:rPr>
      </w:pPr>
    </w:p>
    <w:p>
      <w:pPr>
        <w:ind w:left="272" w:hanging="272"/>
        <w:spacing w:after="0"/>
        <w:tabs>
          <w:tab w:leader="none" w:pos="272" w:val="left"/>
        </w:tabs>
        <w:numPr>
          <w:ilvl w:val="0"/>
          <w:numId w:val="4"/>
        </w:numPr>
        <w:rPr>
          <w:rFonts w:ascii="Arial" w:cs="Arial" w:eastAsia="Arial" w:hAnsi="Arial"/>
          <w:sz w:val="9"/>
          <w:szCs w:val="9"/>
          <w:color w:val="auto"/>
        </w:rPr>
      </w:pPr>
      <w:r>
        <w:rPr>
          <w:rFonts w:ascii="Arial" w:cs="Arial" w:eastAsia="Arial" w:hAnsi="Arial"/>
          <w:sz w:val="14"/>
          <w:szCs w:val="14"/>
          <w:color w:val="auto"/>
        </w:rPr>
        <w:t>Percentages may not add due to rounding differences.</w:t>
      </w:r>
    </w:p>
    <w:p>
      <w:pPr>
        <w:spacing w:after="0" w:line="68" w:lineRule="exact"/>
        <w:rPr>
          <w:rFonts w:ascii="Arial" w:cs="Arial" w:eastAsia="Arial" w:hAnsi="Arial"/>
          <w:sz w:val="9"/>
          <w:szCs w:val="9"/>
          <w:color w:val="auto"/>
        </w:rPr>
      </w:pPr>
    </w:p>
    <w:p>
      <w:pPr>
        <w:ind w:left="252" w:right="80" w:hanging="252"/>
        <w:spacing w:after="0" w:line="231" w:lineRule="auto"/>
        <w:tabs>
          <w:tab w:leader="none" w:pos="227"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71"/>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052"/>
          </w:cols>
          <w:pgMar w:left="328" w:top="1147" w:right="519" w:bottom="1440" w:gutter="0" w:footer="0" w:header="0"/>
        </w:sectPr>
      </w:pPr>
    </w:p>
    <w:bookmarkStart w:id="13" w:name="page14"/>
    <w:bookmarkEnd w:id="13"/>
    <w:tbl>
      <w:tblPr>
        <w:tblLayout w:type="fixed"/>
        <w:tblInd w:w="292"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gridSpan w:val="6"/>
          </w:tcPr>
          <w:p>
            <w:pPr>
              <w:ind w:left="680"/>
              <w:spacing w:after="0"/>
              <w:rPr>
                <w:sz w:val="20"/>
                <w:szCs w:val="20"/>
                <w:color w:val="auto"/>
              </w:rPr>
            </w:pPr>
            <w:r>
              <w:rPr>
                <w:rFonts w:ascii="Arial" w:cs="Arial" w:eastAsia="Arial" w:hAnsi="Arial"/>
                <w:sz w:val="18"/>
                <w:szCs w:val="18"/>
                <w:b w:val="1"/>
                <w:bCs w:val="1"/>
                <w:color w:val="auto"/>
              </w:rPr>
              <w:t>Winnebago Industries, Inc.</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940" w:type="dxa"/>
            <w:vAlign w:val="bottom"/>
            <w:gridSpan w:val="10"/>
          </w:tcPr>
          <w:p>
            <w:pPr>
              <w:jc w:val="center"/>
              <w:ind w:left="678"/>
              <w:spacing w:after="0"/>
              <w:rPr>
                <w:sz w:val="20"/>
                <w:szCs w:val="20"/>
                <w:color w:val="auto"/>
              </w:rPr>
            </w:pPr>
            <w:r>
              <w:rPr>
                <w:rFonts w:ascii="Arial" w:cs="Arial" w:eastAsia="Arial" w:hAnsi="Arial"/>
                <w:sz w:val="18"/>
                <w:szCs w:val="18"/>
                <w:b w:val="1"/>
                <w:bCs w:val="1"/>
                <w:color w:val="auto"/>
                <w:w w:val="99"/>
              </w:rPr>
              <w:t>Supplemental Information by Reportable Segment - Marine</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gridSpan w:val="6"/>
          </w:tcPr>
          <w:p>
            <w:pPr>
              <w:jc w:val="center"/>
              <w:ind w:left="717"/>
              <w:spacing w:after="0"/>
              <w:rPr>
                <w:sz w:val="20"/>
                <w:szCs w:val="20"/>
                <w:color w:val="auto"/>
              </w:rPr>
            </w:pPr>
            <w:r>
              <w:rPr>
                <w:rFonts w:ascii="Arial" w:cs="Arial" w:eastAsia="Arial" w:hAnsi="Arial"/>
                <w:sz w:val="16"/>
                <w:szCs w:val="16"/>
                <w:b w:val="1"/>
                <w:bCs w:val="1"/>
                <w:color w:val="auto"/>
              </w:rPr>
              <w:t>(in millions, except unit data)</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gridSpan w:val="8"/>
          </w:tcPr>
          <w:p>
            <w:pPr>
              <w:jc w:val="center"/>
              <w:ind w:right="640"/>
              <w:spacing w:after="0"/>
              <w:rPr>
                <w:sz w:val="20"/>
                <w:szCs w:val="20"/>
                <w:color w:val="auto"/>
              </w:rPr>
            </w:pPr>
            <w:r>
              <w:rPr>
                <w:rFonts w:ascii="Arial" w:cs="Arial" w:eastAsia="Arial" w:hAnsi="Arial"/>
                <w:sz w:val="16"/>
                <w:szCs w:val="16"/>
                <w:b w:val="1"/>
                <w:bCs w:val="1"/>
                <w:color w:val="auto"/>
              </w:rPr>
              <w:t>(Unaudited and subject to reclassification)</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center"/>
              <w:ind w:right="78"/>
              <w:spacing w:after="0" w:line="155" w:lineRule="exact"/>
              <w:rPr>
                <w:sz w:val="20"/>
                <w:szCs w:val="20"/>
                <w:color w:val="auto"/>
              </w:rPr>
            </w:pPr>
            <w:r>
              <w:rPr>
                <w:rFonts w:ascii="Arial" w:cs="Arial" w:eastAsia="Arial" w:hAnsi="Arial"/>
                <w:sz w:val="16"/>
                <w:szCs w:val="16"/>
                <w:b w:val="1"/>
                <w:bCs w:val="1"/>
                <w:color w:val="auto"/>
              </w:rPr>
              <w:t>November 25,</w:t>
            </w:r>
          </w:p>
        </w:tc>
        <w:tc>
          <w:tcPr>
            <w:tcW w:w="100" w:type="dxa"/>
            <w:vAlign w:val="bottom"/>
          </w:tcPr>
          <w:p>
            <w:pPr>
              <w:spacing w:after="0"/>
              <w:rPr>
                <w:sz w:val="13"/>
                <w:szCs w:val="13"/>
                <w:color w:val="auto"/>
              </w:rPr>
            </w:pPr>
          </w:p>
        </w:tc>
        <w:tc>
          <w:tcPr>
            <w:tcW w:w="1640" w:type="dxa"/>
            <w:vAlign w:val="bottom"/>
            <w:gridSpan w:val="3"/>
            <w:vMerge w:val="restart"/>
          </w:tcPr>
          <w:p>
            <w:pPr>
              <w:jc w:val="right"/>
              <w:ind w:right="239"/>
              <w:spacing w:after="0"/>
              <w:rPr>
                <w:sz w:val="20"/>
                <w:szCs w:val="20"/>
                <w:color w:val="auto"/>
              </w:rPr>
            </w:pPr>
            <w:r>
              <w:rPr>
                <w:rFonts w:ascii="Arial" w:cs="Arial" w:eastAsia="Arial" w:hAnsi="Arial"/>
                <w:sz w:val="16"/>
                <w:szCs w:val="16"/>
                <w:b w:val="1"/>
                <w:bCs w:val="1"/>
                <w:color w:val="auto"/>
                <w:w w:val="99"/>
              </w:rPr>
              <w:t>% of Revenues</w:t>
            </w:r>
            <w:r>
              <w:rPr>
                <w:rFonts w:ascii="Arial" w:cs="Arial" w:eastAsia="Arial" w:hAnsi="Arial"/>
                <w:sz w:val="21"/>
                <w:szCs w:val="21"/>
                <w:b w:val="1"/>
                <w:bCs w:val="1"/>
                <w:color w:val="auto"/>
                <w:w w:val="99"/>
                <w:vertAlign w:val="superscript"/>
              </w:rPr>
              <w:t>(1)</w:t>
            </w:r>
          </w:p>
        </w:tc>
        <w:tc>
          <w:tcPr>
            <w:tcW w:w="1440" w:type="dxa"/>
            <w:vAlign w:val="bottom"/>
            <w:gridSpan w:val="3"/>
          </w:tcPr>
          <w:p>
            <w:pPr>
              <w:jc w:val="center"/>
              <w:ind w:right="300"/>
              <w:spacing w:after="0" w:line="155" w:lineRule="exact"/>
              <w:rPr>
                <w:sz w:val="20"/>
                <w:szCs w:val="20"/>
                <w:color w:val="auto"/>
              </w:rPr>
            </w:pPr>
            <w:r>
              <w:rPr>
                <w:rFonts w:ascii="Arial" w:cs="Arial" w:eastAsia="Arial" w:hAnsi="Arial"/>
                <w:sz w:val="16"/>
                <w:szCs w:val="16"/>
                <w:b w:val="1"/>
                <w:bCs w:val="1"/>
                <w:color w:val="auto"/>
              </w:rPr>
              <w:t>November 26,</w:t>
            </w:r>
          </w:p>
        </w:tc>
        <w:tc>
          <w:tcPr>
            <w:tcW w:w="14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98"/>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15"/>
        </w:trPr>
        <w:tc>
          <w:tcPr>
            <w:tcW w:w="18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7.2</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8.2 %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487"/>
        </w:trPr>
        <w:tc>
          <w:tcPr>
            <w:tcW w:w="1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13"/>
                <w:szCs w:val="13"/>
                <w:color w:val="auto"/>
              </w:rPr>
            </w:pPr>
          </w:p>
        </w:tc>
        <w:tc>
          <w:tcPr>
            <w:tcW w:w="1300" w:type="dxa"/>
            <w:vAlign w:val="bottom"/>
          </w:tcPr>
          <w:p>
            <w:pPr>
              <w:jc w:val="center"/>
              <w:ind w:right="78"/>
              <w:spacing w:after="0" w:line="155" w:lineRule="exact"/>
              <w:rPr>
                <w:sz w:val="20"/>
                <w:szCs w:val="20"/>
                <w:color w:val="auto"/>
              </w:rPr>
            </w:pPr>
            <w:r>
              <w:rPr>
                <w:rFonts w:ascii="Arial" w:cs="Arial" w:eastAsia="Arial" w:hAnsi="Arial"/>
                <w:sz w:val="16"/>
                <w:szCs w:val="16"/>
                <w:b w:val="1"/>
                <w:bCs w:val="1"/>
                <w:color w:val="auto"/>
              </w:rPr>
              <w:t>November 25,</w:t>
            </w: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3"/>
          </w:tcPr>
          <w:p>
            <w:pPr>
              <w:jc w:val="center"/>
              <w:ind w:right="300"/>
              <w:spacing w:after="0" w:line="155" w:lineRule="exact"/>
              <w:rPr>
                <w:sz w:val="20"/>
                <w:szCs w:val="20"/>
                <w:color w:val="auto"/>
              </w:rPr>
            </w:pPr>
            <w:r>
              <w:rPr>
                <w:rFonts w:ascii="Arial" w:cs="Arial" w:eastAsia="Arial" w:hAnsi="Arial"/>
                <w:sz w:val="16"/>
                <w:szCs w:val="16"/>
                <w:b w:val="1"/>
                <w:bCs w:val="1"/>
                <w:color w:val="auto"/>
              </w:rPr>
              <w:t>November 26,</w:t>
            </w: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1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98"/>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center"/>
              <w:ind w:right="78"/>
              <w:spacing w:after="0"/>
              <w:rPr>
                <w:sz w:val="20"/>
                <w:szCs w:val="20"/>
                <w:color w:val="auto"/>
              </w:rPr>
            </w:pPr>
            <w:r>
              <w:rPr>
                <w:rFonts w:ascii="Arial" w:cs="Arial" w:eastAsia="Arial" w:hAnsi="Arial"/>
                <w:sz w:val="16"/>
                <w:szCs w:val="16"/>
                <w:b w:val="1"/>
                <w:bCs w:val="1"/>
                <w:color w:val="auto"/>
              </w:rPr>
              <w:t>November 25,</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rPr>
              <w:t>November 26,</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Change</w:t>
            </w:r>
            <w:r>
              <w:rPr>
                <w:rFonts w:ascii="Arial" w:cs="Arial" w:eastAsia="Arial" w:hAnsi="Arial"/>
                <w:sz w:val="21"/>
                <w:szCs w:val="21"/>
                <w:b w:val="1"/>
                <w:bCs w:val="1"/>
                <w:color w:val="auto"/>
                <w:w w:val="94"/>
                <w:vertAlign w:val="superscript"/>
              </w:rPr>
              <w:t>(1)</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98"/>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9"/>
                <w:szCs w:val="9"/>
                <w:b w:val="1"/>
                <w:bCs w:val="1"/>
                <w:color w:val="auto"/>
              </w:rPr>
              <w:t>(2)</w:t>
            </w: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20" w:type="dxa"/>
            <w:vAlign w:val="bottom"/>
          </w:tcPr>
          <w:p>
            <w:pPr>
              <w:ind w:left="140"/>
              <w:spacing w:after="0"/>
              <w:rPr>
                <w:sz w:val="20"/>
                <w:szCs w:val="20"/>
                <w:color w:val="auto"/>
              </w:rPr>
            </w:pPr>
            <w:r>
              <w:rPr>
                <w:rFonts w:ascii="Arial" w:cs="Arial" w:eastAsia="Arial" w:hAnsi="Arial"/>
                <w:sz w:val="16"/>
                <w:szCs w:val="16"/>
                <w:color w:val="auto"/>
              </w:rPr>
              <w:t>Units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1,897</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3,633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(1,736)</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17"/>
        </w:trPr>
        <w:tc>
          <w:tcPr>
            <w:tcW w:w="1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w:t>
            </w:r>
          </w:p>
        </w:tc>
        <w:tc>
          <w:tcPr>
            <w:tcW w:w="17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(178.1)</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r>
              <w:rPr>
                <w:rFonts w:ascii="Arial" w:cs="Arial" w:eastAsia="Arial" w:hAnsi="Arial"/>
                <w:sz w:val="9"/>
                <w:szCs w:val="9"/>
                <w:b w:val="1"/>
                <w:bCs w:val="1"/>
                <w:color w:val="auto"/>
              </w:rPr>
              <w:t>(3)</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3,767</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18.4 %</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72" w:hanging="272"/>
        <w:spacing w:after="0"/>
        <w:tabs>
          <w:tab w:leader="none" w:pos="272" w:val="left"/>
        </w:tabs>
        <w:numPr>
          <w:ilvl w:val="0"/>
          <w:numId w:val="5"/>
        </w:numPr>
        <w:rPr>
          <w:rFonts w:ascii="Arial" w:cs="Arial" w:eastAsia="Arial" w:hAnsi="Arial"/>
          <w:sz w:val="9"/>
          <w:szCs w:val="9"/>
          <w:color w:val="auto"/>
        </w:rPr>
      </w:pPr>
      <w:r>
        <w:rPr>
          <w:rFonts w:ascii="Arial" w:cs="Arial" w:eastAsia="Arial" w:hAnsi="Arial"/>
          <w:sz w:val="14"/>
          <w:szCs w:val="14"/>
          <w:color w:val="auto"/>
        </w:rPr>
        <w:t>Amounts are calculated based on unrounded numbers and therefore may not recalculate using the rounded numbers provided.</w:t>
      </w:r>
    </w:p>
    <w:p>
      <w:pPr>
        <w:spacing w:after="0" w:line="68" w:lineRule="exact"/>
        <w:rPr>
          <w:rFonts w:ascii="Arial" w:cs="Arial" w:eastAsia="Arial" w:hAnsi="Arial"/>
          <w:sz w:val="9"/>
          <w:szCs w:val="9"/>
          <w:color w:val="auto"/>
        </w:rPr>
      </w:pPr>
    </w:p>
    <w:p>
      <w:pPr>
        <w:ind w:left="252" w:hanging="252"/>
        <w:spacing w:after="0" w:line="290" w:lineRule="auto"/>
        <w:tabs>
          <w:tab w:leader="none" w:pos="227" w:val="left"/>
        </w:tabs>
        <w:numPr>
          <w:ilvl w:val="0"/>
          <w:numId w:val="5"/>
        </w:numPr>
        <w:rPr>
          <w:rFonts w:ascii="Arial" w:cs="Arial" w:eastAsia="Arial" w:hAnsi="Arial"/>
          <w:sz w:val="9"/>
          <w:szCs w:val="9"/>
          <w:color w:val="auto"/>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ind w:left="212" w:hanging="212"/>
        <w:spacing w:after="0" w:line="237" w:lineRule="auto"/>
        <w:tabs>
          <w:tab w:leader="none" w:pos="212"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Due to the nature of the Marine industry, this amount includes a higher proportion of retail sold units than our other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51"/>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72"/>
          </w:cols>
          <w:pgMar w:left="328" w:top="904" w:right="599" w:bottom="1440" w:gutter="0" w:footer="0" w:header="0"/>
        </w:sectPr>
      </w:pPr>
    </w:p>
    <w:bookmarkStart w:id="14" w:name="page15"/>
    <w:bookmarkEnd w:id="14"/>
    <w:p>
      <w:pPr>
        <w:ind w:left="4480"/>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Non-GAAP Reconciliation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46" w:lineRule="exact"/>
        <w:rPr>
          <w:sz w:val="20"/>
          <w:szCs w:val="20"/>
          <w:color w:val="auto"/>
        </w:rPr>
      </w:pPr>
    </w:p>
    <w:p>
      <w:pPr>
        <w:ind w:right="140"/>
        <w:spacing w:after="0" w:line="309" w:lineRule="auto"/>
        <w:rPr>
          <w:sz w:val="20"/>
          <w:szCs w:val="20"/>
          <w:color w:val="auto"/>
        </w:rPr>
      </w:pPr>
      <w:r>
        <w:rPr>
          <w:rFonts w:ascii="Arial" w:cs="Arial" w:eastAsia="Arial" w:hAnsi="Arial"/>
          <w:sz w:val="16"/>
          <w:szCs w:val="16"/>
          <w:color w:val="auto"/>
        </w:rPr>
        <w:t>Non-GAAP financial measures, which are not calculated or presented in accordance with accounting principles generally accepted in the United States (“GAAP”), have been provided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presented may differ from similar measures used by other companies.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20" w:type="dxa"/>
            <w:vAlign w:val="bottom"/>
          </w:tcPr>
          <w:p>
            <w:pPr>
              <w:spacing w:after="0"/>
              <w:rPr>
                <w:sz w:val="20"/>
                <w:szCs w:val="20"/>
                <w:color w:val="auto"/>
              </w:rPr>
            </w:pPr>
            <w:r>
              <w:rPr>
                <w:rFonts w:ascii="Arial" w:cs="Arial" w:eastAsia="Arial" w:hAnsi="Arial"/>
                <w:sz w:val="16"/>
                <w:szCs w:val="16"/>
                <w:color w:val="auto"/>
              </w:rPr>
              <w:t>The following table reconciles diluted earnings per share to Adjusted diluted earnings per share:</w:t>
            </w: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45"/>
        </w:trPr>
        <w:tc>
          <w:tcPr>
            <w:tcW w:w="78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Borders>
              <w:bottom w:val="single" w:sz="8" w:color="auto"/>
            </w:tcBorders>
          </w:tcPr>
          <w:p>
            <w:pPr>
              <w:spacing w:after="0"/>
              <w:rPr>
                <w:sz w:val="21"/>
                <w:szCs w:val="21"/>
                <w:color w:val="auto"/>
              </w:rPr>
            </w:pPr>
          </w:p>
        </w:tc>
      </w:tr>
      <w:tr>
        <w:trPr>
          <w:trHeight w:val="210"/>
        </w:trPr>
        <w:tc>
          <w:tcPr>
            <w:tcW w:w="7820" w:type="dxa"/>
            <w:vAlign w:val="bottom"/>
          </w:tcPr>
          <w:p>
            <w:pPr>
              <w:spacing w:after="0"/>
              <w:rPr>
                <w:sz w:val="18"/>
                <w:szCs w:val="18"/>
                <w:color w:val="auto"/>
              </w:rPr>
            </w:pPr>
          </w:p>
        </w:tc>
        <w:tc>
          <w:tcPr>
            <w:tcW w:w="1760" w:type="dxa"/>
            <w:vAlign w:val="bottom"/>
            <w:gridSpan w:val="3"/>
          </w:tcPr>
          <w:p>
            <w:pPr>
              <w:ind w:left="80"/>
              <w:spacing w:after="0"/>
              <w:rPr>
                <w:sz w:val="20"/>
                <w:szCs w:val="20"/>
                <w:color w:val="auto"/>
              </w:rPr>
            </w:pPr>
            <w:r>
              <w:rPr>
                <w:rFonts w:ascii="Arial" w:cs="Arial" w:eastAsia="Arial" w:hAnsi="Arial"/>
                <w:sz w:val="16"/>
                <w:szCs w:val="16"/>
                <w:b w:val="1"/>
                <w:bCs w:val="1"/>
                <w:color w:val="auto"/>
              </w:rPr>
              <w:t>November 25, 2023</w:t>
            </w:r>
          </w:p>
        </w:tc>
        <w:tc>
          <w:tcPr>
            <w:tcW w:w="16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November 26, 2022</w:t>
            </w:r>
          </w:p>
        </w:tc>
      </w:tr>
      <w:tr>
        <w:trPr>
          <w:trHeight w:val="209"/>
        </w:trPr>
        <w:tc>
          <w:tcPr>
            <w:tcW w:w="7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 earnings per share</w:t>
            </w: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9"/>
                <w:szCs w:val="9"/>
                <w:color w:val="auto"/>
              </w:rPr>
              <w:t>(1)</w:t>
            </w: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0.02</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r>
              <w:rPr>
                <w:rFonts w:ascii="Arial" w:cs="Arial" w:eastAsia="Arial" w:hAnsi="Arial"/>
                <w:sz w:val="9"/>
                <w:szCs w:val="9"/>
                <w:color w:val="auto"/>
              </w:rPr>
              <w:t>(1)</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Contingent consideration fair value adjustment</w:t>
            </w:r>
            <w:r>
              <w:rPr>
                <w:rFonts w:ascii="Arial" w:cs="Arial" w:eastAsia="Arial" w:hAnsi="Arial"/>
                <w:sz w:val="9"/>
                <w:szCs w:val="9"/>
                <w:color w:val="auto"/>
              </w:rPr>
              <w:t>(1)</w:t>
            </w: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impact of adjustments</w:t>
            </w:r>
            <w:r>
              <w:rPr>
                <w:rFonts w:ascii="Arial" w:cs="Arial" w:eastAsia="Arial" w:hAnsi="Arial"/>
                <w:sz w:val="9"/>
                <w:szCs w:val="9"/>
                <w:color w:val="auto"/>
              </w:rPr>
              <w:t>(2)</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r>
      <w:tr>
        <w:trPr>
          <w:trHeight w:val="215"/>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Impact of convertible notes - other</w:t>
            </w:r>
            <w:r>
              <w:rPr>
                <w:rFonts w:ascii="Arial" w:cs="Arial" w:eastAsia="Arial" w:hAnsi="Arial"/>
                <w:sz w:val="9"/>
                <w:szCs w:val="9"/>
                <w:color w:val="auto"/>
              </w:rPr>
              <w:t>(3)</w:t>
            </w: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0.24</w:t>
            </w:r>
          </w:p>
        </w:tc>
      </w:tr>
      <w:tr>
        <w:trPr>
          <w:trHeight w:val="235"/>
        </w:trPr>
        <w:tc>
          <w:tcPr>
            <w:tcW w:w="7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Adjusted diluted earnings per share</w:t>
            </w:r>
            <w:r>
              <w:rPr>
                <w:rFonts w:ascii="Arial" w:cs="Arial" w:eastAsia="Arial" w:hAnsi="Arial"/>
                <w:sz w:val="9"/>
                <w:szCs w:val="9"/>
                <w:color w:val="auto"/>
              </w:rPr>
              <w:t>(4)</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220" w:hanging="212"/>
        <w:spacing w:after="0"/>
        <w:tabs>
          <w:tab w:leader="none" w:pos="220" w:val="left"/>
        </w:tabs>
        <w:numPr>
          <w:ilvl w:val="0"/>
          <w:numId w:val="6"/>
        </w:numPr>
        <w:rPr>
          <w:rFonts w:ascii="Arial" w:cs="Arial" w:eastAsia="Arial" w:hAnsi="Arial"/>
          <w:sz w:val="9"/>
          <w:szCs w:val="9"/>
          <w:color w:val="auto"/>
        </w:rPr>
      </w:pPr>
      <w:r>
        <w:rPr>
          <w:rFonts w:ascii="Arial" w:cs="Arial" w:eastAsia="Arial" w:hAnsi="Arial"/>
          <w:sz w:val="14"/>
          <w:szCs w:val="14"/>
          <w:color w:val="auto"/>
        </w:rPr>
        <w:t>Represents a pre-tax adjustment.</w:t>
      </w:r>
    </w:p>
    <w:p>
      <w:pPr>
        <w:spacing w:after="0" w:line="28" w:lineRule="exact"/>
        <w:rPr>
          <w:rFonts w:ascii="Arial" w:cs="Arial" w:eastAsia="Arial" w:hAnsi="Arial"/>
          <w:sz w:val="9"/>
          <w:szCs w:val="9"/>
          <w:color w:val="auto"/>
        </w:rPr>
      </w:pPr>
    </w:p>
    <w:p>
      <w:pPr>
        <w:ind w:left="220" w:hanging="212"/>
        <w:spacing w:after="0"/>
        <w:tabs>
          <w:tab w:leader="none" w:pos="220" w:val="left"/>
        </w:tabs>
        <w:numPr>
          <w:ilvl w:val="0"/>
          <w:numId w:val="6"/>
        </w:numPr>
        <w:rPr>
          <w:rFonts w:ascii="Arial" w:cs="Arial" w:eastAsia="Arial" w:hAnsi="Arial"/>
          <w:sz w:val="9"/>
          <w:szCs w:val="9"/>
          <w:color w:val="auto"/>
        </w:rPr>
      </w:pPr>
      <w:r>
        <w:rPr>
          <w:rFonts w:ascii="Arial" w:cs="Arial" w:eastAsia="Arial" w:hAnsi="Arial"/>
          <w:sz w:val="14"/>
          <w:szCs w:val="14"/>
          <w:color w:val="auto"/>
        </w:rPr>
        <w:t>Income tax charge calculated using the statutory tax rate for the U.S. of 23.0% and 24.1% for Fiscal 2024 and Fiscal 2023, respectively.</w:t>
      </w:r>
    </w:p>
    <w:p>
      <w:pPr>
        <w:spacing w:after="0" w:line="14" w:lineRule="exact"/>
        <w:rPr>
          <w:rFonts w:ascii="Arial" w:cs="Arial" w:eastAsia="Arial" w:hAnsi="Arial"/>
          <w:sz w:val="9"/>
          <w:szCs w:val="9"/>
          <w:color w:val="auto"/>
        </w:rPr>
      </w:pPr>
    </w:p>
    <w:p>
      <w:pPr>
        <w:jc w:val="both"/>
        <w:ind w:left="260" w:right="300" w:hanging="252"/>
        <w:spacing w:after="0" w:line="227" w:lineRule="auto"/>
        <w:tabs>
          <w:tab w:leader="none" w:pos="235"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Represents the dilution of convertible notes which is economically offset by a call spread overlay that was put in place upon issuance. As a result of the adoption of ASU 2020-06, the convertible notes are assumed to be converted into common stock at the beginning of the reporting period, and interest expense is excluded, both of which impact the calculation of reported diluted earnings per share.</w:t>
      </w:r>
    </w:p>
    <w:p>
      <w:pPr>
        <w:spacing w:after="0" w:line="1" w:lineRule="exact"/>
        <w:rPr>
          <w:rFonts w:ascii="Arial" w:cs="Arial" w:eastAsia="Arial" w:hAnsi="Arial"/>
          <w:sz w:val="19"/>
          <w:szCs w:val="19"/>
          <w:color w:val="auto"/>
          <w:vertAlign w:val="superscript"/>
        </w:rPr>
      </w:pPr>
    </w:p>
    <w:p>
      <w:pPr>
        <w:ind w:left="220" w:hanging="212"/>
        <w:spacing w:after="0"/>
        <w:tabs>
          <w:tab w:leader="none" w:pos="220" w:val="left"/>
        </w:tabs>
        <w:numPr>
          <w:ilvl w:val="0"/>
          <w:numId w:val="6"/>
        </w:numPr>
        <w:rPr>
          <w:rFonts w:ascii="Arial" w:cs="Arial" w:eastAsia="Arial" w:hAnsi="Arial"/>
          <w:sz w:val="9"/>
          <w:szCs w:val="9"/>
          <w:color w:val="auto"/>
        </w:rPr>
      </w:pPr>
      <w:r>
        <w:rPr>
          <w:rFonts w:ascii="Arial" w:cs="Arial" w:eastAsia="Arial" w:hAnsi="Arial"/>
          <w:sz w:val="14"/>
          <w:szCs w:val="14"/>
          <w:color w:val="auto"/>
        </w:rPr>
        <w:t>Per share numbers may not foot due to rounding.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20" w:type="dxa"/>
            <w:vAlign w:val="bottom"/>
          </w:tcPr>
          <w:p>
            <w:pPr>
              <w:spacing w:after="0"/>
              <w:rPr>
                <w:sz w:val="20"/>
                <w:szCs w:val="20"/>
                <w:color w:val="auto"/>
              </w:rPr>
            </w:pPr>
            <w:r>
              <w:rPr>
                <w:rFonts w:ascii="Arial" w:cs="Arial" w:eastAsia="Arial" w:hAnsi="Arial"/>
                <w:sz w:val="16"/>
                <w:szCs w:val="16"/>
                <w:color w:val="auto"/>
              </w:rPr>
              <w:t>The following table reconciles net income to consolidated EBITDA and Adjusted EBITDA.</w:t>
            </w: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45"/>
        </w:trPr>
        <w:tc>
          <w:tcPr>
            <w:tcW w:w="78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Borders>
              <w:bottom w:val="single" w:sz="8" w:color="auto"/>
            </w:tcBorders>
          </w:tcPr>
          <w:p>
            <w:pPr>
              <w:spacing w:after="0"/>
              <w:rPr>
                <w:sz w:val="21"/>
                <w:szCs w:val="21"/>
                <w:color w:val="auto"/>
              </w:rPr>
            </w:pPr>
          </w:p>
        </w:tc>
      </w:tr>
      <w:tr>
        <w:trPr>
          <w:trHeight w:val="209"/>
        </w:trPr>
        <w:tc>
          <w:tcPr>
            <w:tcW w:w="782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1760" w:type="dxa"/>
            <w:vAlign w:val="bottom"/>
            <w:gridSpan w:val="3"/>
          </w:tcPr>
          <w:p>
            <w:pPr>
              <w:ind w:left="80"/>
              <w:spacing w:after="0"/>
              <w:rPr>
                <w:sz w:val="20"/>
                <w:szCs w:val="20"/>
                <w:color w:val="auto"/>
              </w:rPr>
            </w:pPr>
            <w:r>
              <w:rPr>
                <w:rFonts w:ascii="Arial" w:cs="Arial" w:eastAsia="Arial" w:hAnsi="Arial"/>
                <w:sz w:val="16"/>
                <w:szCs w:val="16"/>
                <w:b w:val="1"/>
                <w:bCs w:val="1"/>
                <w:color w:val="auto"/>
              </w:rPr>
              <w:t>November 25, 2023</w:t>
            </w:r>
          </w:p>
        </w:tc>
        <w:tc>
          <w:tcPr>
            <w:tcW w:w="16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November 26, 2022</w:t>
            </w:r>
          </w:p>
        </w:tc>
      </w:tr>
      <w:tr>
        <w:trPr>
          <w:trHeight w:val="210"/>
        </w:trPr>
        <w:tc>
          <w:tcPr>
            <w:tcW w:w="7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w:t>
            </w: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5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09"/>
        </w:trPr>
        <w:tc>
          <w:tcPr>
            <w:tcW w:w="7820" w:type="dxa"/>
            <w:vAlign w:val="bottom"/>
          </w:tcPr>
          <w:p>
            <w:pPr>
              <w:ind w:left="140"/>
              <w:spacing w:after="0"/>
              <w:rPr>
                <w:sz w:val="20"/>
                <w:szCs w:val="20"/>
                <w:color w:val="auto"/>
              </w:rPr>
            </w:pPr>
            <w:r>
              <w:rPr>
                <w:rFonts w:ascii="Arial" w:cs="Arial" w:eastAsia="Arial" w:hAnsi="Arial"/>
                <w:sz w:val="16"/>
                <w:szCs w:val="16"/>
                <w:color w:val="auto"/>
              </w:rPr>
              <w:t>EBITDA</w:t>
            </w: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96.0</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costs</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Contingent consideration fair value adjustment</w:t>
            </w: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5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820" w:type="dxa"/>
            <w:vAlign w:val="bottom"/>
          </w:tcPr>
          <w:p>
            <w:pPr>
              <w:ind w:left="140"/>
              <w:spacing w:after="0"/>
              <w:rPr>
                <w:sz w:val="20"/>
                <w:szCs w:val="20"/>
                <w:color w:val="auto"/>
              </w:rPr>
            </w:pPr>
            <w:r>
              <w:rPr>
                <w:rFonts w:ascii="Arial" w:cs="Arial" w:eastAsia="Arial" w:hAnsi="Arial"/>
                <w:sz w:val="16"/>
                <w:szCs w:val="16"/>
                <w:color w:val="auto"/>
              </w:rPr>
              <w:t>Adjusted EBITDA</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w:t>
            </w:r>
          </w:p>
        </w:tc>
      </w:tr>
      <w:tr>
        <w:trPr>
          <w:trHeight w:val="20"/>
        </w:trPr>
        <w:tc>
          <w:tcPr>
            <w:tcW w:w="7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Non-GAAP performance measures of Adjusted diluted earnings per share, EBITDA and Adjusted EBITDA have been provided as comparable measures to illustrate the effect of non-recurring transactions occurring during the reported periods and to improve comparability of our results from period to period. Adjusted diluted earnings per share is defined as diluted earnings per share adjusted for after-tax items that impact the comparability of our results from period to period. EBITDA is defined as net income 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from period to period. Management believes Adjusted diluted earnings per share and Adjusted EBITDA provide meaningful supplemental information about our operating performance because these measures exclude amounts that we do not consider part of our core operating results when assessing our performance.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Management uses these non-GAAP financial measures (a) to evaluate historical and prospective financial performance and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890" w:right="339" w:bottom="1440" w:gutter="0" w:footer="0" w:header="0"/>
        </w:sectPr>
      </w:pPr>
    </w:p>
    <w:bookmarkStart w:id="15" w:name="page16"/>
    <w:bookmarkEnd w:id="15"/>
    <w:p>
      <w:pPr>
        <w:spacing w:after="0" w:line="304" w:lineRule="auto"/>
        <w:rPr>
          <w:sz w:val="20"/>
          <w:szCs w:val="20"/>
          <w:color w:val="auto"/>
        </w:rPr>
      </w:pPr>
      <w:r>
        <w:rPr>
          <w:rFonts w:ascii="Arial" w:cs="Arial" w:eastAsia="Arial" w:hAnsi="Arial"/>
          <w:sz w:val="16"/>
          <w:szCs w:val="16"/>
          <w:color w:val="auto"/>
        </w:rPr>
        <w:t>trends as well as assess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the Company; (d) to evaluate potential acquisitions; and (e) to ensure compliance with restricted activities under the terms of our asset-backed revolving credit facility and outstanding notes. Management believes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w:t>
      </w:r>
    </w:p>
    <w:sectPr>
      <w:pgSz w:w="11900" w:h="16838" w:orient="portrait"/>
      <w:cols w:equalWidth="0" w:num="1">
        <w:col w:w="11120"/>
      </w:cols>
      <w:pgMar w:left="320" w:top="90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2023-12-20T06:57:40Z</dcterms:created>
  <dcterms:modified xsi:type="dcterms:W3CDTF">2023-12-20T06:57:40Z</dcterms:modified>
</cp:coreProperties>
</file>