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Bhattacharya Ashis Nayan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40" w:type="dxa"/>
            <w:vAlign w:val="bottom"/>
            <w:tcBorders>
              <w:top w:val="single" w:sz="8" w:color="0000EE"/>
            </w:tcBorders>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900" w:type="dxa"/>
            <w:vAlign w:val="bottom"/>
            <w:gridSpan w:val="2"/>
            <w:vMerge w:val="restart"/>
          </w:tcPr>
          <w:p>
            <w:pPr>
              <w:ind w:left="140"/>
              <w:spacing w:after="0"/>
              <w:rPr>
                <w:sz w:val="20"/>
                <w:szCs w:val="20"/>
                <w:color w:val="auto"/>
              </w:rPr>
            </w:pPr>
            <w:r>
              <w:rPr>
                <w:rFonts w:ascii="Arial" w:cs="Arial" w:eastAsia="Arial" w:hAnsi="Arial"/>
                <w:sz w:val="18"/>
                <w:szCs w:val="18"/>
                <w:color w:val="0000FF"/>
              </w:rPr>
              <w:t>VP-Strategic Dev. &amp; Planning</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12/13/2017</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12/13/2017</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83"/>
              </w:rPr>
              <w:t>432</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3"/>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56.65</w:t>
            </w:r>
          </w:p>
        </w:tc>
        <w:tc>
          <w:tcPr>
            <w:tcW w:w="1240" w:type="dxa"/>
            <w:vAlign w:val="bottom"/>
            <w:tcBorders>
              <w:bottom w:val="single" w:sz="8" w:color="2C2C2C"/>
            </w:tcBorders>
            <w:gridSpan w:val="2"/>
          </w:tcPr>
          <w:p>
            <w:pPr>
              <w:ind w:left="340"/>
              <w:spacing w:after="0"/>
              <w:rPr>
                <w:sz w:val="20"/>
                <w:szCs w:val="20"/>
                <w:color w:val="auto"/>
              </w:rPr>
            </w:pPr>
            <w:r>
              <w:rPr>
                <w:rFonts w:ascii="Arial" w:cs="Arial" w:eastAsia="Arial" w:hAnsi="Arial"/>
                <w:sz w:val="18"/>
                <w:szCs w:val="18"/>
                <w:color w:val="0000FF"/>
              </w:rPr>
              <w:t>8,550</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10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Upon the annual incremental vesting of a restricted stock award granted 12/13/16 under the Winnebago Industries, Inc. 2014 Omnibus Equity, Performance Awards, and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reporting person's tax obligation incurred upon the vesting of such restricted stock award.</w:t>
      </w:r>
    </w:p>
    <w:p>
      <w:pPr>
        <w:spacing w:after="0" w:line="2" w:lineRule="exact"/>
        <w:rPr>
          <w:rFonts w:ascii="Arial" w:cs="Arial" w:eastAsia="Arial" w:hAnsi="Arial"/>
          <w:sz w:val="12"/>
          <w:szCs w:val="12"/>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total amount of Winnebago Stock Units held by reporting person in Winnebago Industries, Inc. as of reporting date.</w:t>
      </w:r>
    </w:p>
    <w:p>
      <w:pPr>
        <w:spacing w:after="0" w:line="7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Scott C. Folkers,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519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191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Winnebago Industries, Inc.</w:t>
      </w:r>
      <w:r>
        <w:rPr>
          <w:sz w:val="20"/>
          <w:szCs w:val="20"/>
          <w:color w:val="auto"/>
        </w:rPr>
        <w:tab/>
      </w:r>
      <w:r>
        <w:rPr>
          <w:rFonts w:ascii="Arial" w:cs="Arial" w:eastAsia="Arial" w:hAnsi="Arial"/>
          <w:sz w:val="15"/>
          <w:szCs w:val="15"/>
          <w:color w:val="0000FF"/>
        </w:rPr>
        <w:t>12/14/2017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under Power 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1112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74994"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2019-12-03T23:40:24Z</dcterms:created>
  <dcterms:modified xsi:type="dcterms:W3CDTF">2019-12-03T23:40:24Z</dcterms:modified>
</cp:coreProperties>
</file>