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At the annual meeting of shareholders of Winnebago Industries, Inc. (the “Company”) held on December 14, 2023 (the “Annual Meeting”), the Company’s shareholders approved the amended and restated 2019 Omnibus Incentive Plan (the “Restated Incentive Plan”), which incorporated certain amendments to the plan, including an increase in the number of shares of the Company’s common stock available for issuance thereunder by an additional 2,400,000 shares and an extension of the term of the plan. The Company’s shareholders also approved the amended and restated Employee Stock Purchase Plan (the “Restated ESPP”), which incorporated certain amendments to the plan, including an increase in the number of shares of the Company’s common stock for issuance thereunder by an additional 400,000 shares. A description of the terms of the Restated Incentive Plan and the Restated ESPP can be found in Proposals 4 and 5, respectively, in the Company’s definitive proxy statement for the Annual Meeting filed with the Securities and Exchange Commission on November 3, 2023 (the “2023 Proxy Statement”), and the full text of the Restated Incentive Plan and the Restated ESPP are attached as Appendix A and Appendix B, respectively, to the 2023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the Annual Meeting, six proposals were voted upon by the Company’s shareholders. The proposals are described in detail in the 2023 Proxy Statement. A brief description of the proposals and the final results of the votes for each matter follows.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nominees were elected as Class III directors of the Company for three-year terms ending in 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ind w:left="1140"/>
              <w:spacing w:after="0"/>
              <w:rPr>
                <w:sz w:val="20"/>
                <w:szCs w:val="20"/>
                <w:color w:val="auto"/>
              </w:rPr>
            </w:pPr>
            <w:r>
              <w:rPr>
                <w:rFonts w:ascii="Arial" w:cs="Arial" w:eastAsia="Arial" w:hAnsi="Arial"/>
                <w:sz w:val="16"/>
                <w:szCs w:val="16"/>
                <w:b w:val="1"/>
                <w:bCs w:val="1"/>
                <w:color w:val="auto"/>
              </w:rPr>
              <w:t>Name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Votes For</w:t>
            </w:r>
          </w:p>
        </w:tc>
        <w:tc>
          <w:tcPr>
            <w:tcW w:w="2820" w:type="dxa"/>
            <w:vAlign w:val="bottom"/>
            <w:gridSpan w:val="2"/>
          </w:tcPr>
          <w:p>
            <w:pPr>
              <w:ind w:left="780"/>
              <w:spacing w:after="0"/>
              <w:rPr>
                <w:sz w:val="20"/>
                <w:szCs w:val="20"/>
                <w:color w:val="auto"/>
              </w:rPr>
            </w:pPr>
            <w:r>
              <w:rPr>
                <w:rFonts w:ascii="Arial" w:cs="Arial" w:eastAsia="Arial" w:hAnsi="Arial"/>
                <w:sz w:val="16"/>
                <w:szCs w:val="16"/>
                <w:b w:val="1"/>
                <w:bCs w:val="1"/>
                <w:color w:val="auto"/>
              </w:rPr>
              <w:t>Votes Withheld</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Sara E. Armbruster</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23,037,786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150,677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3,464,410</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William C. Fisher</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22,046,649</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1,141,814</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3,464,410</w:t>
            </w:r>
          </w:p>
        </w:tc>
      </w:tr>
      <w:tr>
        <w:trPr>
          <w:trHeight w:val="21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23,073,413</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115,050</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3,464,410</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Staci L. Kroon</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23,108,554</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79,909</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3,464,410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of the Compensation of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in a non-binding vote: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21,809,526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1,288,488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90,449</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3,464,410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Advisory Approval of the Frequency of Future Advisory Votes on the Compensation of Named Executive Officers.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frequency of “one year” for future advisory votes on the compensation of the Company’s named executive officers was approved in a non-binding vote: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One Year</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Two Years</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Three Years</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Abstain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09"/>
        </w:trPr>
        <w:tc>
          <w:tcPr>
            <w:tcW w:w="21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20,512,326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17,453</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2,639,293</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19,391</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3,464,410</w:t>
            </w:r>
          </w:p>
        </w:tc>
      </w:tr>
    </w:tbl>
    <w:p>
      <w:pPr>
        <w:spacing w:after="0" w:line="323"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The Board has considered the shareholder vote regarding the frequency for future advisory votes on compensation of the Company’s named executive officers and determined that it will hold such advisory vote every year until the next vote on frequency, which will be no later than the Company’s annual meeting of shareholders in 2029.</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Approval of Amended and Restated 2019 Omnibus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proposal to approve the Company’s amended and restated 2019 Omnibus Incentive Plan was approved: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Abstain</w:t>
            </w:r>
          </w:p>
        </w:tc>
        <w:tc>
          <w:tcPr>
            <w:tcW w:w="27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22,038,672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1,105,563</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44,228</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3,464,410</w:t>
            </w:r>
          </w:p>
        </w:tc>
        <w:tc>
          <w:tcPr>
            <w:tcW w:w="20" w:type="dxa"/>
            <w:vAlign w:val="bottom"/>
          </w:tcPr>
          <w:p>
            <w:pPr>
              <w:spacing w:after="0"/>
              <w:rPr>
                <w:sz w:val="18"/>
                <w:szCs w:val="18"/>
                <w:color w:val="auto"/>
              </w:rPr>
            </w:pPr>
          </w:p>
        </w:tc>
      </w:tr>
      <w:tr>
        <w:trPr>
          <w:trHeight w:val="1208"/>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6320" w:type="dxa"/>
            <w:vAlign w:val="bottom"/>
            <w:gridSpan w:val="5"/>
          </w:tcPr>
          <w:p>
            <w:pPr>
              <w:spacing w:after="0"/>
              <w:rPr>
                <w:sz w:val="20"/>
                <w:szCs w:val="20"/>
                <w:color w:val="auto"/>
              </w:rPr>
            </w:pPr>
            <w:r>
              <w:rPr>
                <w:rFonts w:ascii="Arial" w:cs="Arial" w:eastAsia="Arial" w:hAnsi="Arial"/>
                <w:sz w:val="16"/>
                <w:szCs w:val="16"/>
                <w:b w:val="1"/>
                <w:bCs w:val="1"/>
                <w:color w:val="auto"/>
              </w:rPr>
              <w:t>Item 5 – Approval of Amended and Restated Employee Stock Purchase Plan.</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24"/>
        </w:trPr>
        <w:tc>
          <w:tcPr>
            <w:tcW w:w="8480" w:type="dxa"/>
            <w:vAlign w:val="bottom"/>
            <w:gridSpan w:val="7"/>
          </w:tcPr>
          <w:p>
            <w:pPr>
              <w:spacing w:after="0"/>
              <w:rPr>
                <w:sz w:val="20"/>
                <w:szCs w:val="20"/>
                <w:color w:val="auto"/>
              </w:rPr>
            </w:pPr>
            <w:r>
              <w:rPr>
                <w:rFonts w:ascii="Arial" w:cs="Arial" w:eastAsia="Arial" w:hAnsi="Arial"/>
                <w:sz w:val="16"/>
                <w:szCs w:val="16"/>
                <w:color w:val="auto"/>
              </w:rPr>
              <w:t>The proposal to approve the Company’s amended and restated Employee Stock Purchase Plan was approved:</w:t>
            </w:r>
          </w:p>
        </w:tc>
        <w:tc>
          <w:tcPr>
            <w:tcW w:w="2740" w:type="dxa"/>
            <w:vAlign w:val="bottom"/>
          </w:tcPr>
          <w:p>
            <w:pPr>
              <w:spacing w:after="0"/>
              <w:rPr>
                <w:sz w:val="24"/>
                <w:szCs w:val="24"/>
                <w:color w:val="auto"/>
              </w:rPr>
            </w:pPr>
          </w:p>
        </w:tc>
      </w:tr>
      <w:tr>
        <w:trPr>
          <w:trHeight w:val="488"/>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35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9"/>
              </w:rPr>
              <w:t>Votes Against</w:t>
            </w:r>
          </w:p>
        </w:tc>
        <w:tc>
          <w:tcPr>
            <w:tcW w:w="216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23,091,321</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60,541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36,601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3,464,410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 Ratification of the Selection of Deloitte &amp; Touche LLP as Independent Registered Public Accountant for Fiscal 2024.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selection of Deloitte &amp; Touche LLP as the Company’s independent registered public accountant for the fiscal year ending August 31, 2024 was ratified: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Abstain</w:t>
            </w:r>
          </w:p>
        </w:tc>
      </w:tr>
      <w:tr>
        <w:trPr>
          <w:trHeight w:val="209"/>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25,795,594</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795,616</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rPr>
              <w:t>61,663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48"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20955</wp:posOffset>
            </wp:positionV>
            <wp:extent cx="6814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18, 2023</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vMerge w:val="restart"/>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8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2023-12-18T15:19:13Z</dcterms:created>
  <dcterms:modified xsi:type="dcterms:W3CDTF">2023-12-18T15:19:13Z</dcterms:modified>
</cp:coreProperties>
</file>