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November 29, 2014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143510</wp:posOffset>
            </wp:positionV>
            <wp:extent cx="326707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December 29, 2014 was 26,920,456.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0" w:type="dxa"/>
            <w:vAlign w:val="bottom"/>
            <w:gridSpan w:val="8"/>
          </w:tcPr>
          <w:p>
            <w:pPr>
              <w:jc w:val="center"/>
              <w:ind w:right="62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7"/>
          </w:tcPr>
          <w:p>
            <w:pPr>
              <w:jc w:val="center"/>
              <w:ind w:right="74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6"/>
                <w:szCs w:val="16"/>
                <w:b w:val="1"/>
                <w:bCs w:val="1"/>
                <w:color w:val="0000EE"/>
                <w:w w:val="95"/>
              </w:rPr>
              <w:t>PART I</w:t>
            </w:r>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860" w:type="dxa"/>
            <w:vAlign w:val="bottom"/>
            <w:gridSpan w:val="3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860" w:type="dxa"/>
            <w:vAlign w:val="bottom"/>
            <w:gridSpan w:val="3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tcBorders>
              <w:bottom w:val="single" w:sz="8" w:color="0000EE"/>
            </w:tcBorders>
            <w:gridSpan w:val="2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and Comprehensive Income</w:t>
              </w:r>
            </w:hyperlink>
          </w:p>
        </w:tc>
        <w:tc>
          <w:tcPr>
            <w:tcW w:w="1980" w:type="dxa"/>
            <w:vAlign w:val="bottom"/>
            <w:gridSpan w:val="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20" w:type="dxa"/>
            <w:vAlign w:val="bottom"/>
            <w:gridSpan w:val="2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EE"/>
            </w:tcBorders>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w:t>
              </w:r>
            </w:hyperlink>
          </w:p>
        </w:tc>
        <w:tc>
          <w:tcPr>
            <w:tcW w:w="374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20" w:type="dxa"/>
            <w:vAlign w:val="bottom"/>
            <w:gridSpan w:val="2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820" w:type="dxa"/>
            <w:vAlign w:val="bottom"/>
            <w:tcBorders>
              <w:top w:val="single" w:sz="8" w:color="0000EE"/>
            </w:tcBorders>
            <w:gridSpan w:val="6"/>
          </w:tcPr>
          <w:p>
            <w:pPr>
              <w:spacing w:after="0"/>
              <w:rPr>
                <w:sz w:val="21"/>
                <w:szCs w:val="21"/>
                <w:color w:val="auto"/>
              </w:rPr>
            </w:pPr>
          </w:p>
        </w:tc>
        <w:tc>
          <w:tcPr>
            <w:tcW w:w="3480" w:type="dxa"/>
            <w:vAlign w:val="bottom"/>
            <w:gridSpan w:val="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EE"/>
            </w:tcBorders>
            <w:gridSpan w:val="2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3: Investments and Fair Value Measurements</w:t>
              </w:r>
            </w:hyperlink>
          </w:p>
        </w:tc>
        <w:tc>
          <w:tcPr>
            <w:tcW w:w="276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8">
              <w:r>
                <w:rPr>
                  <w:rFonts w:ascii="Arial" w:cs="Arial" w:eastAsia="Arial" w:hAnsi="Arial"/>
                  <w:sz w:val="16"/>
                  <w:szCs w:val="16"/>
                  <w:color w:val="0000EE"/>
                  <w:w w:val="99"/>
                </w:rPr>
                <w:t>Note 4: Inventories</w:t>
              </w:r>
            </w:hyperlink>
          </w:p>
        </w:tc>
        <w:tc>
          <w:tcPr>
            <w:tcW w:w="5040" w:type="dxa"/>
            <w:vAlign w:val="bottom"/>
            <w:gridSpan w:val="2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tcBorders>
              <w:bottom w:val="single" w:sz="8" w:color="0000EE"/>
            </w:tcBorders>
            <w:gridSpan w:val="2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5: Net Investment in Operating Leases and Operating Lease Repurchase Obligation</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Borders>
              <w:bottom w:val="single" w:sz="8" w:color="0000EE"/>
            </w:tcBorders>
            <w:gridSpan w:val="19"/>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6: Property, Plant and Equipment</w:t>
              </w:r>
            </w:hyperlink>
          </w:p>
        </w:tc>
        <w:tc>
          <w:tcPr>
            <w:tcW w:w="362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0000EE"/>
            </w:tcBorders>
            <w:gridSpan w:val="10"/>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7: Credit Facilities</w:t>
              </w:r>
            </w:hyperlink>
          </w:p>
        </w:tc>
        <w:tc>
          <w:tcPr>
            <w:tcW w:w="4720" w:type="dxa"/>
            <w:vAlign w:val="bottom"/>
            <w:gridSpan w:val="1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0">
              <w:r>
                <w:rPr>
                  <w:rFonts w:ascii="Arial" w:cs="Arial" w:eastAsia="Arial" w:hAnsi="Arial"/>
                  <w:sz w:val="16"/>
                  <w:szCs w:val="16"/>
                  <w:color w:val="0000EE"/>
                  <w:w w:val="99"/>
                </w:rPr>
                <w:t>Note 8: Warranty</w:t>
              </w:r>
            </w:hyperlink>
          </w:p>
        </w:tc>
        <w:tc>
          <w:tcPr>
            <w:tcW w:w="5180" w:type="dxa"/>
            <w:vAlign w:val="bottom"/>
            <w:gridSpan w:val="2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20"/>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9: Employee and Retiree Benefits</w:t>
              </w:r>
            </w:hyperlink>
          </w:p>
        </w:tc>
        <w:tc>
          <w:tcPr>
            <w:tcW w:w="360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Borders>
              <w:bottom w:val="single" w:sz="8" w:color="0000EE"/>
            </w:tcBorders>
            <w:gridSpan w:val="16"/>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10: Stockholders' Equity</w:t>
              </w:r>
            </w:hyperlink>
          </w:p>
        </w:tc>
        <w:tc>
          <w:tcPr>
            <w:tcW w:w="4280" w:type="dxa"/>
            <w:vAlign w:val="bottom"/>
            <w:gridSpan w:val="1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11: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9"/>
              </w:rPr>
            </w:pPr>
            <w:hyperlink w:anchor="page13">
              <w:r>
                <w:rPr>
                  <w:rFonts w:ascii="Arial" w:cs="Arial" w:eastAsia="Arial" w:hAnsi="Arial"/>
                  <w:sz w:val="16"/>
                  <w:szCs w:val="16"/>
                  <w:color w:val="0000EE"/>
                  <w:w w:val="99"/>
                </w:rPr>
                <w:t>Note 12: Income Taxes</w:t>
              </w:r>
            </w:hyperlink>
          </w:p>
        </w:tc>
        <w:tc>
          <w:tcPr>
            <w:tcW w:w="1840" w:type="dxa"/>
            <w:vAlign w:val="bottom"/>
            <w:tcBorders>
              <w:top w:val="single" w:sz="8" w:color="0000EE"/>
            </w:tcBorders>
            <w:gridSpan w:val="13"/>
          </w:tcPr>
          <w:p>
            <w:pPr>
              <w:spacing w:after="0"/>
              <w:rPr>
                <w:sz w:val="21"/>
                <w:szCs w:val="21"/>
                <w:color w:val="auto"/>
              </w:rPr>
            </w:pPr>
          </w:p>
        </w:tc>
        <w:tc>
          <w:tcPr>
            <w:tcW w:w="290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13: Earnings Per Share</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14: Comprehensive Income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top w:val="single" w:sz="8" w:color="0000EE"/>
              <w:bottom w:val="single" w:sz="8" w:color="0000EE"/>
            </w:tcBorders>
            <w:gridSpan w:val="13"/>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15: Subsequent Event</w:t>
              </w:r>
            </w:hyperlink>
          </w:p>
        </w:tc>
        <w:tc>
          <w:tcPr>
            <w:tcW w:w="380" w:type="dxa"/>
            <w:vAlign w:val="bottom"/>
            <w:tcBorders>
              <w:top w:val="single" w:sz="8" w:color="0000EE"/>
            </w:tcBorders>
            <w:gridSpan w:val="4"/>
          </w:tcPr>
          <w:p>
            <w:pPr>
              <w:spacing w:after="0"/>
              <w:rPr>
                <w:sz w:val="21"/>
                <w:szCs w:val="21"/>
                <w:color w:val="auto"/>
              </w:rPr>
            </w:pPr>
          </w:p>
        </w:tc>
        <w:tc>
          <w:tcPr>
            <w:tcW w:w="4040" w:type="dxa"/>
            <w:vAlign w:val="bottom"/>
            <w:gridSpan w:val="11"/>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860" w:type="dxa"/>
            <w:vAlign w:val="bottom"/>
            <w:gridSpan w:val="30"/>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top w:val="single" w:sz="8" w:color="0000EE"/>
              <w:bottom w:val="single" w:sz="8" w:color="0000EE"/>
            </w:tcBorders>
            <w:gridSpan w:val="26"/>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3"/>
          </w:tcPr>
          <w:p>
            <w:pPr>
              <w:spacing w:after="0"/>
              <w:rPr>
                <w:sz w:val="19"/>
                <w:szCs w:val="19"/>
                <w:color w:val="auto"/>
              </w:rPr>
            </w:pPr>
          </w:p>
        </w:tc>
        <w:tc>
          <w:tcPr>
            <w:tcW w:w="500" w:type="dxa"/>
            <w:vAlign w:val="bottom"/>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860" w:type="dxa"/>
            <w:vAlign w:val="bottom"/>
            <w:gridSpan w:val="30"/>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21">
              <w:r>
                <w:rPr>
                  <w:rFonts w:ascii="Arial" w:cs="Arial" w:eastAsia="Arial" w:hAnsi="Arial"/>
                  <w:sz w:val="16"/>
                  <w:szCs w:val="16"/>
                  <w:b w:val="1"/>
                  <w:bCs w:val="1"/>
                  <w:color w:val="0000EE"/>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9"/>
              </w:rPr>
            </w:pPr>
            <w:hyperlink w:anchor="page21">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5080" w:type="dxa"/>
            <w:vAlign w:val="bottom"/>
            <w:gridSpan w:val="22"/>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21">
              <w:r>
                <w:rPr>
                  <w:rFonts w:ascii="Arial" w:cs="Arial" w:eastAsia="Arial" w:hAnsi="Arial"/>
                  <w:sz w:val="16"/>
                  <w:szCs w:val="16"/>
                  <w:color w:val="0000EE"/>
                  <w:w w:val="99"/>
                </w:rPr>
                <w:t>Legal Proceedings</w:t>
              </w:r>
            </w:hyperlink>
          </w:p>
        </w:tc>
        <w:tc>
          <w:tcPr>
            <w:tcW w:w="5520" w:type="dxa"/>
            <w:vAlign w:val="bottom"/>
            <w:gridSpan w:val="25"/>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21">
              <w:r>
                <w:rPr>
                  <w:rFonts w:ascii="Arial" w:cs="Arial" w:eastAsia="Arial" w:hAnsi="Arial"/>
                  <w:sz w:val="16"/>
                  <w:szCs w:val="16"/>
                  <w:color w:val="0000EE"/>
                  <w:w w:val="98"/>
                </w:rPr>
                <w:t>Risk Factors</w:t>
              </w:r>
            </w:hyperlink>
          </w:p>
        </w:tc>
        <w:tc>
          <w:tcPr>
            <w:tcW w:w="5960" w:type="dxa"/>
            <w:vAlign w:val="bottom"/>
            <w:gridSpan w:val="26"/>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860" w:type="dxa"/>
            <w:vAlign w:val="bottom"/>
            <w:gridSpan w:val="30"/>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EE"/>
            </w:tcBorders>
            <w:gridSpan w:val="27"/>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Exhibits</w:t>
              </w:r>
            </w:hyperlink>
          </w:p>
        </w:tc>
        <w:tc>
          <w:tcPr>
            <w:tcW w:w="2500" w:type="dxa"/>
            <w:vAlign w:val="bottom"/>
            <w:gridSpan w:val="3"/>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2">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1</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2</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9</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12</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18</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18</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19</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19</w:t>
        </w:r>
      </w:hyperlink>
    </w:p>
    <w:p>
      <w:pPr>
        <w:spacing w:after="0" w:line="356" w:lineRule="exact"/>
        <w:rPr>
          <w:sz w:val="20"/>
          <w:szCs w:val="20"/>
          <w:color w:val="auto"/>
        </w:rPr>
      </w:pPr>
    </w:p>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20</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18"/>
        </w:trPr>
        <w:tc>
          <w:tcPr>
            <w:tcW w:w="2360" w:type="dxa"/>
            <w:vAlign w:val="bottom"/>
          </w:tcPr>
          <w:p>
            <w:pPr>
              <w:ind w:left="40"/>
              <w:spacing w:after="0"/>
              <w:rPr>
                <w:sz w:val="20"/>
                <w:szCs w:val="20"/>
                <w:color w:val="auto"/>
              </w:rPr>
            </w:pPr>
            <w:r>
              <w:rPr>
                <w:rFonts w:ascii="Arial" w:cs="Arial" w:eastAsia="Arial" w:hAnsi="Arial"/>
                <w:sz w:val="16"/>
                <w:szCs w:val="16"/>
                <w:color w:val="auto"/>
              </w:rPr>
              <w:t>Amended Credit Agreement</w:t>
            </w:r>
          </w:p>
        </w:tc>
        <w:tc>
          <w:tcPr>
            <w:tcW w:w="9060" w:type="dxa"/>
            <w:vAlign w:val="bottom"/>
          </w:tcPr>
          <w:p>
            <w:pPr>
              <w:ind w:left="30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9060" w:type="dxa"/>
            <w:vAlign w:val="bottom"/>
          </w:tcPr>
          <w:p>
            <w:pPr>
              <w:ind w:left="300"/>
              <w:spacing w:after="0"/>
              <w:rPr>
                <w:sz w:val="20"/>
                <w:szCs w:val="20"/>
                <w:color w:val="auto"/>
              </w:rPr>
            </w:pPr>
            <w:r>
              <w:rPr>
                <w:rFonts w:ascii="Arial" w:cs="Arial" w:eastAsia="Arial" w:hAnsi="Arial"/>
                <w:sz w:val="16"/>
                <w:szCs w:val="16"/>
                <w:color w:val="auto"/>
              </w:rPr>
              <w:t>as Borrowers, and General Electric Capital Corporation, as Agent</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Apollo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Apollo Motorhome Holidays, LLC</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w:t>
            </w: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spacing w:after="0"/>
              <w:rPr>
                <w:sz w:val="16"/>
                <w:szCs w:val="16"/>
                <w:color w:val="auto"/>
              </w:rPr>
            </w:pP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LLC, as Borrowers, and General Electric Capital Corporation, as Agent (was amended May 28, 2014)</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FASB</w:t>
            </w:r>
          </w:p>
        </w:tc>
        <w:tc>
          <w:tcPr>
            <w:tcW w:w="9060" w:type="dxa"/>
            <w:vAlign w:val="bottom"/>
          </w:tcPr>
          <w:p>
            <w:pPr>
              <w:ind w:left="30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GAAP</w:t>
            </w:r>
          </w:p>
        </w:tc>
        <w:tc>
          <w:tcPr>
            <w:tcW w:w="9060" w:type="dxa"/>
            <w:vAlign w:val="bottom"/>
          </w:tcPr>
          <w:p>
            <w:pPr>
              <w:ind w:left="30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GECC</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IRS</w:t>
            </w:r>
          </w:p>
        </w:tc>
        <w:tc>
          <w:tcPr>
            <w:tcW w:w="9060" w:type="dxa"/>
            <w:vAlign w:val="bottom"/>
          </w:tcPr>
          <w:p>
            <w:pPr>
              <w:ind w:left="30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IT</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LIBOR</w:t>
            </w:r>
          </w:p>
        </w:tc>
        <w:tc>
          <w:tcPr>
            <w:tcW w:w="9060" w:type="dxa"/>
            <w:vAlign w:val="bottom"/>
          </w:tcPr>
          <w:p>
            <w:pPr>
              <w:ind w:left="30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NMF</w:t>
            </w:r>
          </w:p>
        </w:tc>
        <w:tc>
          <w:tcPr>
            <w:tcW w:w="9060" w:type="dxa"/>
            <w:vAlign w:val="bottom"/>
          </w:tcPr>
          <w:p>
            <w:pPr>
              <w:ind w:left="30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OCI</w:t>
            </w:r>
          </w:p>
        </w:tc>
        <w:tc>
          <w:tcPr>
            <w:tcW w:w="9060" w:type="dxa"/>
            <w:vAlign w:val="bottom"/>
          </w:tcPr>
          <w:p>
            <w:pPr>
              <w:ind w:left="30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RVIA</w:t>
            </w:r>
          </w:p>
        </w:tc>
        <w:tc>
          <w:tcPr>
            <w:tcW w:w="9060" w:type="dxa"/>
            <w:vAlign w:val="bottom"/>
          </w:tcPr>
          <w:p>
            <w:pPr>
              <w:ind w:left="30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SERP</w:t>
            </w:r>
          </w:p>
        </w:tc>
        <w:tc>
          <w:tcPr>
            <w:tcW w:w="9060" w:type="dxa"/>
            <w:vAlign w:val="bottom"/>
          </w:tcPr>
          <w:p>
            <w:pPr>
              <w:ind w:left="30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Towables</w:t>
            </w:r>
          </w:p>
        </w:tc>
        <w:tc>
          <w:tcPr>
            <w:tcW w:w="9060" w:type="dxa"/>
            <w:vAlign w:val="bottom"/>
          </w:tcPr>
          <w:p>
            <w:pPr>
              <w:ind w:left="30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XBRL</w:t>
            </w:r>
          </w:p>
        </w:tc>
        <w:tc>
          <w:tcPr>
            <w:tcW w:w="9060" w:type="dxa"/>
            <w:vAlign w:val="bottom"/>
          </w:tcPr>
          <w:p>
            <w:pPr>
              <w:ind w:left="30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YTD</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Year To Date</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5"/>
        </w:trPr>
        <w:tc>
          <w:tcPr>
            <w:tcW w:w="236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29,</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30,</w:t>
            </w:r>
          </w:p>
        </w:tc>
      </w:tr>
      <w:tr>
        <w:trPr>
          <w:trHeight w:val="228"/>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2013</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224,403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222,670</w:t>
            </w:r>
          </w:p>
        </w:tc>
      </w:tr>
      <w:tr>
        <w:trPr>
          <w:trHeight w:val="264"/>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196,708</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24,386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25,962</w:t>
            </w:r>
          </w:p>
        </w:tc>
      </w:tr>
      <w:tr>
        <w:trPr>
          <w:trHeight w:val="254"/>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4,333</w:t>
            </w:r>
          </w:p>
        </w:tc>
      </w:tr>
      <w:tr>
        <w:trPr>
          <w:trHeight w:val="264"/>
        </w:trPr>
        <w:tc>
          <w:tcPr>
            <w:tcW w:w="7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5,237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5,623</w:t>
            </w:r>
          </w:p>
        </w:tc>
      </w:tr>
      <w:tr>
        <w:trPr>
          <w:trHeight w:val="25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9,944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9,956</w:t>
            </w:r>
          </w:p>
        </w:tc>
      </w:tr>
      <w:tr>
        <w:trPr>
          <w:trHeight w:val="247"/>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14,442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16,006</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91</w:t>
            </w:r>
          </w:p>
        </w:tc>
      </w:tr>
      <w:tr>
        <w:trPr>
          <w:trHeight w:val="247"/>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14,449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16,097</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4,554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4,951</w:t>
            </w:r>
          </w:p>
        </w:tc>
      </w:tr>
      <w:tr>
        <w:trPr>
          <w:trHeight w:val="28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9,895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11,146</w:t>
            </w:r>
          </w:p>
        </w:tc>
      </w:tr>
      <w:tr>
        <w:trPr>
          <w:trHeight w:val="267"/>
        </w:trPr>
        <w:tc>
          <w:tcPr>
            <w:tcW w:w="7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0.40</w:t>
            </w:r>
          </w:p>
        </w:tc>
      </w:tr>
      <w:tr>
        <w:trPr>
          <w:trHeight w:val="260"/>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0.40</w:t>
            </w:r>
          </w:p>
        </w:tc>
      </w:tr>
      <w:tr>
        <w:trPr>
          <w:trHeight w:val="293"/>
        </w:trPr>
        <w:tc>
          <w:tcPr>
            <w:tcW w:w="7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27,851</w:t>
            </w:r>
          </w:p>
        </w:tc>
      </w:tr>
      <w:tr>
        <w:trPr>
          <w:trHeight w:val="260"/>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27,078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27,971</w:t>
            </w:r>
          </w:p>
        </w:tc>
      </w:tr>
      <w:tr>
        <w:trPr>
          <w:trHeight w:val="293"/>
        </w:trPr>
        <w:tc>
          <w:tcPr>
            <w:tcW w:w="7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9,895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11,146</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18"/>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4"/>
        </w:trPr>
        <w:tc>
          <w:tcPr>
            <w:tcW w:w="7720" w:type="dxa"/>
            <w:vAlign w:val="bottom"/>
            <w:gridSpan w:val="2"/>
          </w:tcPr>
          <w:p>
            <w:pPr>
              <w:ind w:left="360"/>
              <w:spacing w:after="0"/>
              <w:rPr>
                <w:sz w:val="20"/>
                <w:szCs w:val="20"/>
                <w:color w:val="auto"/>
              </w:rPr>
            </w:pPr>
            <w:r>
              <w:rPr>
                <w:rFonts w:ascii="Arial" w:cs="Arial" w:eastAsia="Arial" w:hAnsi="Arial"/>
                <w:sz w:val="16"/>
                <w:szCs w:val="16"/>
                <w:color w:val="auto"/>
              </w:rPr>
              <w:t>(net of tax of $492 and $482)</w:t>
            </w:r>
          </w:p>
        </w:tc>
        <w:tc>
          <w:tcPr>
            <w:tcW w:w="24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(800)</w:t>
            </w:r>
          </w:p>
        </w:tc>
      </w:tr>
      <w:tr>
        <w:trPr>
          <w:trHeight w:val="228"/>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4"/>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$122 and $99)</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164</w:t>
            </w:r>
          </w:p>
        </w:tc>
      </w:tr>
      <w:tr>
        <w:trPr>
          <w:trHeight w:val="218"/>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Unrealized appreciation of investments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7720" w:type="dxa"/>
            <w:vAlign w:val="bottom"/>
            <w:gridSpan w:val="2"/>
          </w:tcPr>
          <w:p>
            <w:pPr>
              <w:ind w:left="360"/>
              <w:spacing w:after="0"/>
              <w:rPr>
                <w:sz w:val="20"/>
                <w:szCs w:val="20"/>
                <w:color w:val="auto"/>
              </w:rPr>
            </w:pPr>
            <w:r>
              <w:rPr>
                <w:rFonts w:ascii="Arial" w:cs="Arial" w:eastAsia="Arial" w:hAnsi="Arial"/>
                <w:sz w:val="16"/>
                <w:szCs w:val="16"/>
                <w:color w:val="auto"/>
              </w:rPr>
              <w:t>(net of tax of $0 and $91)</w:t>
            </w:r>
          </w:p>
        </w:tc>
        <w:tc>
          <w:tcPr>
            <w:tcW w:w="24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151</w:t>
            </w:r>
          </w:p>
        </w:tc>
      </w:tr>
      <w:tr>
        <w:trPr>
          <w:trHeight w:val="250"/>
        </w:trPr>
        <w:tc>
          <w:tcPr>
            <w:tcW w:w="77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(485)</w:t>
            </w:r>
          </w:p>
        </w:tc>
      </w:tr>
      <w:tr>
        <w:trPr>
          <w:trHeight w:val="24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9,294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10,661</w:t>
            </w: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November 29,</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2014</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27,803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57,804</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($124 and $127)</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62,801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69,699</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150,753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112,848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Net investment in operating leases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9,951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15,978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6,520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5,718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 and prepaid</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9,796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9,641</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267,629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271,693</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26,295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25,135</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25,303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25,126</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24,091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24,029</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73"/>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10,021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11,091</w:t>
            </w:r>
          </w:p>
        </w:tc>
      </w:tr>
      <w:tr>
        <w:trPr>
          <w:trHeight w:val="28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354,567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358,302</w:t>
            </w:r>
          </w:p>
        </w:tc>
      </w:tr>
      <w:tr>
        <w:trPr>
          <w:trHeight w:val="267"/>
        </w:trPr>
        <w:tc>
          <w:tcPr>
            <w:tcW w:w="126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40,298</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33,111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2,927</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14,659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20,763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10,177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16,050</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9,090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5,108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4,941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2,212</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3,991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3,205</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5,379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7,009</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94,294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99,719</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3,024</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61,637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62,811</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64,542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65,835</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31,484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31,672</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561,949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554,496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22"/>
                <w:szCs w:val="22"/>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(1,808)</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(24,865 and 24,727 shares)</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(421,181)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(417,500)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195,731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192,748</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354,567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358,302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1"/>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12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29,</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30,</w:t>
            </w:r>
          </w:p>
        </w:tc>
      </w:tr>
      <w:tr>
        <w:trPr>
          <w:trHeight w:val="228"/>
        </w:trPr>
        <w:tc>
          <w:tcPr>
            <w:tcW w:w="7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2013</w:t>
            </w: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9,895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11,146</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984</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431</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952</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366</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(139)</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Benefit for doubtful accounts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(Gain) loss on disposal of property</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(286)</w:t>
            </w: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(38,285)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(10,368)</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6,841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(13,928)</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4,584</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(4,675)</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(970)</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(19,622)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(11,895)</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240" w:type="dxa"/>
            <w:vAlign w:val="bottom"/>
          </w:tcPr>
          <w:p>
            <w:pPr>
              <w:spacing w:after="0"/>
              <w:rPr>
                <w:sz w:val="22"/>
                <w:szCs w:val="22"/>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2,350</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(1,693)</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153</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811</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(5,561)</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Payments of cash dividends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(2,442)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2,080</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(8,379)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(3,456)</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(30,001)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(14,540)</w:t>
            </w:r>
          </w:p>
        </w:tc>
      </w:tr>
      <w:tr>
        <w:trPr>
          <w:trHeight w:val="264"/>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57,804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64,277</w:t>
            </w:r>
          </w:p>
        </w:tc>
      </w:tr>
      <w:tr>
        <w:trPr>
          <w:trHeight w:val="240"/>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27,803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49,737</w:t>
            </w:r>
          </w:p>
        </w:tc>
      </w:tr>
      <w:tr>
        <w:trPr>
          <w:trHeight w:val="20"/>
        </w:trPr>
        <w:tc>
          <w:tcPr>
            <w:tcW w:w="12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 cash flow disclosure:</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51"/>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Income taxes paid, net of refunds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November 29, 2014 and the consolidated results of income and comprehensive income and consolidated cash flows for the first three months of Fiscal 2015 and 2014. The consolidated statement of operations and comprehensive income for the first three months of Fiscal 2015 is not necessarily indicative of the results to be expected for the full year. The consolidated balance sheet data as of August 30, 2014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30,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2015 and Fiscal 2014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In July 2013, the FASB issued ASU 2013-11, </w:t>
      </w:r>
      <w:r>
        <w:rPr>
          <w:rFonts w:ascii="Arial" w:cs="Arial" w:eastAsia="Arial" w:hAnsi="Arial"/>
          <w:sz w:val="16"/>
          <w:szCs w:val="16"/>
          <w:i w:val="1"/>
          <w:iCs w:val="1"/>
          <w:color w:val="auto"/>
        </w:rPr>
        <w:t>Income Taxes (Topic 740)</w:t>
      </w:r>
      <w:r>
        <w:rPr>
          <w:rFonts w:ascii="Arial" w:cs="Arial" w:eastAsia="Arial" w:hAnsi="Arial"/>
          <w:sz w:val="16"/>
          <w:szCs w:val="16"/>
          <w:color w:val="auto"/>
        </w:rPr>
        <w:t>, which clarifies the presentation requirements of unrecognized tax benefits when a net operating loss carryforward, a similar tax loss or a tax credit carryforward exists at the reporting date. ASU 2013-11 became effective for fiscal years beginning after December 15, 2013 (our Fiscal 2015). We adopted this guidance in Fiscal 2015 which resulted in no significant impact on our consolidated financial statements.</w:t>
      </w:r>
    </w:p>
    <w:p>
      <w:pPr>
        <w:spacing w:after="0" w:line="160" w:lineRule="exact"/>
        <w:rPr>
          <w:sz w:val="20"/>
          <w:szCs w:val="20"/>
          <w:color w:val="auto"/>
        </w:rPr>
      </w:pPr>
    </w:p>
    <w:p>
      <w:pPr>
        <w:jc w:val="both"/>
        <w:ind w:right="260"/>
        <w:spacing w:after="0" w:line="26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ASU 2014-09 will become effective for fiscal years beginning after December 15, 2016 (our Fiscal 2018). We are currently evaluating the impact on our consolidated financial statements.</w:t>
      </w:r>
    </w:p>
    <w:p>
      <w:pPr>
        <w:spacing w:after="0" w:line="149"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Going Concern</w:t>
      </w:r>
      <w:r>
        <w:rPr>
          <w:rFonts w:ascii="Arial" w:cs="Arial" w:eastAsia="Arial" w:hAnsi="Arial"/>
          <w:sz w:val="16"/>
          <w:szCs w:val="16"/>
          <w:color w:val="auto"/>
        </w:rPr>
        <w:t xml:space="preserve"> (Subtopic 205-40), which provides guidance on management's responsibility in evaluating whether there is substantial doubt about a company's ability to continue as a going concern and related footnote disclosures. ASU 2014-15 will become effective for years ending after December 15, 2016 (our Fiscal 2017). We are currently evaluating the impact of ASU 2014-15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color w:val="auto"/>
        </w:rPr>
        <w:t>:</w:t>
      </w:r>
      <w:r>
        <w:rPr>
          <w:rFonts w:ascii="Arial" w:cs="Arial" w:eastAsia="Arial" w:hAnsi="Arial"/>
          <w:sz w:val="16"/>
          <w:szCs w:val="16"/>
          <w:b w:val="1"/>
          <w:bCs w:val="1"/>
          <w:color w:val="auto"/>
        </w:rPr>
        <w:t xml:space="preserve"> Concentration Risk</w:t>
      </w:r>
    </w:p>
    <w:p>
      <w:pPr>
        <w:spacing w:after="0" w:line="21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One of our dealer organizations accounted for 19.0% and 11.2% of our consolidated net revenue for the first three months of Fiscal 2015 and Fiscal 2014, respectively. A second dealer organization accounted for 18.0% and 19.8% of our consolidated net revenue for the first three months of Fiscal 2015 and Fiscal 2014, respectively.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29, 2014 and August 30, 2014 according to the valuation techniques we used to determine their fair values: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29,</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5,422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5,422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30,</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29,</w:t>
            </w:r>
          </w:p>
        </w:tc>
        <w:tc>
          <w:tcPr>
            <w:tcW w:w="200" w:type="dxa"/>
            <w:vAlign w:val="bottom"/>
          </w:tcPr>
          <w:p>
            <w:pPr>
              <w:spacing w:after="0"/>
              <w:rPr>
                <w:sz w:val="17"/>
                <w:szCs w:val="17"/>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30,</w:t>
            </w:r>
          </w:p>
        </w:tc>
      </w:tr>
      <w:tr>
        <w:trPr>
          <w:trHeight w:val="228"/>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r>
      <w:tr>
        <w:trPr>
          <w:trHeight w:val="257"/>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2,108</w:t>
            </w:r>
          </w:p>
        </w:tc>
      </w:tr>
      <w:tr>
        <w:trPr>
          <w:trHeight w:val="260"/>
        </w:trPr>
        <w:tc>
          <w:tcPr>
            <w:tcW w:w="816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140" w:type="dxa"/>
            <w:vAlign w:val="bottom"/>
          </w:tcPr>
          <w:p>
            <w:pPr>
              <w:spacing w:after="0"/>
              <w:rPr>
                <w:sz w:val="22"/>
                <w:szCs w:val="22"/>
                <w:color w:val="auto"/>
              </w:rPr>
            </w:pPr>
          </w:p>
        </w:tc>
        <w:tc>
          <w:tcPr>
            <w:tcW w:w="144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242</w:t>
            </w:r>
          </w:p>
        </w:tc>
      </w:tr>
      <w:tr>
        <w:trPr>
          <w:trHeight w:val="264"/>
        </w:trPr>
        <w:tc>
          <w:tcPr>
            <w:tcW w:w="8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Sales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(2,350)</w:t>
            </w:r>
          </w:p>
        </w:tc>
      </w:tr>
      <w:tr>
        <w:trPr>
          <w:trHeight w:val="240"/>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9), a deferred compensation program, and are presented as other assets in the accompanying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600"/>
        <w:spacing w:after="0" w:line="251"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three months of Fiscal 2015, no impairments were recorded for non-financial assets.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47"/>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4: Inventories</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29,</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2014</w:t>
            </w:r>
          </w:p>
        </w:tc>
      </w:tr>
      <w:tr>
        <w:trPr>
          <w:trHeight w:val="257"/>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25,372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28,029</w:t>
            </w:r>
          </w:p>
        </w:tc>
      </w:tr>
      <w:tr>
        <w:trPr>
          <w:trHeight w:val="26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80,819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49,919</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76,242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66,200</w:t>
            </w:r>
          </w:p>
        </w:tc>
      </w:tr>
      <w:tr>
        <w:trPr>
          <w:trHeight w:val="247"/>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182,433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144,148</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(31,680)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(31,300)</w:t>
            </w:r>
          </w:p>
        </w:tc>
      </w:tr>
      <w:tr>
        <w:trPr>
          <w:trHeight w:val="24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150,753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112,848</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$182.4 million and $144.1 million inventory at November 29, 2014 and August 30, 2014, respectively, $171.6 million and $137.7 million is valued on a LIFO basis. Towables inventory of $10.8 million and $6.4 million at November 29, 2014 and August 30, 2014,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Net Investment in Operating Leases and Operating Lease Repurchase Obligation</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During the third quarter of Fiscal 2014 we delivered 520 RV rental units to Apollo, a US RV rental company. Under the terms of a sales agreement with Apollo, all units were paid for upon delivery. To secure an order of this magnitude, we contractually agreed to repurchase up to 343 of the units at specified prices after one season of rental use (by no later than December 31, 2014) provided certain conditions are met. On December 29, 2014 the repurchase timing was extended from December 31, 2014 to February 28, 2015. The original cost of these units is being depreciated down to the estimated net realizable value of the rental units during the time frame that the units are in rental use. During the first quarter of Fiscal 2015, we were released of repurchase obligation for 124 units as Apollo sold the units in the market place. As units subject to repurchase are sold, we remove the remaining net investment in operating lease as well as the operating lease repurchase obligation. As a result, the remaining units subject to repurchase are accounted for as operating leases and lease repurchase obligations on the balance sheet of $10.0 million and $10.2 million, respectively, at November 29, 2014.</w:t>
      </w:r>
    </w:p>
    <w:p>
      <w:pPr>
        <w:spacing w:after="0" w:line="181"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Estimated net lease revenue is being recorded ratably over the rental period that Apollo holds the units based upon the difference between the proceeds received and the estimated repurchase obligation less the estimated depreciation expense of the unit. If we are required to repurchase units from Apollo, we will record a gain or loss for the difference, if any, between the estimated residual value of the unit and the actual resale value as a component of net lease revenue. We recorded net lease revenue of $626,000 and $714,000 during Fiscal 2014 and the first quarter of Fiscal 2015,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29,</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2014</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738</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47,654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47,273</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90,674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90,101</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4,420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4,356</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9,265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9,098</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152,751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151,566</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(126,456)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(126,431)</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26,295</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25,135</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Credit Facilities</w:t>
      </w:r>
    </w:p>
    <w:p>
      <w:pPr>
        <w:spacing w:after="0" w:line="187"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the Company's eligible inventory and was to expire on October 31, 2015, unless terminated earlier in accordance with its terms. There is no termination fee associated with the Credit Agreement.</w:t>
      </w:r>
    </w:p>
    <w:p>
      <w:pPr>
        <w:spacing w:after="0" w:line="174"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6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7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 $15.0 million purchases of company stock and cash dividends to be excluded from the Fixed Charge ratio annually. In addition, the definition of Eligible Accounts was expanded to permit certain receivables to be included in the Borrowing Base. The Amended Credit Agreement also permits us to engage in certain sale lease buyback transactions in the ordinary course of business subject to certain restrictions and increases our ability to incur capital lease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report, we are in compliance with all material terms of the Amended Credit Agreement, and no borrowings have been made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29,</w:t>
            </w:r>
          </w:p>
        </w:tc>
        <w:tc>
          <w:tcPr>
            <w:tcW w:w="22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8,443</w:t>
            </w:r>
          </w:p>
        </w:tc>
        <w:tc>
          <w:tcPr>
            <w:tcW w:w="0" w:type="dxa"/>
            <w:vAlign w:val="bottom"/>
          </w:tcPr>
          <w:p>
            <w:pPr>
              <w:spacing w:after="0"/>
              <w:rPr>
                <w:sz w:val="1"/>
                <w:szCs w:val="1"/>
                <w:color w:val="auto"/>
              </w:rPr>
            </w:pPr>
          </w:p>
        </w:tc>
      </w:tr>
      <w:tr>
        <w:trPr>
          <w:trHeight w:val="260"/>
        </w:trPr>
        <w:tc>
          <w:tcPr>
            <w:tcW w:w="4820" w:type="dxa"/>
            <w:vAlign w:val="bottom"/>
          </w:tcPr>
          <w:p>
            <w:pPr>
              <w:ind w:left="40"/>
              <w:spacing w:after="0"/>
              <w:rPr>
                <w:sz w:val="20"/>
                <w:szCs w:val="20"/>
                <w:color w:val="auto"/>
              </w:rPr>
            </w:pPr>
            <w:r>
              <w:rPr>
                <w:rFonts w:ascii="Arial" w:cs="Arial" w:eastAsia="Arial" w:hAnsi="Arial"/>
                <w:sz w:val="16"/>
                <w:szCs w:val="16"/>
                <w:color w:val="auto"/>
              </w:rPr>
              <w:t>Provision</w:t>
            </w: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2,770</w:t>
            </w:r>
          </w:p>
        </w:tc>
        <w:tc>
          <w:tcPr>
            <w:tcW w:w="0" w:type="dxa"/>
            <w:vAlign w:val="bottom"/>
          </w:tcPr>
          <w:p>
            <w:pPr>
              <w:spacing w:after="0"/>
              <w:rPr>
                <w:sz w:val="1"/>
                <w:szCs w:val="1"/>
                <w:color w:val="auto"/>
              </w:rPr>
            </w:pPr>
          </w:p>
        </w:tc>
      </w:tr>
      <w:tr>
        <w:trPr>
          <w:trHeight w:val="273"/>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(2,988)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31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9,090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8,345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20" w:type="dxa"/>
            <w:vAlign w:val="bottom"/>
            <w:vMerge w:val="restart"/>
          </w:tcPr>
          <w:p>
            <w:pPr>
              <w:jc w:val="right"/>
              <w:ind w:right="179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8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47"/>
        </w:trPr>
        <w:tc>
          <w:tcPr>
            <w:tcW w:w="7360" w:type="dxa"/>
            <w:vAlign w:val="bottom"/>
            <w:gridSpan w:val="3"/>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1"/>
        </w:trPr>
        <w:tc>
          <w:tcPr>
            <w:tcW w:w="736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November 29,</w:t>
            </w:r>
          </w:p>
        </w:tc>
        <w:tc>
          <w:tcPr>
            <w:tcW w:w="34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7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257"/>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37,142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r>
      <w:tr>
        <w:trPr>
          <w:trHeight w:val="260"/>
        </w:trPr>
        <w:tc>
          <w:tcPr>
            <w:tcW w:w="736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28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20,672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21,014</w:t>
            </w:r>
          </w:p>
        </w:tc>
      </w:tr>
      <w:tr>
        <w:trPr>
          <w:trHeight w:val="280"/>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2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5,628</w:t>
            </w:r>
          </w:p>
        </w:tc>
      </w:tr>
      <w:tr>
        <w:trPr>
          <w:trHeight w:val="260"/>
        </w:trPr>
        <w:tc>
          <w:tcPr>
            <w:tcW w:w="736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28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2,974</w:t>
            </w:r>
          </w:p>
        </w:tc>
      </w:tr>
      <w:tr>
        <w:trPr>
          <w:trHeight w:val="280"/>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2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213</w:t>
            </w:r>
          </w:p>
        </w:tc>
      </w:tr>
      <w:tr>
        <w:trPr>
          <w:trHeight w:val="264"/>
        </w:trPr>
        <w:tc>
          <w:tcPr>
            <w:tcW w:w="73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627</w:t>
            </w:r>
          </w:p>
        </w:tc>
      </w:tr>
      <w:tr>
        <w:trPr>
          <w:trHeight w:val="257"/>
        </w:trPr>
        <w:tc>
          <w:tcPr>
            <w:tcW w:w="7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66,933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67,386</w:t>
            </w:r>
          </w:p>
        </w:tc>
      </w:tr>
      <w:tr>
        <w:trPr>
          <w:trHeight w:val="270"/>
        </w:trPr>
        <w:tc>
          <w:tcPr>
            <w:tcW w:w="73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 xml:space="preserve">Less current portion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(5,296)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(4,575)</w:t>
            </w:r>
          </w:p>
        </w:tc>
      </w:tr>
      <w:tr>
        <w:trPr>
          <w:trHeight w:val="234"/>
        </w:trPr>
        <w:tc>
          <w:tcPr>
            <w:tcW w:w="7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61,637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62,811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8890</wp:posOffset>
            </wp:positionV>
            <wp:extent cx="2581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2" w:lineRule="exact"/>
        <w:rPr>
          <w:sz w:val="20"/>
          <w:szCs w:val="20"/>
          <w:color w:val="auto"/>
        </w:rPr>
      </w:pPr>
    </w:p>
    <w:p>
      <w:pPr>
        <w:ind w:right="400" w:firstLine="8"/>
        <w:spacing w:after="0" w:line="225"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The current portions of these benefits are presented on the consolidated balance sheets in accrued compensation with the exception of postretirement health care which is included in other accrued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Changes in the postretirement benefit plan include:</w:t>
      </w:r>
    </w:p>
    <w:p>
      <w:pPr>
        <w:spacing w:after="0" w:line="1" w:lineRule="exact"/>
        <w:rPr>
          <w:sz w:val="20"/>
          <w:szCs w:val="20"/>
          <w:color w:val="auto"/>
        </w:rPr>
      </w:pPr>
    </w:p>
    <w:p>
      <w:pPr>
        <w:ind w:left="340" w:right="12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w:t>
      </w:r>
    </w:p>
    <w:p>
      <w:pPr>
        <w:spacing w:after="0" w:line="1"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January 2012 the employer-established dollar caps were reduced by 10%, which reduced our liability for postretirement health care by $4.6 million and is being amortized as prior service credit over 7.8 years.</w:t>
      </w:r>
    </w:p>
    <w:p>
      <w:pPr>
        <w:ind w:left="340" w:right="80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January 2013 the employer-established dollar caps were further reduced by 10%, which reduced our liability for postretirement health care by approximately $4.3 million and is being amortized as prior service credit over 7.5 years.</w:t>
      </w:r>
    </w:p>
    <w:p>
      <w:pPr>
        <w:ind w:left="340" w:right="80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January 2014 the employer-established dollar caps were further reduced by 10%, which reduced our liability for postretirement health care by approximately $3.6 million and is being amortized as prior service credit over 7.3 years.</w:t>
      </w:r>
    </w:p>
    <w:p>
      <w:pPr>
        <w:ind w:left="340" w:right="28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October 2014 our Board of Directors approved an additional reduction in the employer dollar caps to be effective in January 2015 whereby the employer-established dollar caps for postretirement health care benefits per eligible employee will be reduced by 10% which is estimated to reduce our liability for postretirement health care by approximately $2.1 million and will be amortized as prior service credit over 7.1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gridSpan w:val="2"/>
          </w:tcPr>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1"/>
        </w:trPr>
        <w:tc>
          <w:tcPr>
            <w:tcW w:w="7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29,</w:t>
            </w:r>
          </w:p>
        </w:tc>
        <w:tc>
          <w:tcPr>
            <w:tcW w:w="22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30,</w:t>
            </w:r>
          </w:p>
        </w:tc>
      </w:tr>
      <w:tr>
        <w:trPr>
          <w:trHeight w:val="228"/>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2013</w:t>
            </w:r>
          </w:p>
        </w:tc>
      </w:tr>
      <w:tr>
        <w:trPr>
          <w:trHeight w:val="257"/>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395</w:t>
            </w: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2"/>
                <w:szCs w:val="22"/>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101</w:t>
            </w:r>
          </w:p>
        </w:tc>
      </w:tr>
      <w:tr>
        <w:trPr>
          <w:trHeight w:val="28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(1,281)</w:t>
            </w:r>
          </w:p>
        </w:tc>
      </w:tr>
      <w:tr>
        <w:trPr>
          <w:trHeight w:val="264"/>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260</w:t>
            </w:r>
          </w:p>
        </w:tc>
      </w:tr>
      <w:tr>
        <w:trPr>
          <w:trHeight w:val="24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(525)</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7"/>
        </w:trPr>
        <w:tc>
          <w:tcPr>
            <w:tcW w:w="7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4"/>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273</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approved by shareholders in place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On October 15, 2014 and October 16, 2013 the Human Resources Committee of the Board of Directors granted an aggregate of 99,600 and 84,200 shares, respectively, of restricted common stock to our key employees and non-employee directors under the Plan. The value of the restricted stock award is determined using the intrinsic value method which, in this case, is based on the number of shares granted and the closing price of our common stock on the date of grant.</w:t>
      </w:r>
    </w:p>
    <w:p>
      <w:pPr>
        <w:sectPr>
          <w:pgSz w:w="11900" w:h="16838" w:orient="portrait"/>
          <w:cols w:equalWidth="0" w:num="1">
            <w:col w:w="11420"/>
          </w:cols>
          <w:pgMar w:left="240" w:top="118"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Stock-based compensation expense was $901,000 and $952,000 during the first quarters of Fiscal 2015 and 2014, respectively. Of the $901,000 in Fiscal 2015, $629,000 related to the October 15, 2014 grant of 99,600 shares. The remainder is related to the amortization of previously granted restricted stock awards, as well as non-employee director stock units issued in lieu of director fees. Compensation expense is recognized over the requisite service period of the award or over a period ending with the employee's eligible retirement date, if earlier.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October 15, 2014, the Board of Directors declared a quarterly cash dividend of $0.09 per share of common stock, which was paid on November 26, 2014 to shareholders of record at the close of business on November 12, 2014.</w:t>
      </w:r>
    </w:p>
    <w:p>
      <w:pPr>
        <w:spacing w:after="0" w:line="169"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On December 17, 2014, the Board of Directors declared a quarterly cash dividend of $0.09 per share of common stock, payable on February 4, 2015 to shareholders of record at the close of business on January 21, 2015.</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$386.9 million and $363.8 million at November 29, 2014 and August 30, 2014,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$5.8 million and $6.8 million at November 29, 2014 and August 30, 2014, respectively.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$1.1 million as of November 29, 2014 and $2.2 million as of August 30,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29,</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80"/>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60"/>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280"/>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majority of units in ending inventory at November 29, 2014 are attributed to a single dealership. Notification to repurchase the units was received in mid November. It is our intention that these units will be resold during the second quarter of Fiscal 2015. A specific reserve was established for these units and has been netted against the inventory valuation.</w:t>
      </w:r>
    </w:p>
    <w:p>
      <w:pPr>
        <w:spacing w:after="0" w:line="174"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November 29, 2014 would have affected net income by approximately $271,000.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As of November 29, 2014, our federal returns from Fiscal 2011 to present continue to be subject to review by the IRS. With few exceptions, the state returns from Fiscal 2009 to present continue to be subject to review by the taxing jurisdictions. A number of years may elapse before an uncertain tax position is audited and finally resolved, and it is often very difficult to predict the outcome of such audits.</w:t>
      </w:r>
    </w:p>
    <w:p>
      <w:pPr>
        <w:spacing w:after="0" w:line="17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of November 29, 2014, our unrecognized tax benefits were $2.9 million including accrued interest and penalties of $1.2 million. If we were to prevail on all unrecognized tax benefits recorded, $2.0 million of the $2.9 million would benefit the overall effective tax rate. It is our policy to recognize interest and penalties accrued relative to unrecognized tax benefits as tax expense. It is reasonably possible that the amount of unrecognized tax benefits with respect to our other unrecognized tax positions will increase or decrease during the next twelve months; however, an estimate of the amount or range of the change cannot be made at this time.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Note 13: Earnings Per Share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51"/>
        </w:trPr>
        <w:tc>
          <w:tcPr>
            <w:tcW w:w="8360" w:type="dxa"/>
            <w:vAlign w:val="bottom"/>
            <w:gridSpan w:val="2"/>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29,</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9,895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11,146</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27,851</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0.40</w:t>
            </w:r>
          </w:p>
        </w:tc>
      </w:tr>
      <w:tr>
        <w:trPr>
          <w:trHeight w:val="293"/>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11,146</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26,969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27,851</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27,078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27,971</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At the end of the first quarters of Fiscal 2015 and Fiscal 2014, there were options outstanding to purchase 212,154 shares and 364,042 shares, respectively, of common stock at an average price of $29.17 and $32.36,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50"/>
        </w:trPr>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center"/>
              <w:ind w:left="719"/>
              <w:spacing w:after="0"/>
              <w:rPr>
                <w:sz w:val="20"/>
                <w:szCs w:val="20"/>
                <w:color w:val="auto"/>
              </w:rPr>
            </w:pPr>
            <w:r>
              <w:rPr>
                <w:rFonts w:ascii="Arial" w:cs="Arial" w:eastAsia="Arial" w:hAnsi="Arial"/>
                <w:sz w:val="16"/>
                <w:szCs w:val="16"/>
                <w:b w:val="1"/>
                <w:bCs w:val="1"/>
                <w:color w:val="auto"/>
              </w:rPr>
              <w:t>November 29, 2014</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November 30, 2013</w:t>
            </w:r>
          </w:p>
        </w:tc>
        <w:tc>
          <w:tcPr>
            <w:tcW w:w="1120" w:type="dxa"/>
            <w:vAlign w:val="bottom"/>
            <w:tcBorders>
              <w:bottom w:val="single" w:sz="8" w:color="auto"/>
            </w:tcBorders>
          </w:tcPr>
          <w:p>
            <w:pPr>
              <w:spacing w:after="0"/>
              <w:rPr>
                <w:sz w:val="21"/>
                <w:szCs w:val="21"/>
                <w:color w:val="auto"/>
              </w:rPr>
            </w:pPr>
          </w:p>
        </w:tc>
      </w:tr>
      <w:tr>
        <w:trPr>
          <w:trHeight w:val="198"/>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Gains and</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rPr>
              <w:t>Gains and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rPr>
              <w:t>Defined</w:t>
            </w:r>
          </w:p>
        </w:tc>
        <w:tc>
          <w:tcPr>
            <w:tcW w:w="20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Losses on</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98"/>
              </w:rPr>
              <w:t>Defined</w:t>
            </w:r>
          </w:p>
        </w:tc>
        <w:tc>
          <w:tcPr>
            <w:tcW w:w="144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rPr>
              <w:t>Losses on</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rPr>
              <w:t>Benefit</w:t>
            </w:r>
          </w:p>
        </w:tc>
        <w:tc>
          <w:tcPr>
            <w:tcW w:w="20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99"/>
              </w:rPr>
              <w:t>Benefit</w:t>
            </w:r>
          </w:p>
        </w:tc>
        <w:tc>
          <w:tcPr>
            <w:tcW w:w="144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rPr>
              <w:t>Available-</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rPr>
              <w:t>Pension</w:t>
            </w:r>
          </w:p>
        </w:tc>
        <w:tc>
          <w:tcPr>
            <w:tcW w:w="20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rPr>
              <w:t>for-Sale</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w w:val="99"/>
              </w:rPr>
              <w:t>Pension</w:t>
            </w:r>
          </w:p>
        </w:tc>
        <w:tc>
          <w:tcPr>
            <w:tcW w:w="144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rPr>
              <w:t>for-Sale</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8"/>
        </w:trPr>
        <w:tc>
          <w:tcPr>
            <w:tcW w:w="30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Items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Securities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Items</w:t>
            </w:r>
          </w:p>
        </w:tc>
        <w:tc>
          <w:tcPr>
            <w:tcW w:w="1440" w:type="dxa"/>
            <w:vAlign w:val="bottom"/>
            <w:tcBorders>
              <w:bottom w:val="single" w:sz="8" w:color="auto"/>
            </w:tcBorders>
            <w:gridSpan w:val="4"/>
          </w:tcPr>
          <w:p>
            <w:pPr>
              <w:jc w:val="center"/>
              <w:ind w:left="219"/>
              <w:spacing w:after="0"/>
              <w:rPr>
                <w:sz w:val="20"/>
                <w:szCs w:val="20"/>
                <w:color w:val="auto"/>
              </w:rPr>
            </w:pPr>
            <w:r>
              <w:rPr>
                <w:rFonts w:ascii="Arial" w:cs="Arial" w:eastAsia="Arial" w:hAnsi="Arial"/>
                <w:sz w:val="16"/>
                <w:szCs w:val="16"/>
                <w:b w:val="1"/>
                <w:bCs w:val="1"/>
                <w:color w:val="auto"/>
              </w:rPr>
              <w:t>Securities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7"/>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(1,808)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(1,808)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9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(151)</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849</w:t>
            </w: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151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151</w:t>
            </w:r>
          </w:p>
        </w:tc>
      </w:tr>
      <w:tr>
        <w:trPr>
          <w:trHeight w:val="264"/>
        </w:trPr>
        <w:tc>
          <w:tcPr>
            <w:tcW w:w="3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(601)</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(636)</w:t>
            </w:r>
          </w:p>
        </w:tc>
        <w:tc>
          <w:tcPr>
            <w:tcW w:w="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(636)</w:t>
            </w:r>
          </w:p>
        </w:tc>
      </w:tr>
      <w:tr>
        <w:trPr>
          <w:trHeight w:val="250"/>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(601)</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151</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(485)</w:t>
            </w: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(2,409)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364</w:t>
            </w:r>
          </w:p>
        </w:tc>
        <w:tc>
          <w:tcPr>
            <w:tcW w:w="9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364</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auto"/>
              <w:bottom w:val="single" w:sz="8" w:color="auto"/>
            </w:tcBorders>
            <w:gridSpan w:val="4"/>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96"/>
        </w:trPr>
        <w:tc>
          <w:tcPr>
            <w:tcW w:w="5800" w:type="dxa"/>
            <w:vAlign w:val="bottom"/>
            <w:gridSpan w:val="8"/>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7"/>
          </w:tcPr>
          <w:p>
            <w:pPr>
              <w:ind w:left="20"/>
              <w:spacing w:after="0"/>
              <w:rPr>
                <w:sz w:val="20"/>
                <w:szCs w:val="20"/>
                <w:color w:val="auto"/>
              </w:rPr>
            </w:pPr>
            <w:r>
              <w:rPr>
                <w:rFonts w:ascii="Arial" w:cs="Arial" w:eastAsia="Arial" w:hAnsi="Arial"/>
                <w:sz w:val="16"/>
                <w:szCs w:val="16"/>
                <w:b w:val="1"/>
                <w:bCs w:val="1"/>
                <w:color w:val="auto"/>
              </w:rPr>
              <w:t>Location on Consolidated Statements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November 30,</w:t>
            </w:r>
          </w:p>
        </w:tc>
      </w:tr>
      <w:tr>
        <w:trPr>
          <w:trHeight w:val="22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424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rPr>
              <w:t>of Operations and Comprehensive Income</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r>
      <w:tr>
        <w:trPr>
          <w:trHeight w:val="257"/>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5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(800)</w:t>
            </w:r>
          </w:p>
        </w:tc>
      </w:tr>
      <w:tr>
        <w:trPr>
          <w:trHeight w:val="264"/>
        </w:trPr>
        <w:tc>
          <w:tcPr>
            <w:tcW w:w="3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152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164</w:t>
            </w:r>
          </w:p>
        </w:tc>
      </w:tr>
      <w:tr>
        <w:trPr>
          <w:trHeight w:val="254"/>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(636)</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w:t>
      </w:r>
    </w:p>
    <w:p>
      <w:pPr>
        <w:spacing w:after="0" w:line="214"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November 29, 2014 and the date of issuance of the financial statements that would require recognition or disclosure in the financial statements. There were no material subsequent events except as noted in Note 5 and Note 10.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jc w:val="both"/>
        <w:ind w:right="80"/>
        <w:spacing w:after="0" w:line="191" w:lineRule="exact"/>
        <w:rPr>
          <w:sz w:val="20"/>
          <w:szCs w:val="20"/>
          <w:color w:val="auto"/>
        </w:rPr>
      </w:pPr>
      <w:r>
        <w:rPr>
          <w:rFonts w:ascii="Arial" w:cs="Arial" w:eastAsia="Arial" w:hAnsi="Arial"/>
          <w:sz w:val="16"/>
          <w:szCs w:val="16"/>
          <w:color w:val="auto"/>
        </w:rPr>
        <w:t>This management's discussion should be read in conjunction with the Condensed Unaudited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30, 2014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travel trailer and fifth wheel trailers in Indiana. We distribute our products primarily through independent dealers throughout the US and Canada, who then retail the products to the end consumer.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660" w:type="dxa"/>
            <w:vAlign w:val="bottom"/>
            <w:gridSpan w:val="3"/>
          </w:tcPr>
          <w:p>
            <w:pPr>
              <w:ind w:left="560"/>
              <w:spacing w:after="0"/>
              <w:rPr>
                <w:sz w:val="20"/>
                <w:szCs w:val="20"/>
                <w:color w:val="auto"/>
              </w:rPr>
            </w:pPr>
            <w:r>
              <w:rPr>
                <w:rFonts w:ascii="Arial" w:cs="Arial" w:eastAsia="Arial" w:hAnsi="Arial"/>
                <w:sz w:val="14"/>
                <w:szCs w:val="14"/>
                <w:b w:val="1"/>
                <w:bCs w:val="1"/>
                <w:color w:val="auto"/>
              </w:rPr>
              <w:t>Through October 31</w:t>
            </w:r>
          </w:p>
        </w:tc>
        <w:tc>
          <w:tcPr>
            <w:tcW w:w="1300" w:type="dxa"/>
            <w:vAlign w:val="bottom"/>
          </w:tcPr>
          <w:p>
            <w:pPr>
              <w:spacing w:after="0"/>
              <w:rPr>
                <w:sz w:val="17"/>
                <w:szCs w:val="17"/>
                <w:color w:val="auto"/>
              </w:rPr>
            </w:pPr>
          </w:p>
        </w:tc>
        <w:tc>
          <w:tcPr>
            <w:tcW w:w="1540" w:type="dxa"/>
            <w:vAlign w:val="bottom"/>
          </w:tcPr>
          <w:p>
            <w:pPr>
              <w:jc w:val="right"/>
              <w:ind w:right="263"/>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Pr>
          <w:p>
            <w:pPr>
              <w:spacing w:after="0"/>
              <w:rPr>
                <w:sz w:val="17"/>
                <w:szCs w:val="17"/>
                <w:color w:val="auto"/>
              </w:rPr>
            </w:pPr>
          </w:p>
        </w:tc>
      </w:tr>
      <w:tr>
        <w:trPr>
          <w:trHeight w:val="250"/>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3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2014</w:t>
            </w:r>
          </w:p>
        </w:tc>
        <w:tc>
          <w:tcPr>
            <w:tcW w:w="11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2012</w:t>
            </w:r>
          </w:p>
        </w:tc>
        <w:tc>
          <w:tcPr>
            <w:tcW w:w="11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2011</w:t>
            </w:r>
          </w:p>
        </w:tc>
      </w:tr>
      <w:tr>
        <w:trPr>
          <w:trHeight w:val="256"/>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36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20.8%</w:t>
            </w: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18.6%</w:t>
            </w: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19.8%</w:t>
            </w:r>
          </w:p>
        </w:tc>
        <w:tc>
          <w:tcPr>
            <w:tcW w:w="11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18.1%</w:t>
            </w:r>
          </w:p>
        </w:tc>
      </w:tr>
      <w:tr>
        <w:trPr>
          <w:trHeight w:val="251"/>
        </w:trPr>
        <w:tc>
          <w:tcPr>
            <w:tcW w:w="4660" w:type="dxa"/>
            <w:vAlign w:val="bottom"/>
          </w:tcPr>
          <w:p>
            <w:pPr>
              <w:ind w:left="40"/>
              <w:spacing w:after="0"/>
              <w:rPr>
                <w:sz w:val="20"/>
                <w:szCs w:val="20"/>
                <w:color w:val="auto"/>
              </w:rPr>
            </w:pPr>
            <w:r>
              <w:rPr>
                <w:rFonts w:ascii="Arial" w:cs="Arial" w:eastAsia="Arial" w:hAnsi="Arial"/>
                <w:sz w:val="16"/>
                <w:szCs w:val="16"/>
                <w:color w:val="auto"/>
              </w:rPr>
              <w:t>Travel trailer and fifth wheels</w:t>
            </w:r>
          </w:p>
        </w:tc>
        <w:tc>
          <w:tcPr>
            <w:tcW w:w="1360" w:type="dxa"/>
            <w:vAlign w:val="bottom"/>
          </w:tcPr>
          <w:p>
            <w:pPr>
              <w:jc w:val="right"/>
              <w:ind w:right="223"/>
              <w:spacing w:after="0"/>
              <w:rPr>
                <w:sz w:val="20"/>
                <w:szCs w:val="20"/>
                <w:color w:val="auto"/>
              </w:rPr>
            </w:pPr>
            <w:r>
              <w:rPr>
                <w:rFonts w:ascii="Arial" w:cs="Arial" w:eastAsia="Arial" w:hAnsi="Arial"/>
                <w:sz w:val="16"/>
                <w:szCs w:val="16"/>
                <w:color w:val="auto"/>
              </w:rPr>
              <w:t>0.8%</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1"/>
                <w:szCs w:val="21"/>
                <w:color w:val="auto"/>
              </w:rPr>
            </w:pPr>
          </w:p>
        </w:tc>
        <w:tc>
          <w:tcPr>
            <w:tcW w:w="1300" w:type="dxa"/>
            <w:vAlign w:val="bottom"/>
          </w:tcPr>
          <w:p>
            <w:pPr>
              <w:jc w:val="right"/>
              <w:ind w:right="162"/>
              <w:spacing w:after="0"/>
              <w:rPr>
                <w:sz w:val="20"/>
                <w:szCs w:val="20"/>
                <w:color w:val="auto"/>
              </w:rPr>
            </w:pPr>
            <w:r>
              <w:rPr>
                <w:rFonts w:ascii="Arial" w:cs="Arial" w:eastAsia="Arial" w:hAnsi="Arial"/>
                <w:sz w:val="16"/>
                <w:szCs w:val="16"/>
                <w:color w:val="auto"/>
              </w:rPr>
              <w:t>1.0%</w:t>
            </w:r>
          </w:p>
        </w:tc>
        <w:tc>
          <w:tcPr>
            <w:tcW w:w="1540" w:type="dxa"/>
            <w:vAlign w:val="bottom"/>
          </w:tcPr>
          <w:p>
            <w:pPr>
              <w:jc w:val="right"/>
              <w:ind w:right="363"/>
              <w:spacing w:after="0"/>
              <w:rPr>
                <w:sz w:val="20"/>
                <w:szCs w:val="20"/>
                <w:color w:val="auto"/>
              </w:rPr>
            </w:pPr>
            <w:r>
              <w:rPr>
                <w:rFonts w:ascii="Arial" w:cs="Arial" w:eastAsia="Arial" w:hAnsi="Arial"/>
                <w:sz w:val="16"/>
                <w:szCs w:val="16"/>
                <w:color w:val="auto"/>
              </w:rPr>
              <w:t>0.9%</w:t>
            </w:r>
          </w:p>
        </w:tc>
        <w:tc>
          <w:tcPr>
            <w:tcW w:w="1160" w:type="dxa"/>
            <w:vAlign w:val="bottom"/>
          </w:tcPr>
          <w:p>
            <w:pPr>
              <w:jc w:val="right"/>
              <w:ind w:right="182"/>
              <w:spacing w:after="0"/>
              <w:rPr>
                <w:sz w:val="20"/>
                <w:szCs w:val="20"/>
                <w:color w:val="auto"/>
              </w:rPr>
            </w:pPr>
            <w:r>
              <w:rPr>
                <w:rFonts w:ascii="Arial" w:cs="Arial" w:eastAsia="Arial" w:hAnsi="Arial"/>
                <w:sz w:val="16"/>
                <w:szCs w:val="16"/>
                <w:color w:val="auto"/>
              </w:rPr>
              <w:t>0.6%</w:t>
            </w:r>
          </w:p>
        </w:tc>
      </w:tr>
    </w:tbl>
    <w:p>
      <w:pPr>
        <w:spacing w:after="0" w:line="238"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Through the first nine months of the calendar year, we increased our North American motorhome retail market share by 250 basis points, as our retail registrations grew double the rate of the RV industry (29.6% versus 14.1%). The most notable growth occurred in the Class C segment which was fueled in part by our partnership with a large rental dealer. We also experienced strong retail growth in our Class B and Class A diesel segments due to new products introduced in those categories.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Presented in fiscal quarters, certain key metrics are shown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6"/>
                <w:szCs w:val="16"/>
                <w:b w:val="1"/>
                <w:bCs w:val="1"/>
                <w:color w:val="auto"/>
              </w:rPr>
              <w:t>Class A, B &amp; C Motorhomes</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Travel Trailers &amp; Fifth Wheels</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3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b w:val="1"/>
                <w:bCs w:val="1"/>
                <w:color w:val="auto"/>
              </w:rPr>
              <w:t>Wholesale</w:t>
            </w:r>
          </w:p>
        </w:tc>
        <w:tc>
          <w:tcPr>
            <w:tcW w:w="1340" w:type="dxa"/>
            <w:vAlign w:val="bottom"/>
          </w:tcPr>
          <w:p>
            <w:pPr>
              <w:jc w:val="right"/>
              <w:ind w:right="40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41"/>
              <w:spacing w:after="0"/>
              <w:rPr>
                <w:sz w:val="20"/>
                <w:szCs w:val="20"/>
                <w:color w:val="auto"/>
              </w:rPr>
            </w:pPr>
            <w:r>
              <w:rPr>
                <w:rFonts w:ascii="Arial" w:cs="Arial" w:eastAsia="Arial" w:hAnsi="Arial"/>
                <w:sz w:val="14"/>
                <w:szCs w:val="14"/>
                <w:b w:val="1"/>
                <w:bCs w:val="1"/>
                <w:color w:val="auto"/>
              </w:rPr>
              <w:t>Dealer</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Order</w:t>
            </w:r>
          </w:p>
        </w:tc>
        <w:tc>
          <w:tcPr>
            <w:tcW w:w="116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420" w:type="dxa"/>
            <w:vAlign w:val="bottom"/>
          </w:tcPr>
          <w:p>
            <w:pPr>
              <w:jc w:val="right"/>
              <w:ind w:right="420"/>
              <w:spacing w:after="0"/>
              <w:rPr>
                <w:sz w:val="20"/>
                <w:szCs w:val="20"/>
                <w:color w:val="auto"/>
              </w:rPr>
            </w:pPr>
            <w:r>
              <w:rPr>
                <w:rFonts w:ascii="Arial" w:cs="Arial" w:eastAsia="Arial" w:hAnsi="Arial"/>
                <w:sz w:val="14"/>
                <w:szCs w:val="14"/>
                <w:b w:val="1"/>
                <w:bCs w:val="1"/>
                <w:color w:val="auto"/>
              </w:rPr>
              <w:t>Retail</w:t>
            </w:r>
          </w:p>
        </w:tc>
        <w:tc>
          <w:tcPr>
            <w:tcW w:w="1180" w:type="dxa"/>
            <w:vAlign w:val="bottom"/>
          </w:tcPr>
          <w:p>
            <w:pPr>
              <w:jc w:val="right"/>
              <w:ind w:right="321"/>
              <w:spacing w:after="0"/>
              <w:rPr>
                <w:sz w:val="20"/>
                <w:szCs w:val="20"/>
                <w:color w:val="auto"/>
              </w:rPr>
            </w:pPr>
            <w:r>
              <w:rPr>
                <w:rFonts w:ascii="Arial" w:cs="Arial" w:eastAsia="Arial" w:hAnsi="Arial"/>
                <w:sz w:val="14"/>
                <w:szCs w:val="14"/>
                <w:b w:val="1"/>
                <w:bCs w:val="1"/>
                <w:color w:val="auto"/>
              </w:rPr>
              <w:t>Dealer</w:t>
            </w:r>
          </w:p>
        </w:tc>
        <w:tc>
          <w:tcPr>
            <w:tcW w:w="1040" w:type="dxa"/>
            <w:vAlign w:val="bottom"/>
          </w:tcPr>
          <w:p>
            <w:pPr>
              <w:jc w:val="right"/>
              <w:ind w:right="280"/>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units)</w:t>
            </w:r>
          </w:p>
        </w:tc>
        <w:tc>
          <w:tcPr>
            <w:tcW w:w="1240" w:type="dxa"/>
            <w:vAlign w:val="bottom"/>
          </w:tcPr>
          <w:p>
            <w:pPr>
              <w:jc w:val="right"/>
              <w:ind w:right="200"/>
              <w:spacing w:after="0"/>
              <w:rPr>
                <w:sz w:val="20"/>
                <w:szCs w:val="20"/>
                <w:color w:val="auto"/>
              </w:rPr>
            </w:pPr>
            <w:r>
              <w:rPr>
                <w:rFonts w:ascii="Arial" w:cs="Arial" w:eastAsia="Arial" w:hAnsi="Arial"/>
                <w:sz w:val="14"/>
                <w:szCs w:val="14"/>
                <w:b w:val="1"/>
                <w:bCs w:val="1"/>
                <w:color w:val="auto"/>
              </w:rPr>
              <w:t>Deliveries</w:t>
            </w:r>
          </w:p>
        </w:tc>
        <w:tc>
          <w:tcPr>
            <w:tcW w:w="1340" w:type="dxa"/>
            <w:vAlign w:val="bottom"/>
          </w:tcPr>
          <w:p>
            <w:pPr>
              <w:jc w:val="right"/>
              <w:ind w:right="14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Pr>
          <w:p>
            <w:pPr>
              <w:jc w:val="right"/>
              <w:ind w:right="241"/>
              <w:spacing w:after="0"/>
              <w:rPr>
                <w:sz w:val="20"/>
                <w:szCs w:val="20"/>
                <w:color w:val="auto"/>
              </w:rPr>
            </w:pPr>
            <w:r>
              <w:rPr>
                <w:rFonts w:ascii="Arial" w:cs="Arial" w:eastAsia="Arial" w:hAnsi="Arial"/>
                <w:sz w:val="14"/>
                <w:szCs w:val="14"/>
                <w:b w:val="1"/>
                <w:bCs w:val="1"/>
                <w:color w:val="auto"/>
              </w:rPr>
              <w:t>Inventory</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Backlog</w:t>
            </w:r>
          </w:p>
        </w:tc>
        <w:tc>
          <w:tcPr>
            <w:tcW w:w="1160" w:type="dxa"/>
            <w:vAlign w:val="bottom"/>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420" w:type="dxa"/>
            <w:vAlign w:val="bottom"/>
          </w:tcPr>
          <w:p>
            <w:pPr>
              <w:jc w:val="right"/>
              <w:ind w:right="160"/>
              <w:spacing w:after="0"/>
              <w:rPr>
                <w:sz w:val="20"/>
                <w:szCs w:val="20"/>
                <w:color w:val="auto"/>
              </w:rPr>
            </w:pPr>
            <w:r>
              <w:rPr>
                <w:rFonts w:ascii="Arial" w:cs="Arial" w:eastAsia="Arial" w:hAnsi="Arial"/>
                <w:sz w:val="14"/>
                <w:szCs w:val="14"/>
                <w:b w:val="1"/>
                <w:bCs w:val="1"/>
                <w:color w:val="auto"/>
              </w:rPr>
              <w:t>Registrations</w:t>
            </w:r>
          </w:p>
        </w:tc>
        <w:tc>
          <w:tcPr>
            <w:tcW w:w="1180" w:type="dxa"/>
            <w:vAlign w:val="bottom"/>
          </w:tcPr>
          <w:p>
            <w:pPr>
              <w:jc w:val="right"/>
              <w:ind w:right="22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Pr>
          <w:p>
            <w:pPr>
              <w:jc w:val="right"/>
              <w:ind w:right="180"/>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1,419</w:t>
            </w:r>
          </w:p>
        </w:tc>
        <w:tc>
          <w:tcPr>
            <w:tcW w:w="134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1,072</w:t>
            </w:r>
          </w:p>
        </w:tc>
        <w:tc>
          <w:tcPr>
            <w:tcW w:w="12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2,392</w:t>
            </w:r>
          </w:p>
        </w:tc>
        <w:tc>
          <w:tcPr>
            <w:tcW w:w="112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2,752</w:t>
            </w:r>
          </w:p>
        </w:tc>
        <w:tc>
          <w:tcPr>
            <w:tcW w:w="12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548</w:t>
            </w:r>
          </w:p>
        </w:tc>
        <w:tc>
          <w:tcPr>
            <w:tcW w:w="142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328</w:t>
            </w:r>
          </w:p>
        </w:tc>
        <w:tc>
          <w:tcPr>
            <w:tcW w:w="118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1,775</w:t>
            </w:r>
          </w:p>
        </w:tc>
        <w:tc>
          <w:tcPr>
            <w:tcW w:w="104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Q3</w:t>
            </w:r>
          </w:p>
        </w:tc>
        <w:tc>
          <w:tcPr>
            <w:tcW w:w="1200" w:type="dxa"/>
            <w:vAlign w:val="bottom"/>
          </w:tcPr>
          <w:p>
            <w:pPr>
              <w:ind w:left="2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1,978</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1,736</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2,634</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2,846</w:t>
            </w:r>
          </w:p>
        </w:tc>
        <w:tc>
          <w:tcPr>
            <w:tcW w:w="12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713</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846</w:t>
            </w:r>
          </w:p>
        </w:tc>
        <w:tc>
          <w:tcPr>
            <w:tcW w:w="1180" w:type="dxa"/>
            <w:vAlign w:val="bottom"/>
          </w:tcPr>
          <w:p>
            <w:pPr>
              <w:jc w:val="right"/>
              <w:ind w:right="281"/>
              <w:spacing w:after="0"/>
              <w:rPr>
                <w:sz w:val="20"/>
                <w:szCs w:val="20"/>
                <w:color w:val="auto"/>
              </w:rPr>
            </w:pPr>
            <w:r>
              <w:rPr>
                <w:rFonts w:ascii="Arial" w:cs="Arial" w:eastAsia="Arial" w:hAnsi="Arial"/>
                <w:sz w:val="16"/>
                <w:szCs w:val="16"/>
                <w:color w:val="auto"/>
              </w:rPr>
              <w:t>1,642</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1,890</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1,870</w:t>
            </w:r>
          </w:p>
        </w:tc>
        <w:tc>
          <w:tcPr>
            <w:tcW w:w="12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2,654</w:t>
            </w:r>
          </w:p>
        </w:tc>
        <w:tc>
          <w:tcPr>
            <w:tcW w:w="11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3,380</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717</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748</w:t>
            </w:r>
          </w:p>
        </w:tc>
        <w:tc>
          <w:tcPr>
            <w:tcW w:w="11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1,611</w:t>
            </w: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Q1</w:t>
            </w:r>
          </w:p>
        </w:tc>
        <w:tc>
          <w:tcPr>
            <w:tcW w:w="1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2,005</w:t>
            </w: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1,524</w:t>
            </w:r>
          </w:p>
        </w:tc>
        <w:tc>
          <w:tcPr>
            <w:tcW w:w="122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3,135</w:t>
            </w:r>
          </w:p>
        </w:tc>
        <w:tc>
          <w:tcPr>
            <w:tcW w:w="1120" w:type="dxa"/>
            <w:vAlign w:val="bottom"/>
            <w:tcBorders>
              <w:bottom w:val="single" w:sz="8" w:color="CCEEFF"/>
            </w:tcBorders>
          </w:tcPr>
          <w:p>
            <w:pPr>
              <w:jc w:val="right"/>
              <w:ind w:right="280"/>
              <w:spacing w:after="0"/>
              <w:rPr>
                <w:sz w:val="20"/>
                <w:szCs w:val="20"/>
                <w:color w:val="auto"/>
              </w:rPr>
            </w:pPr>
            <w:r>
              <w:rPr>
                <w:rFonts w:ascii="Arial" w:cs="Arial" w:eastAsia="Arial" w:hAnsi="Arial"/>
                <w:sz w:val="16"/>
                <w:szCs w:val="16"/>
                <w:color w:val="auto"/>
              </w:rPr>
              <w:t>3,534</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484</w:t>
            </w: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504</w:t>
            </w:r>
          </w:p>
        </w:tc>
        <w:tc>
          <w:tcPr>
            <w:tcW w:w="118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1,591</w:t>
            </w:r>
          </w:p>
        </w:tc>
        <w:tc>
          <w:tcPr>
            <w:tcW w:w="1040" w:type="dxa"/>
            <w:vAlign w:val="bottom"/>
            <w:tcBorders>
              <w:bottom w:val="single" w:sz="8" w:color="CCEEFF"/>
            </w:tcBorders>
          </w:tcPr>
          <w:p>
            <w:pPr>
              <w:jc w:val="right"/>
              <w:ind w:right="24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40"/>
        </w:trPr>
        <w:tc>
          <w:tcPr>
            <w:tcW w:w="1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7,292</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6,202</w:t>
            </w:r>
          </w:p>
        </w:tc>
        <w:tc>
          <w:tcPr>
            <w:tcW w:w="1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2,462</w:t>
            </w:r>
          </w:p>
        </w:tc>
        <w:tc>
          <w:tcPr>
            <w:tcW w:w="1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2,426</w:t>
            </w:r>
          </w:p>
        </w:tc>
        <w:tc>
          <w:tcPr>
            <w:tcW w:w="1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ind w:left="40"/>
              <w:spacing w:after="0"/>
              <w:rPr>
                <w:sz w:val="20"/>
                <w:szCs w:val="20"/>
                <w:color w:val="auto"/>
              </w:rPr>
            </w:pPr>
            <w:r>
              <w:rPr>
                <w:rFonts w:ascii="Arial" w:cs="Arial" w:eastAsia="Arial" w:hAnsi="Arial"/>
                <w:sz w:val="16"/>
                <w:szCs w:val="16"/>
                <w:color w:val="auto"/>
              </w:rPr>
              <w:t>Dec 2012-Nov</w:t>
            </w: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8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480" w:type="dxa"/>
            <w:vAlign w:val="bottom"/>
            <w:gridSpan w:val="2"/>
          </w:tcPr>
          <w:p>
            <w:pPr>
              <w:ind w:left="40"/>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Q2</w:t>
            </w:r>
          </w:p>
        </w:tc>
        <w:tc>
          <w:tcPr>
            <w:tcW w:w="1200" w:type="dxa"/>
            <w:vAlign w:val="bottom"/>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2,055</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1,283</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3,907</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575</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394</w:t>
            </w:r>
          </w:p>
        </w:tc>
        <w:tc>
          <w:tcPr>
            <w:tcW w:w="1180" w:type="dxa"/>
            <w:vAlign w:val="bottom"/>
          </w:tcPr>
          <w:p>
            <w:pPr>
              <w:jc w:val="right"/>
              <w:ind w:right="281"/>
              <w:spacing w:after="0"/>
              <w:rPr>
                <w:sz w:val="20"/>
                <w:szCs w:val="20"/>
                <w:color w:val="auto"/>
              </w:rPr>
            </w:pPr>
            <w:r>
              <w:rPr>
                <w:rFonts w:ascii="Arial" w:cs="Arial" w:eastAsia="Arial" w:hAnsi="Arial"/>
                <w:sz w:val="16"/>
                <w:szCs w:val="16"/>
                <w:color w:val="auto"/>
              </w:rPr>
              <w:t>1,772</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2014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2,331</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2,783</w:t>
            </w:r>
          </w:p>
        </w:tc>
        <w:tc>
          <w:tcPr>
            <w:tcW w:w="12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3,798</w:t>
            </w:r>
          </w:p>
        </w:tc>
        <w:tc>
          <w:tcPr>
            <w:tcW w:w="11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2,357</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727</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724</w:t>
            </w:r>
          </w:p>
        </w:tc>
        <w:tc>
          <w:tcPr>
            <w:tcW w:w="11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1,775</w:t>
            </w: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Q4</w:t>
            </w:r>
          </w:p>
        </w:tc>
        <w:tc>
          <w:tcPr>
            <w:tcW w:w="1200" w:type="dxa"/>
            <w:vAlign w:val="bottom"/>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2,364</w:t>
            </w:r>
          </w:p>
        </w:tc>
        <w:tc>
          <w:tcPr>
            <w:tcW w:w="1340" w:type="dxa"/>
            <w:vAlign w:val="bottom"/>
          </w:tcPr>
          <w:p>
            <w:pPr>
              <w:jc w:val="right"/>
              <w:ind w:right="220"/>
              <w:spacing w:after="0"/>
              <w:rPr>
                <w:sz w:val="20"/>
                <w:szCs w:val="20"/>
                <w:color w:val="auto"/>
              </w:rPr>
            </w:pPr>
            <w:r>
              <w:rPr>
                <w:rFonts w:ascii="Arial" w:cs="Arial" w:eastAsia="Arial" w:hAnsi="Arial"/>
                <w:sz w:val="16"/>
                <w:szCs w:val="16"/>
                <w:color w:val="auto"/>
              </w:rPr>
              <w:t>2,183</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3,979</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22"/>
                <w:szCs w:val="22"/>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723</w:t>
            </w:r>
          </w:p>
        </w:tc>
        <w:tc>
          <w:tcPr>
            <w:tcW w:w="1420" w:type="dxa"/>
            <w:vAlign w:val="bottom"/>
          </w:tcPr>
          <w:p>
            <w:pPr>
              <w:jc w:val="right"/>
              <w:ind w:right="240"/>
              <w:spacing w:after="0"/>
              <w:rPr>
                <w:sz w:val="20"/>
                <w:szCs w:val="20"/>
                <w:color w:val="auto"/>
              </w:rPr>
            </w:pPr>
            <w:r>
              <w:rPr>
                <w:rFonts w:ascii="Arial" w:cs="Arial" w:eastAsia="Arial" w:hAnsi="Arial"/>
                <w:sz w:val="16"/>
                <w:szCs w:val="16"/>
                <w:color w:val="auto"/>
              </w:rPr>
              <w:t>777</w:t>
            </w:r>
          </w:p>
        </w:tc>
        <w:tc>
          <w:tcPr>
            <w:tcW w:w="1180" w:type="dxa"/>
            <w:vAlign w:val="bottom"/>
          </w:tcPr>
          <w:p>
            <w:pPr>
              <w:jc w:val="right"/>
              <w:ind w:right="281"/>
              <w:spacing w:after="0"/>
              <w:rPr>
                <w:sz w:val="20"/>
                <w:szCs w:val="20"/>
                <w:color w:val="auto"/>
              </w:rPr>
            </w:pPr>
            <w:r>
              <w:rPr>
                <w:rFonts w:ascii="Arial" w:cs="Arial" w:eastAsia="Arial" w:hAnsi="Arial"/>
                <w:sz w:val="16"/>
                <w:szCs w:val="16"/>
                <w:color w:val="auto"/>
              </w:rPr>
              <w:t>1,721</w:t>
            </w:r>
          </w:p>
        </w:tc>
        <w:tc>
          <w:tcPr>
            <w:tcW w:w="1040" w:type="dxa"/>
            <w:vAlign w:val="bottom"/>
          </w:tcPr>
          <w:p>
            <w:pPr>
              <w:jc w:val="right"/>
              <w:ind w:right="2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73"/>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2,031</w:t>
            </w:r>
          </w:p>
        </w:tc>
        <w:tc>
          <w:tcPr>
            <w:tcW w:w="13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1,818</w:t>
            </w:r>
          </w:p>
        </w:tc>
        <w:tc>
          <w:tcPr>
            <w:tcW w:w="12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4,192</w:t>
            </w:r>
          </w:p>
        </w:tc>
        <w:tc>
          <w:tcPr>
            <w:tcW w:w="11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2,122</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546</w:t>
            </w:r>
          </w:p>
        </w:tc>
        <w:tc>
          <w:tcPr>
            <w:tcW w:w="1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585</w:t>
            </w:r>
          </w:p>
        </w:tc>
        <w:tc>
          <w:tcPr>
            <w:tcW w:w="11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1,682</w:t>
            </w: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80"/>
        </w:trPr>
        <w:tc>
          <w:tcPr>
            <w:tcW w:w="15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Rolling 12 months</w:t>
            </w: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8,781</w:t>
            </w: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8,067</w:t>
            </w:r>
          </w:p>
        </w:tc>
        <w:tc>
          <w:tcPr>
            <w:tcW w:w="1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2,571</w:t>
            </w: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2,480</w:t>
            </w:r>
          </w:p>
        </w:tc>
        <w:tc>
          <w:tcPr>
            <w:tcW w:w="11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80" w:type="dxa"/>
            <w:vAlign w:val="bottom"/>
            <w:gridSpan w:val="3"/>
            <w:shd w:val="clear" w:color="auto" w:fill="CCEEFF"/>
          </w:tcPr>
          <w:p>
            <w:pPr>
              <w:ind w:left="40"/>
              <w:spacing w:after="0" w:line="175" w:lineRule="exact"/>
              <w:rPr>
                <w:sz w:val="20"/>
                <w:szCs w:val="20"/>
                <w:color w:val="auto"/>
              </w:rPr>
            </w:pPr>
            <w:r>
              <w:rPr>
                <w:rFonts w:ascii="Arial" w:cs="Arial" w:eastAsia="Arial" w:hAnsi="Arial"/>
                <w:sz w:val="16"/>
                <w:szCs w:val="16"/>
                <w:color w:val="auto"/>
              </w:rPr>
              <w:t>Dec 2013-Nov</w:t>
            </w:r>
          </w:p>
        </w:tc>
        <w:tc>
          <w:tcPr>
            <w:tcW w:w="1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 change</w:t>
            </w:r>
          </w:p>
        </w:tc>
        <w:tc>
          <w:tcPr>
            <w:tcW w:w="12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1,489</w:t>
            </w:r>
          </w:p>
        </w:tc>
        <w:tc>
          <w:tcPr>
            <w:tcW w:w="13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1,865</w:t>
            </w:r>
          </w:p>
        </w:tc>
        <w:tc>
          <w:tcPr>
            <w:tcW w:w="12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1,057</w:t>
            </w:r>
          </w:p>
        </w:tc>
        <w:tc>
          <w:tcPr>
            <w:tcW w:w="11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(1,412)</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109</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54</w:t>
            </w:r>
          </w:p>
        </w:tc>
        <w:tc>
          <w:tcPr>
            <w:tcW w:w="11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91</w:t>
            </w: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1"/>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Percentage change</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20.4%</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30.1%</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33.7%</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42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5.7%</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right="60" w:firstLine="8"/>
        <w:spacing w:after="0" w:line="448"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An additional 343 units were delivered but not included in Q3 2014 motorhome wholesale deliveries as presented in the table above as the units are subject to repurchase option. These units were included as retail registrations, not in dealer inventory, as the units were immediately placed into rental service once delivered. See Note 5 to the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US and Canada Industry Class A, B &amp; C Motorhomes</w:t>
            </w: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10"/>
        </w:trPr>
        <w:tc>
          <w:tcPr>
            <w:tcW w:w="2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4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661"/>
              <w:spacing w:after="0"/>
              <w:rPr>
                <w:sz w:val="20"/>
                <w:szCs w:val="20"/>
                <w:color w:val="auto"/>
              </w:rPr>
            </w:pPr>
            <w:r>
              <w:rPr>
                <w:rFonts w:ascii="Arial" w:cs="Arial" w:eastAsia="Arial" w:hAnsi="Arial"/>
                <w:sz w:val="14"/>
                <w:szCs w:val="14"/>
                <w:b w:val="1"/>
                <w:bCs w:val="1"/>
                <w:color w:val="auto"/>
              </w:rPr>
              <w:t>Calendar Year</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rPr>
              <w:t>Calendar Year</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Increase</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2"/>
                <w:szCs w:val="22"/>
                <w:color w:val="auto"/>
              </w:rPr>
            </w:pPr>
          </w:p>
        </w:tc>
      </w:tr>
      <w:tr>
        <w:trPr>
          <w:trHeight w:val="270"/>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8,500</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6,869</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1,631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7,147</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5,706</w:t>
            </w: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1,441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0" w:type="dxa"/>
            <w:vAlign w:val="bottom"/>
          </w:tcPr>
          <w:p>
            <w:pPr>
              <w:spacing w:after="0"/>
              <w:rPr>
                <w:sz w:val="23"/>
                <w:szCs w:val="23"/>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Q2</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10,972</w:t>
            </w:r>
          </w:p>
        </w:tc>
        <w:tc>
          <w:tcPr>
            <w:tcW w:w="340" w:type="dxa"/>
            <w:vAlign w:val="bottom"/>
          </w:tcPr>
          <w:p>
            <w:pPr>
              <w:spacing w:after="0"/>
              <w:rPr>
                <w:sz w:val="22"/>
                <w:szCs w:val="22"/>
                <w:color w:val="auto"/>
              </w:rPr>
            </w:pP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7,707</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3,265</w:t>
            </w:r>
          </w:p>
        </w:tc>
        <w:tc>
          <w:tcPr>
            <w:tcW w:w="900" w:type="dxa"/>
            <w:vAlign w:val="bottom"/>
          </w:tcPr>
          <w:p>
            <w:pPr>
              <w:jc w:val="right"/>
              <w:spacing w:after="0"/>
              <w:rPr>
                <w:sz w:val="20"/>
                <w:szCs w:val="20"/>
                <w:color w:val="auto"/>
              </w:rPr>
            </w:pPr>
            <w:r>
              <w:rPr>
                <w:rFonts w:ascii="Arial" w:cs="Arial" w:eastAsia="Arial" w:hAnsi="Arial"/>
                <w:sz w:val="16"/>
                <w:szCs w:val="16"/>
                <w:color w:val="auto"/>
              </w:rPr>
              <w:t>42.4%</w:t>
            </w:r>
          </w:p>
        </w:tc>
        <w:tc>
          <w:tcPr>
            <w:tcW w:w="1020" w:type="dxa"/>
            <w:vAlign w:val="bottom"/>
            <w:gridSpan w:val="2"/>
          </w:tcPr>
          <w:p>
            <w:pPr>
              <w:jc w:val="right"/>
              <w:ind w:right="48"/>
              <w:spacing w:after="0"/>
              <w:rPr>
                <w:sz w:val="20"/>
                <w:szCs w:val="20"/>
                <w:color w:val="auto"/>
              </w:rPr>
            </w:pPr>
            <w:r>
              <w:rPr>
                <w:rFonts w:ascii="Arial" w:cs="Arial" w:eastAsia="Arial" w:hAnsi="Arial"/>
                <w:sz w:val="16"/>
                <w:szCs w:val="16"/>
                <w:color w:val="auto"/>
              </w:rPr>
              <w:t>10,909</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8,206</w:t>
            </w:r>
          </w:p>
        </w:tc>
        <w:tc>
          <w:tcPr>
            <w:tcW w:w="440" w:type="dxa"/>
            <w:vAlign w:val="bottom"/>
          </w:tcPr>
          <w:p>
            <w:pPr>
              <w:spacing w:after="0"/>
              <w:rPr>
                <w:sz w:val="22"/>
                <w:szCs w:val="22"/>
                <w:color w:val="auto"/>
              </w:rPr>
            </w:pPr>
          </w:p>
        </w:tc>
        <w:tc>
          <w:tcPr>
            <w:tcW w:w="840" w:type="dxa"/>
            <w:vAlign w:val="bottom"/>
          </w:tcPr>
          <w:p>
            <w:pPr>
              <w:jc w:val="right"/>
              <w:ind w:right="160"/>
              <w:spacing w:after="0"/>
              <w:rPr>
                <w:sz w:val="20"/>
                <w:szCs w:val="20"/>
                <w:color w:val="auto"/>
              </w:rPr>
            </w:pPr>
            <w:r>
              <w:rPr>
                <w:rFonts w:ascii="Arial" w:cs="Arial" w:eastAsia="Arial" w:hAnsi="Arial"/>
                <w:sz w:val="16"/>
                <w:szCs w:val="16"/>
                <w:color w:val="auto"/>
              </w:rPr>
              <w:t>2,703</w:t>
            </w:r>
          </w:p>
        </w:tc>
        <w:tc>
          <w:tcPr>
            <w:tcW w:w="940" w:type="dxa"/>
            <w:vAlign w:val="bottom"/>
          </w:tcPr>
          <w:p>
            <w:pPr>
              <w:jc w:val="right"/>
              <w:spacing w:after="0"/>
              <w:rPr>
                <w:sz w:val="20"/>
                <w:szCs w:val="20"/>
                <w:color w:val="auto"/>
              </w:rPr>
            </w:pPr>
            <w:r>
              <w:rPr>
                <w:rFonts w:ascii="Arial" w:cs="Arial" w:eastAsia="Arial" w:hAnsi="Arial"/>
                <w:sz w:val="16"/>
                <w:szCs w:val="16"/>
                <w:color w:val="auto"/>
              </w:rPr>
              <w:t>32.9%</w:t>
            </w:r>
          </w:p>
        </w:tc>
        <w:tc>
          <w:tcPr>
            <w:tcW w:w="20" w:type="dxa"/>
            <w:vAlign w:val="bottom"/>
          </w:tcPr>
          <w:p>
            <w:pPr>
              <w:spacing w:after="0"/>
              <w:rPr>
                <w:sz w:val="22"/>
                <w:szCs w:val="22"/>
                <w:color w:val="auto"/>
              </w:rPr>
            </w:pPr>
          </w:p>
        </w:tc>
      </w:tr>
      <w:tr>
        <w:trPr>
          <w:trHeight w:val="280"/>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9,469</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6,678</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2,791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9,125</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6,916</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2,209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0" w:type="dxa"/>
            <w:vAlign w:val="bottom"/>
          </w:tcPr>
          <w:p>
            <w:pPr>
              <w:spacing w:after="0"/>
              <w:rPr>
                <w:sz w:val="24"/>
                <w:szCs w:val="24"/>
                <w:color w:val="auto"/>
              </w:rPr>
            </w:pPr>
          </w:p>
        </w:tc>
      </w:tr>
      <w:tr>
        <w:trPr>
          <w:trHeight w:val="264"/>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9,391</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6,944</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2,447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6,281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4,922</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1,359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22"/>
                <w:szCs w:val="22"/>
                <w:color w:val="auto"/>
              </w:rPr>
            </w:pPr>
          </w:p>
        </w:tc>
      </w:tr>
      <w:tr>
        <w:trPr>
          <w:trHeight w:val="267"/>
        </w:trPr>
        <w:tc>
          <w:tcPr>
            <w:tcW w:w="246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38,332</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28,198</w:t>
            </w: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10,134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2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33,462</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25,750</w:t>
            </w: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7,712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23"/>
                <w:szCs w:val="23"/>
                <w:color w:val="auto"/>
              </w:rPr>
            </w:pPr>
          </w:p>
        </w:tc>
      </w:tr>
      <w:tr>
        <w:trPr>
          <w:trHeight w:val="20"/>
        </w:trPr>
        <w:tc>
          <w:tcPr>
            <w:tcW w:w="2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24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Increase</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1"/>
                <w:szCs w:val="21"/>
                <w:color w:val="auto"/>
              </w:rPr>
            </w:pPr>
          </w:p>
        </w:tc>
      </w:tr>
      <w:tr>
        <w:trPr>
          <w:trHeight w:val="270"/>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11,125</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8,500</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2,625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8,075</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7,147</w:t>
            </w: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928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23"/>
                <w:szCs w:val="23"/>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Q2</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12,203</w:t>
            </w:r>
          </w:p>
        </w:tc>
        <w:tc>
          <w:tcPr>
            <w:tcW w:w="340" w:type="dxa"/>
            <w:vAlign w:val="bottom"/>
          </w:tcPr>
          <w:p>
            <w:pPr>
              <w:spacing w:after="0"/>
              <w:rPr>
                <w:sz w:val="22"/>
                <w:szCs w:val="22"/>
                <w:color w:val="auto"/>
              </w:rPr>
            </w:pP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10,972</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1,231</w:t>
            </w:r>
          </w:p>
        </w:tc>
        <w:tc>
          <w:tcPr>
            <w:tcW w:w="900" w:type="dxa"/>
            <w:vAlign w:val="bottom"/>
          </w:tcPr>
          <w:p>
            <w:pPr>
              <w:jc w:val="right"/>
              <w:spacing w:after="0"/>
              <w:rPr>
                <w:sz w:val="20"/>
                <w:szCs w:val="20"/>
                <w:color w:val="auto"/>
              </w:rPr>
            </w:pPr>
            <w:r>
              <w:rPr>
                <w:rFonts w:ascii="Arial" w:cs="Arial" w:eastAsia="Arial" w:hAnsi="Arial"/>
                <w:sz w:val="16"/>
                <w:szCs w:val="16"/>
                <w:color w:val="auto"/>
              </w:rPr>
              <w:t>11.2%</w:t>
            </w:r>
          </w:p>
        </w:tc>
        <w:tc>
          <w:tcPr>
            <w:tcW w:w="1020" w:type="dxa"/>
            <w:vAlign w:val="bottom"/>
            <w:gridSpan w:val="2"/>
          </w:tcPr>
          <w:p>
            <w:pPr>
              <w:jc w:val="right"/>
              <w:ind w:right="48"/>
              <w:spacing w:after="0"/>
              <w:rPr>
                <w:sz w:val="20"/>
                <w:szCs w:val="20"/>
                <w:color w:val="auto"/>
              </w:rPr>
            </w:pPr>
            <w:r>
              <w:rPr>
                <w:rFonts w:ascii="Arial" w:cs="Arial" w:eastAsia="Arial" w:hAnsi="Arial"/>
                <w:sz w:val="16"/>
                <w:szCs w:val="16"/>
                <w:color w:val="auto"/>
              </w:rPr>
              <w:t>12,488</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10,909</w:t>
            </w:r>
          </w:p>
        </w:tc>
        <w:tc>
          <w:tcPr>
            <w:tcW w:w="440" w:type="dxa"/>
            <w:vAlign w:val="bottom"/>
          </w:tcPr>
          <w:p>
            <w:pPr>
              <w:spacing w:after="0"/>
              <w:rPr>
                <w:sz w:val="22"/>
                <w:szCs w:val="22"/>
                <w:color w:val="auto"/>
              </w:rPr>
            </w:pPr>
          </w:p>
        </w:tc>
        <w:tc>
          <w:tcPr>
            <w:tcW w:w="840" w:type="dxa"/>
            <w:vAlign w:val="bottom"/>
          </w:tcPr>
          <w:p>
            <w:pPr>
              <w:jc w:val="right"/>
              <w:ind w:right="160"/>
              <w:spacing w:after="0"/>
              <w:rPr>
                <w:sz w:val="20"/>
                <w:szCs w:val="20"/>
                <w:color w:val="auto"/>
              </w:rPr>
            </w:pPr>
            <w:r>
              <w:rPr>
                <w:rFonts w:ascii="Arial" w:cs="Arial" w:eastAsia="Arial" w:hAnsi="Arial"/>
                <w:sz w:val="16"/>
                <w:szCs w:val="16"/>
                <w:color w:val="auto"/>
              </w:rPr>
              <w:t>1,579</w:t>
            </w:r>
          </w:p>
        </w:tc>
        <w:tc>
          <w:tcPr>
            <w:tcW w:w="940" w:type="dxa"/>
            <w:vAlign w:val="bottom"/>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22"/>
                <w:szCs w:val="22"/>
                <w:color w:val="auto"/>
              </w:rPr>
            </w:pPr>
          </w:p>
        </w:tc>
      </w:tr>
      <w:tr>
        <w:trPr>
          <w:trHeight w:val="273"/>
        </w:trPr>
        <w:tc>
          <w:tcPr>
            <w:tcW w:w="246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10,704</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9,469</w:t>
            </w: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1,235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2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10,572</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9,125</w:t>
            </w: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1,447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0" w:type="dxa"/>
            <w:vAlign w:val="bottom"/>
            <w:tcBorders>
              <w:bottom w:val="single" w:sz="8" w:color="auto"/>
            </w:tcBorders>
          </w:tcPr>
          <w:p>
            <w:pPr>
              <w:spacing w:after="0"/>
              <w:rPr>
                <w:sz w:val="23"/>
                <w:szCs w:val="23"/>
                <w:color w:val="auto"/>
              </w:rPr>
            </w:pPr>
          </w:p>
        </w:tc>
      </w:tr>
      <w:tr>
        <w:trPr>
          <w:trHeight w:val="260"/>
        </w:trPr>
        <w:tc>
          <w:tcPr>
            <w:tcW w:w="24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October</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3,915</w:t>
            </w:r>
          </w:p>
        </w:tc>
        <w:tc>
          <w:tcPr>
            <w:tcW w:w="340" w:type="dxa"/>
            <w:vAlign w:val="bottom"/>
          </w:tcPr>
          <w:p>
            <w:pPr>
              <w:spacing w:after="0"/>
              <w:rPr>
                <w:sz w:val="22"/>
                <w:szCs w:val="22"/>
                <w:color w:val="auto"/>
              </w:rPr>
            </w:pP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3,454</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461</w:t>
            </w: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1020" w:type="dxa"/>
            <w:vAlign w:val="bottom"/>
            <w:gridSpan w:val="2"/>
          </w:tcPr>
          <w:p>
            <w:pPr>
              <w:jc w:val="right"/>
              <w:ind w:right="48"/>
              <w:spacing w:after="0"/>
              <w:rPr>
                <w:sz w:val="20"/>
                <w:szCs w:val="20"/>
                <w:color w:val="auto"/>
              </w:rPr>
            </w:pPr>
            <w:r>
              <w:rPr>
                <w:rFonts w:ascii="Arial" w:cs="Arial" w:eastAsia="Arial" w:hAnsi="Arial"/>
                <w:sz w:val="16"/>
                <w:szCs w:val="16"/>
                <w:color w:val="auto"/>
              </w:rPr>
              <w:t>2,936</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2,688</w:t>
            </w:r>
          </w:p>
        </w:tc>
        <w:tc>
          <w:tcPr>
            <w:tcW w:w="440" w:type="dxa"/>
            <w:vAlign w:val="bottom"/>
          </w:tcPr>
          <w:p>
            <w:pPr>
              <w:spacing w:after="0"/>
              <w:rPr>
                <w:sz w:val="22"/>
                <w:szCs w:val="22"/>
                <w:color w:val="auto"/>
              </w:rPr>
            </w:pPr>
          </w:p>
        </w:tc>
        <w:tc>
          <w:tcPr>
            <w:tcW w:w="840" w:type="dxa"/>
            <w:vAlign w:val="bottom"/>
          </w:tcPr>
          <w:p>
            <w:pPr>
              <w:jc w:val="right"/>
              <w:ind w:right="160"/>
              <w:spacing w:after="0"/>
              <w:rPr>
                <w:sz w:val="20"/>
                <w:szCs w:val="20"/>
                <w:color w:val="auto"/>
              </w:rPr>
            </w:pPr>
            <w:r>
              <w:rPr>
                <w:rFonts w:ascii="Arial" w:cs="Arial" w:eastAsia="Arial" w:hAnsi="Arial"/>
                <w:sz w:val="16"/>
                <w:szCs w:val="16"/>
                <w:color w:val="auto"/>
              </w:rPr>
              <w:t>248</w:t>
            </w: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20" w:type="dxa"/>
            <w:vAlign w:val="bottom"/>
            <w:shd w:val="clear" w:color="auto" w:fill="000000"/>
          </w:tcPr>
          <w:p>
            <w:pPr>
              <w:spacing w:after="0"/>
              <w:rPr>
                <w:sz w:val="22"/>
                <w:szCs w:val="22"/>
                <w:color w:val="auto"/>
              </w:rPr>
            </w:pPr>
          </w:p>
        </w:tc>
      </w:tr>
      <w:tr>
        <w:trPr>
          <w:trHeight w:val="280"/>
        </w:trPr>
        <w:tc>
          <w:tcPr>
            <w:tcW w:w="24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November</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3,119</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3,037</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2,040</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64"/>
        </w:trPr>
        <w:tc>
          <w:tcPr>
            <w:tcW w:w="2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December</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3,854</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2,900</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954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1,553</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64"/>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10,888</w:t>
            </w:r>
          </w:p>
        </w:tc>
        <w:tc>
          <w:tcPr>
            <w:tcW w:w="3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9,391</w:t>
            </w: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1,497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6,281</w:t>
            </w: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0"/>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44,920</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38,332</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6,588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33,462</w:t>
            </w:r>
          </w:p>
        </w:tc>
        <w:tc>
          <w:tcPr>
            <w:tcW w:w="4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2460" w:type="dxa"/>
            <w:vAlign w:val="bottom"/>
            <w:tcBorders>
              <w:left w:val="single" w:sz="8" w:color="CCEEFF"/>
            </w:tcBorders>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415"/>
        </w:trPr>
        <w:tc>
          <w:tcPr>
            <w:tcW w:w="2460" w:type="dxa"/>
            <w:vAlign w:val="bottom"/>
          </w:tcPr>
          <w:p>
            <w:pPr>
              <w:ind w:left="40"/>
              <w:spacing w:after="0"/>
              <w:rPr>
                <w:sz w:val="20"/>
                <w:szCs w:val="20"/>
                <w:color w:val="auto"/>
              </w:rPr>
            </w:pPr>
            <w:r>
              <w:rPr>
                <w:rFonts w:ascii="Arial" w:cs="Arial" w:eastAsia="Arial" w:hAnsi="Arial"/>
                <w:sz w:val="32"/>
                <w:szCs w:val="32"/>
                <w:color w:val="auto"/>
                <w:vertAlign w:val="subscript"/>
              </w:rPr>
              <w:t>YTD</w:t>
            </w:r>
            <w:r>
              <w:rPr>
                <w:rFonts w:ascii="Arial" w:cs="Arial" w:eastAsia="Arial" w:hAnsi="Arial"/>
                <w:sz w:val="11"/>
                <w:szCs w:val="11"/>
                <w:color w:val="auto"/>
              </w:rPr>
              <w:t xml:space="preserve"> (5)</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41,066</w:t>
            </w:r>
          </w:p>
        </w:tc>
        <w:tc>
          <w:tcPr>
            <w:tcW w:w="340" w:type="dxa"/>
            <w:vAlign w:val="bottom"/>
          </w:tcPr>
          <w:p>
            <w:pPr>
              <w:spacing w:after="0"/>
              <w:rPr>
                <w:sz w:val="24"/>
                <w:szCs w:val="24"/>
                <w:color w:val="auto"/>
              </w:rPr>
            </w:pP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35,432</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5,634</w:t>
            </w: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c>
          <w:tcPr>
            <w:tcW w:w="1020" w:type="dxa"/>
            <w:vAlign w:val="bottom"/>
            <w:gridSpan w:val="2"/>
          </w:tcPr>
          <w:p>
            <w:pPr>
              <w:jc w:val="right"/>
              <w:ind w:right="48"/>
              <w:spacing w:after="0"/>
              <w:rPr>
                <w:sz w:val="20"/>
                <w:szCs w:val="20"/>
                <w:color w:val="auto"/>
              </w:rPr>
            </w:pPr>
            <w:r>
              <w:rPr>
                <w:rFonts w:ascii="Arial" w:cs="Arial" w:eastAsia="Arial" w:hAnsi="Arial"/>
                <w:sz w:val="16"/>
                <w:szCs w:val="16"/>
                <w:color w:val="auto"/>
              </w:rPr>
              <w:t>34,071</w:t>
            </w:r>
          </w:p>
        </w:tc>
        <w:tc>
          <w:tcPr>
            <w:tcW w:w="3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29,869</w:t>
            </w:r>
          </w:p>
        </w:tc>
        <w:tc>
          <w:tcPr>
            <w:tcW w:w="44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Arial" w:cs="Arial" w:eastAsia="Arial" w:hAnsi="Arial"/>
                <w:sz w:val="16"/>
                <w:szCs w:val="16"/>
                <w:color w:val="auto"/>
              </w:rPr>
              <w:t>4,202</w:t>
            </w: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4"/>
                <w:szCs w:val="24"/>
                <w:color w:val="auto"/>
              </w:rPr>
            </w:pPr>
          </w:p>
        </w:tc>
      </w:tr>
    </w:tbl>
    <w:p>
      <w:pPr>
        <w:ind w:left="340" w:hanging="332"/>
        <w:spacing w:after="0" w:line="213"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right="360" w:hanging="332"/>
        <w:spacing w:after="0" w:line="22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2014 Class A, B and C wholesale shipments are based upon the forecast prepared by Dr. Richard Curtin of the University of Michigan Consumer Survey Research Center for RVIA and reported in the Roadsigns RV Winter 2014 Industry Forecast Issue. The revised RVIA annual 2014 wholesale shipment forecast is 45,300 and the annual forecast for 2015 is 46,200.</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2014 retail demand for this period.</w:t>
      </w:r>
    </w:p>
    <w:p>
      <w:pPr>
        <w:ind w:left="340" w:hanging="332"/>
        <w:spacing w:after="0" w:line="199"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YTD wholesale shipments include January through November; YTD retail registrations include January through October.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6"/>
          </w:tcPr>
          <w:p>
            <w:pPr>
              <w:jc w:val="right"/>
              <w:ind w:right="521"/>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1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2"/>
          </w:tcPr>
          <w:p>
            <w:pPr>
              <w:jc w:val="right"/>
              <w:ind w:right="54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Calendar Year</w:t>
            </w:r>
          </w:p>
        </w:tc>
        <w:tc>
          <w:tcPr>
            <w:tcW w:w="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Calendar Year</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2012</w:t>
            </w: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Increase</w:t>
            </w: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66,745</w:t>
            </w: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60,402</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6,343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42,987</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39,093</w:t>
            </w: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3,894</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960" w:type="dxa"/>
            <w:vAlign w:val="bottom"/>
          </w:tcPr>
          <w:p>
            <w:pPr>
              <w:ind w:left="40"/>
              <w:spacing w:after="0"/>
              <w:rPr>
                <w:sz w:val="20"/>
                <w:szCs w:val="20"/>
                <w:color w:val="auto"/>
              </w:rPr>
            </w:pPr>
            <w:r>
              <w:rPr>
                <w:rFonts w:ascii="Arial" w:cs="Arial" w:eastAsia="Arial" w:hAnsi="Arial"/>
                <w:sz w:val="16"/>
                <w:szCs w:val="16"/>
                <w:color w:val="auto"/>
              </w:rPr>
              <w:t>Q2</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79,935</w:t>
            </w:r>
          </w:p>
        </w:tc>
        <w:tc>
          <w:tcPr>
            <w:tcW w:w="340" w:type="dxa"/>
            <w:vAlign w:val="bottom"/>
          </w:tcPr>
          <w:p>
            <w:pPr>
              <w:spacing w:after="0"/>
              <w:rPr>
                <w:sz w:val="22"/>
                <w:szCs w:val="22"/>
                <w:color w:val="auto"/>
              </w:rPr>
            </w:pPr>
          </w:p>
        </w:tc>
        <w:tc>
          <w:tcPr>
            <w:tcW w:w="1460" w:type="dxa"/>
            <w:vAlign w:val="bottom"/>
          </w:tcPr>
          <w:p>
            <w:pPr>
              <w:jc w:val="right"/>
              <w:ind w:right="361"/>
              <w:spacing w:after="0"/>
              <w:rPr>
                <w:sz w:val="20"/>
                <w:szCs w:val="20"/>
                <w:color w:val="auto"/>
              </w:rPr>
            </w:pPr>
            <w:r>
              <w:rPr>
                <w:rFonts w:ascii="Arial" w:cs="Arial" w:eastAsia="Arial" w:hAnsi="Arial"/>
                <w:sz w:val="16"/>
                <w:szCs w:val="16"/>
                <w:color w:val="auto"/>
              </w:rPr>
              <w:t>71,095</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8,840</w:t>
            </w:r>
          </w:p>
        </w:tc>
        <w:tc>
          <w:tcPr>
            <w:tcW w:w="900" w:type="dxa"/>
            <w:vAlign w:val="bottom"/>
          </w:tcPr>
          <w:p>
            <w:pPr>
              <w:jc w:val="right"/>
              <w:spacing w:after="0"/>
              <w:rPr>
                <w:sz w:val="20"/>
                <w:szCs w:val="20"/>
                <w:color w:val="auto"/>
              </w:rPr>
            </w:pPr>
            <w:r>
              <w:rPr>
                <w:rFonts w:ascii="Arial" w:cs="Arial" w:eastAsia="Arial" w:hAnsi="Arial"/>
                <w:sz w:val="16"/>
                <w:szCs w:val="16"/>
                <w:color w:val="auto"/>
              </w:rPr>
              <w:t>12.4%</w:t>
            </w:r>
          </w:p>
        </w:tc>
        <w:tc>
          <w:tcPr>
            <w:tcW w:w="1000" w:type="dxa"/>
            <w:vAlign w:val="bottom"/>
            <w:gridSpan w:val="2"/>
          </w:tcPr>
          <w:p>
            <w:pPr>
              <w:jc w:val="right"/>
              <w:ind w:right="22"/>
              <w:spacing w:after="0"/>
              <w:rPr>
                <w:sz w:val="20"/>
                <w:szCs w:val="20"/>
                <w:color w:val="auto"/>
              </w:rPr>
            </w:pPr>
            <w:r>
              <w:rPr>
                <w:rFonts w:ascii="Arial" w:cs="Arial" w:eastAsia="Arial" w:hAnsi="Arial"/>
                <w:sz w:val="16"/>
                <w:szCs w:val="16"/>
                <w:color w:val="auto"/>
              </w:rPr>
              <w:t>94,716</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83,990</w:t>
            </w: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10,726</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9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61,251</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56,601</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4,650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79,802</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67,344</w:t>
            </w: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12,458</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60,104</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54,782</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5,322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37,054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32,469</w:t>
            </w: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4,585</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96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268,035</w:t>
            </w:r>
          </w:p>
        </w:tc>
        <w:tc>
          <w:tcPr>
            <w:tcW w:w="3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242,880</w:t>
            </w:r>
          </w:p>
        </w:tc>
        <w:tc>
          <w:tcPr>
            <w:tcW w:w="8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25,155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254,559</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222,896</w:t>
            </w:r>
          </w:p>
        </w:tc>
        <w:tc>
          <w:tcPr>
            <w:tcW w:w="12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31,663</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9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Increase</w:t>
            </w: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75,458</w:t>
            </w: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66,745</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8,713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45,939</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42,987</w:t>
            </w:r>
          </w:p>
        </w:tc>
        <w:tc>
          <w:tcPr>
            <w:tcW w:w="12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2,952</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960" w:type="dxa"/>
            <w:vAlign w:val="bottom"/>
          </w:tcPr>
          <w:p>
            <w:pPr>
              <w:ind w:left="40"/>
              <w:spacing w:after="0"/>
              <w:rPr>
                <w:sz w:val="20"/>
                <w:szCs w:val="20"/>
                <w:color w:val="auto"/>
              </w:rPr>
            </w:pPr>
            <w:r>
              <w:rPr>
                <w:rFonts w:ascii="Arial" w:cs="Arial" w:eastAsia="Arial" w:hAnsi="Arial"/>
                <w:sz w:val="16"/>
                <w:szCs w:val="16"/>
                <w:color w:val="auto"/>
              </w:rPr>
              <w:t>Q2</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85,648</w:t>
            </w:r>
          </w:p>
        </w:tc>
        <w:tc>
          <w:tcPr>
            <w:tcW w:w="340" w:type="dxa"/>
            <w:vAlign w:val="bottom"/>
          </w:tcPr>
          <w:p>
            <w:pPr>
              <w:spacing w:after="0"/>
              <w:rPr>
                <w:sz w:val="22"/>
                <w:szCs w:val="22"/>
                <w:color w:val="auto"/>
              </w:rPr>
            </w:pPr>
          </w:p>
        </w:tc>
        <w:tc>
          <w:tcPr>
            <w:tcW w:w="1460" w:type="dxa"/>
            <w:vAlign w:val="bottom"/>
          </w:tcPr>
          <w:p>
            <w:pPr>
              <w:jc w:val="right"/>
              <w:ind w:right="361"/>
              <w:spacing w:after="0"/>
              <w:rPr>
                <w:sz w:val="20"/>
                <w:szCs w:val="20"/>
                <w:color w:val="auto"/>
              </w:rPr>
            </w:pPr>
            <w:r>
              <w:rPr>
                <w:rFonts w:ascii="Arial" w:cs="Arial" w:eastAsia="Arial" w:hAnsi="Arial"/>
                <w:sz w:val="16"/>
                <w:szCs w:val="16"/>
                <w:color w:val="auto"/>
              </w:rPr>
              <w:t>79,935</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5,713</w:t>
            </w: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1000" w:type="dxa"/>
            <w:vAlign w:val="bottom"/>
            <w:gridSpan w:val="2"/>
          </w:tcPr>
          <w:p>
            <w:pPr>
              <w:jc w:val="right"/>
              <w:ind w:right="22"/>
              <w:spacing w:after="0"/>
              <w:rPr>
                <w:sz w:val="20"/>
                <w:szCs w:val="20"/>
                <w:color w:val="auto"/>
              </w:rPr>
            </w:pPr>
            <w:r>
              <w:rPr>
                <w:rFonts w:ascii="Arial" w:cs="Arial" w:eastAsia="Arial" w:hAnsi="Arial"/>
                <w:sz w:val="16"/>
                <w:szCs w:val="16"/>
                <w:color w:val="auto"/>
              </w:rPr>
              <w:t>99,263</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94,716</w:t>
            </w: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4,547</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96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65,543</w:t>
            </w:r>
          </w:p>
        </w:tc>
        <w:tc>
          <w:tcPr>
            <w:tcW w:w="3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61,251</w:t>
            </w:r>
          </w:p>
        </w:tc>
        <w:tc>
          <w:tcPr>
            <w:tcW w:w="8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4,292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86,100</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79,802</w:t>
            </w:r>
          </w:p>
        </w:tc>
        <w:tc>
          <w:tcPr>
            <w:tcW w:w="12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6,298</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7.9%</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October</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27,372</w:t>
            </w:r>
          </w:p>
        </w:tc>
        <w:tc>
          <w:tcPr>
            <w:tcW w:w="340" w:type="dxa"/>
            <w:vAlign w:val="bottom"/>
          </w:tcPr>
          <w:p>
            <w:pPr>
              <w:spacing w:after="0"/>
              <w:rPr>
                <w:sz w:val="22"/>
                <w:szCs w:val="22"/>
                <w:color w:val="auto"/>
              </w:rPr>
            </w:pPr>
          </w:p>
        </w:tc>
        <w:tc>
          <w:tcPr>
            <w:tcW w:w="1460" w:type="dxa"/>
            <w:vAlign w:val="bottom"/>
          </w:tcPr>
          <w:p>
            <w:pPr>
              <w:jc w:val="right"/>
              <w:ind w:right="361"/>
              <w:spacing w:after="0"/>
              <w:rPr>
                <w:sz w:val="20"/>
                <w:szCs w:val="20"/>
                <w:color w:val="auto"/>
              </w:rPr>
            </w:pPr>
            <w:r>
              <w:rPr>
                <w:rFonts w:ascii="Arial" w:cs="Arial" w:eastAsia="Arial" w:hAnsi="Arial"/>
                <w:sz w:val="16"/>
                <w:szCs w:val="16"/>
                <w:color w:val="auto"/>
              </w:rPr>
              <w:t>24,383</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2,989</w:t>
            </w: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c>
          <w:tcPr>
            <w:tcW w:w="1000" w:type="dxa"/>
            <w:vAlign w:val="bottom"/>
            <w:gridSpan w:val="2"/>
          </w:tcPr>
          <w:p>
            <w:pPr>
              <w:jc w:val="right"/>
              <w:ind w:right="22"/>
              <w:spacing w:after="0"/>
              <w:rPr>
                <w:sz w:val="20"/>
                <w:szCs w:val="20"/>
                <w:color w:val="auto"/>
              </w:rPr>
            </w:pPr>
            <w:r>
              <w:rPr>
                <w:rFonts w:ascii="Arial" w:cs="Arial" w:eastAsia="Arial" w:hAnsi="Arial"/>
                <w:sz w:val="16"/>
                <w:szCs w:val="16"/>
                <w:color w:val="auto"/>
              </w:rPr>
              <w:t>18,547</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17,400</w:t>
            </w: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1,147</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6.6%</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9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November</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22,228</w:t>
            </w: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17,932</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4,296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11,567</w:t>
            </w:r>
          </w:p>
        </w:tc>
        <w:tc>
          <w:tcPr>
            <w:tcW w:w="1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December</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20,460</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14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17,789</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2,671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8,087</w:t>
            </w:r>
          </w:p>
        </w:tc>
        <w:tc>
          <w:tcPr>
            <w:tcW w:w="1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70,060</w:t>
            </w:r>
          </w:p>
        </w:tc>
        <w:tc>
          <w:tcPr>
            <w:tcW w:w="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46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60,104</w:t>
            </w:r>
          </w:p>
        </w:tc>
        <w:tc>
          <w:tcPr>
            <w:tcW w:w="8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9,956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37,054</w:t>
            </w: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100" w:type="dxa"/>
            <w:vAlign w:val="bottom"/>
            <w:vMerge w:val="restart"/>
          </w:tcPr>
          <w:p>
            <w:pPr>
              <w:jc w:val="right"/>
              <w:ind w:right="20"/>
              <w:spacing w:after="0"/>
              <w:rPr>
                <w:sz w:val="20"/>
                <w:szCs w:val="20"/>
                <w:color w:val="auto"/>
              </w:rPr>
            </w:pPr>
            <w:r>
              <w:rPr>
                <w:rFonts w:ascii="Arial" w:cs="Arial" w:eastAsia="Arial" w:hAnsi="Arial"/>
                <w:sz w:val="16"/>
                <w:szCs w:val="16"/>
                <w:color w:val="auto"/>
              </w:rPr>
              <w:t>296,709</w:t>
            </w: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460" w:type="dxa"/>
            <w:vAlign w:val="bottom"/>
            <w:vMerge w:val="restart"/>
          </w:tcPr>
          <w:p>
            <w:pPr>
              <w:jc w:val="right"/>
              <w:ind w:right="361"/>
              <w:spacing w:after="0"/>
              <w:rPr>
                <w:sz w:val="20"/>
                <w:szCs w:val="20"/>
                <w:color w:val="auto"/>
              </w:rPr>
            </w:pPr>
            <w:r>
              <w:rPr>
                <w:rFonts w:ascii="Arial" w:cs="Arial" w:eastAsia="Arial" w:hAnsi="Arial"/>
                <w:sz w:val="16"/>
                <w:szCs w:val="16"/>
                <w:color w:val="auto"/>
              </w:rPr>
              <w:t>268,035</w:t>
            </w:r>
          </w:p>
        </w:tc>
        <w:tc>
          <w:tcPr>
            <w:tcW w:w="860" w:type="dxa"/>
            <w:vAlign w:val="bottom"/>
            <w:vMerge w:val="restart"/>
          </w:tcPr>
          <w:p>
            <w:pPr>
              <w:jc w:val="right"/>
              <w:ind w:right="101"/>
              <w:spacing w:after="0"/>
              <w:rPr>
                <w:sz w:val="20"/>
                <w:szCs w:val="20"/>
                <w:color w:val="auto"/>
              </w:rPr>
            </w:pPr>
            <w:r>
              <w:rPr>
                <w:rFonts w:ascii="Arial" w:cs="Arial" w:eastAsia="Arial" w:hAnsi="Arial"/>
                <w:sz w:val="16"/>
                <w:szCs w:val="16"/>
                <w:color w:val="auto"/>
              </w:rPr>
              <w:t>28,674</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21"/>
              <w:spacing w:after="0"/>
              <w:rPr>
                <w:sz w:val="20"/>
                <w:szCs w:val="20"/>
                <w:color w:val="auto"/>
              </w:rPr>
            </w:pPr>
            <w:r>
              <w:rPr>
                <w:rFonts w:ascii="Arial" w:cs="Arial" w:eastAsia="Arial" w:hAnsi="Arial"/>
                <w:sz w:val="16"/>
                <w:szCs w:val="16"/>
                <w:color w:val="auto"/>
              </w:rPr>
              <w:t>254,559</w:t>
            </w: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960" w:type="dxa"/>
            <w:vAlign w:val="bottom"/>
            <w:tcBorders>
              <w:bottom w:val="single" w:sz="8" w:color="CCEEFF"/>
            </w:tcBorders>
            <w:vMerge w:val="continue"/>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960" w:type="dxa"/>
            <w:vAlign w:val="bottom"/>
            <w:tcBorders>
              <w:left w:val="single" w:sz="8" w:color="CCEEFF"/>
            </w:tcBorders>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1960" w:type="dxa"/>
            <w:vAlign w:val="bottom"/>
          </w:tcPr>
          <w:p>
            <w:pPr>
              <w:ind w:left="40"/>
              <w:spacing w:after="0"/>
              <w:rPr>
                <w:sz w:val="20"/>
                <w:szCs w:val="20"/>
                <w:color w:val="auto"/>
              </w:rPr>
            </w:pPr>
            <w:r>
              <w:rPr>
                <w:rFonts w:ascii="Arial" w:cs="Arial" w:eastAsia="Arial" w:hAnsi="Arial"/>
                <w:sz w:val="32"/>
                <w:szCs w:val="32"/>
                <w:color w:val="auto"/>
                <w:vertAlign w:val="subscript"/>
              </w:rPr>
              <w:t>YTD</w:t>
            </w:r>
            <w:r>
              <w:rPr>
                <w:rFonts w:ascii="Arial" w:cs="Arial" w:eastAsia="Arial" w:hAnsi="Arial"/>
                <w:sz w:val="11"/>
                <w:szCs w:val="11"/>
                <w:color w:val="auto"/>
              </w:rPr>
              <w:t xml:space="preserve"> (5)</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276,249</w:t>
            </w:r>
          </w:p>
        </w:tc>
        <w:tc>
          <w:tcPr>
            <w:tcW w:w="340" w:type="dxa"/>
            <w:vAlign w:val="bottom"/>
          </w:tcPr>
          <w:p>
            <w:pPr>
              <w:spacing w:after="0"/>
              <w:rPr>
                <w:sz w:val="24"/>
                <w:szCs w:val="24"/>
                <w:color w:val="auto"/>
              </w:rPr>
            </w:pPr>
          </w:p>
        </w:tc>
        <w:tc>
          <w:tcPr>
            <w:tcW w:w="1460" w:type="dxa"/>
            <w:vAlign w:val="bottom"/>
          </w:tcPr>
          <w:p>
            <w:pPr>
              <w:jc w:val="right"/>
              <w:ind w:right="361"/>
              <w:spacing w:after="0"/>
              <w:rPr>
                <w:sz w:val="20"/>
                <w:szCs w:val="20"/>
                <w:color w:val="auto"/>
              </w:rPr>
            </w:pPr>
            <w:r>
              <w:rPr>
                <w:rFonts w:ascii="Arial" w:cs="Arial" w:eastAsia="Arial" w:hAnsi="Arial"/>
                <w:sz w:val="16"/>
                <w:szCs w:val="16"/>
                <w:color w:val="auto"/>
              </w:rPr>
              <w:t>250,246</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26,003</w:t>
            </w:r>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c>
          <w:tcPr>
            <w:tcW w:w="1000" w:type="dxa"/>
            <w:vAlign w:val="bottom"/>
            <w:gridSpan w:val="2"/>
          </w:tcPr>
          <w:p>
            <w:pPr>
              <w:jc w:val="right"/>
              <w:ind w:right="22"/>
              <w:spacing w:after="0"/>
              <w:rPr>
                <w:sz w:val="20"/>
                <w:szCs w:val="20"/>
                <w:color w:val="auto"/>
              </w:rPr>
            </w:pPr>
            <w:r>
              <w:rPr>
                <w:rFonts w:ascii="Arial" w:cs="Arial" w:eastAsia="Arial" w:hAnsi="Arial"/>
                <w:sz w:val="16"/>
                <w:szCs w:val="16"/>
                <w:color w:val="auto"/>
              </w:rPr>
              <w:t>249,849</w:t>
            </w:r>
          </w:p>
        </w:tc>
        <w:tc>
          <w:tcPr>
            <w:tcW w:w="3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234,905</w:t>
            </w: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14,944</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13"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99"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sectPr>
          <w:pgSz w:w="11900" w:h="16838" w:orient="portrait"/>
          <w:cols w:equalWidth="0" w:num="1">
            <w:col w:w="11440"/>
          </w:cols>
          <w:pgMar w:left="240" w:top="141" w:right="219" w:bottom="1146"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41" w:right="219" w:bottom="1146"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51" w:lineRule="exact"/>
        <w:rPr>
          <w:sz w:val="20"/>
          <w:szCs w:val="20"/>
          <w:color w:val="auto"/>
        </w:rPr>
      </w:pPr>
    </w:p>
    <w:p>
      <w:pPr>
        <w:ind w:left="340" w:right="260" w:hanging="332"/>
        <w:spacing w:after="0" w:line="220"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2014 towable wholesale shipments are based upon the forecast prepared by Dr. Richard Curtin of the University of Michigan Consumer Survey Research Center for RVIA and reported in the Roadsigns RV Winter 2014 Industry Forecast Issue. The revised RVIA annual 2014 wholesale shipment forecast is 288,700 and the annual forecast for 2015 is 301,000.</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retail demand for this period.</w:t>
      </w:r>
    </w:p>
    <w:p>
      <w:pPr>
        <w:ind w:left="340" w:hanging="332"/>
        <w:spacing w:after="0" w:line="199"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YTD wholesale shipments include January through November; YTD retail registrations include January through October.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Our motorized dealer backlog is an indicator of demand for our product in the current marketplace. We believe that the decrease in our backlog (as noted in the table below) is a result of more timely delivery through increased production rates and improved chassis supply. We continued to increase our production rates during the first fiscal quarter of Fiscal 2015. In Fiscal 2014 we leased an additional production facility to facilitate the increased production rate and to reach an additional labor market.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motorized sales order backlog of 2,122 as of November 29, 2014 represents orders to be shipped in the next two quarters: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32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26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320" w:type="dxa"/>
            <w:vAlign w:val="bottom"/>
          </w:tcPr>
          <w:p>
            <w:pPr>
              <w:spacing w:after="0"/>
              <w:rPr>
                <w:sz w:val="17"/>
                <w:szCs w:val="17"/>
                <w:color w:val="auto"/>
              </w:rPr>
            </w:pPr>
          </w:p>
        </w:tc>
        <w:tc>
          <w:tcPr>
            <w:tcW w:w="2340" w:type="dxa"/>
            <w:vAlign w:val="bottom"/>
            <w:gridSpan w:val="3"/>
          </w:tcPr>
          <w:p>
            <w:pPr>
              <w:ind w:left="320"/>
              <w:spacing w:after="0"/>
              <w:rPr>
                <w:sz w:val="20"/>
                <w:szCs w:val="20"/>
                <w:color w:val="auto"/>
              </w:rPr>
            </w:pPr>
            <w:r>
              <w:rPr>
                <w:rFonts w:ascii="Arial" w:cs="Arial" w:eastAsia="Arial" w:hAnsi="Arial"/>
                <w:sz w:val="14"/>
                <w:szCs w:val="14"/>
                <w:b w:val="1"/>
                <w:bCs w:val="1"/>
                <w:color w:val="auto"/>
              </w:rPr>
              <w:t>November 29, 2014</w:t>
            </w:r>
          </w:p>
        </w:tc>
        <w:tc>
          <w:tcPr>
            <w:tcW w:w="320" w:type="dxa"/>
            <w:vAlign w:val="bottom"/>
          </w:tcPr>
          <w:p>
            <w:pPr>
              <w:spacing w:after="0"/>
              <w:rPr>
                <w:sz w:val="17"/>
                <w:szCs w:val="17"/>
                <w:color w:val="auto"/>
              </w:rPr>
            </w:pPr>
          </w:p>
        </w:tc>
        <w:tc>
          <w:tcPr>
            <w:tcW w:w="2340" w:type="dxa"/>
            <w:vAlign w:val="bottom"/>
            <w:gridSpan w:val="3"/>
          </w:tcPr>
          <w:p>
            <w:pPr>
              <w:ind w:left="320"/>
              <w:spacing w:after="0"/>
              <w:rPr>
                <w:sz w:val="20"/>
                <w:szCs w:val="20"/>
                <w:color w:val="auto"/>
              </w:rPr>
            </w:pPr>
            <w:r>
              <w:rPr>
                <w:rFonts w:ascii="Arial" w:cs="Arial" w:eastAsia="Arial" w:hAnsi="Arial"/>
                <w:sz w:val="14"/>
                <w:szCs w:val="14"/>
                <w:b w:val="1"/>
                <w:bCs w:val="1"/>
                <w:color w:val="auto"/>
              </w:rPr>
              <w:t>November 30, 2013</w:t>
            </w:r>
          </w:p>
        </w:tc>
        <w:tc>
          <w:tcPr>
            <w:tcW w:w="240" w:type="dxa"/>
            <w:vAlign w:val="bottom"/>
          </w:tcPr>
          <w:p>
            <w:pPr>
              <w:spacing w:after="0"/>
              <w:rPr>
                <w:sz w:val="17"/>
                <w:szCs w:val="17"/>
                <w:color w:val="auto"/>
              </w:rPr>
            </w:pPr>
          </w:p>
        </w:tc>
        <w:tc>
          <w:tcPr>
            <w:tcW w:w="1280" w:type="dxa"/>
            <w:vAlign w:val="bottom"/>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2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429</w:t>
            </w: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3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39.1%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(953)</w:t>
            </w:r>
          </w:p>
        </w:tc>
        <w:tc>
          <w:tcPr>
            <w:tcW w:w="13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(69.0)%</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303</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(218)</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(41.8)%</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732</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(1,171)</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(61.5)%</w:t>
            </w: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320"/>
              <w:spacing w:after="0"/>
              <w:rPr>
                <w:sz w:val="20"/>
                <w:szCs w:val="20"/>
                <w:color w:val="auto"/>
              </w:rPr>
            </w:pPr>
            <w:r>
              <w:rPr>
                <w:rFonts w:ascii="Arial" w:cs="Arial" w:eastAsia="Arial" w:hAnsi="Arial"/>
                <w:sz w:val="16"/>
                <w:szCs w:val="16"/>
                <w:color w:val="auto"/>
              </w:rPr>
              <w:t>23</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7.3 %</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1,050</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(264)</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(20.1)%</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2,122</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3,534</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(1,412)</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(40.0)%</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280"/>
              <w:spacing w:after="0"/>
              <w:rPr>
                <w:sz w:val="20"/>
                <w:szCs w:val="20"/>
                <w:color w:val="auto"/>
              </w:rPr>
            </w:pPr>
            <w:r>
              <w:rPr>
                <w:rFonts w:ascii="Arial" w:cs="Arial" w:eastAsia="Arial" w:hAnsi="Arial"/>
                <w:sz w:val="16"/>
                <w:szCs w:val="16"/>
                <w:color w:val="auto"/>
              </w:rPr>
              <w:t>(23)</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(19.7)%</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26</w:t>
            </w: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76.5 %</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3</w:t>
            </w: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2.0 %</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201,373</w:t>
            </w: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340,703</w:t>
            </w: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(139,330)</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(40.9)%</w:t>
            </w:r>
          </w:p>
        </w:tc>
      </w:tr>
      <w:tr>
        <w:trPr>
          <w:trHeight w:val="251"/>
        </w:trPr>
        <w:tc>
          <w:tcPr>
            <w:tcW w:w="3260" w:type="dxa"/>
            <w:vAlign w:val="bottom"/>
          </w:tcPr>
          <w:p>
            <w:pPr>
              <w:ind w:left="4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4,837</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3,401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0"/>
              <w:spacing w:after="0"/>
              <w:rPr>
                <w:sz w:val="20"/>
                <w:szCs w:val="20"/>
                <w:color w:val="auto"/>
              </w:rPr>
            </w:pPr>
            <w:r>
              <w:rPr>
                <w:rFonts w:ascii="Arial" w:cs="Arial" w:eastAsia="Arial" w:hAnsi="Arial"/>
                <w:sz w:val="16"/>
                <w:szCs w:val="16"/>
                <w:color w:val="auto"/>
              </w:rPr>
              <w:t>1,436</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42.2 %</w:t>
            </w:r>
          </w:p>
        </w:tc>
      </w:tr>
    </w:tbl>
    <w:p>
      <w:pPr>
        <w:ind w:left="240" w:hanging="232"/>
        <w:spacing w:after="0" w:line="216" w:lineRule="auto"/>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240" w:right="80" w:hanging="232"/>
        <w:spacing w:after="0" w:line="218" w:lineRule="auto"/>
        <w:tabs>
          <w:tab w:leader="none" w:pos="2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purchase orders from dealers to be shipped within the next six months. Orders in backlog can be cancelled or postponed at the option of the purchaser and, therefore, backlog may not necessarily be an accurate measure of future sales.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unit dealer inventory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800" w:type="dxa"/>
            <w:vAlign w:val="bottom"/>
          </w:tcPr>
          <w:p>
            <w:pPr>
              <w:jc w:val="right"/>
              <w:ind w:right="183"/>
              <w:spacing w:after="0"/>
              <w:rPr>
                <w:sz w:val="20"/>
                <w:szCs w:val="20"/>
                <w:color w:val="auto"/>
              </w:rPr>
            </w:pPr>
            <w:r>
              <w:rPr>
                <w:rFonts w:ascii="Arial" w:cs="Arial" w:eastAsia="Arial" w:hAnsi="Arial"/>
                <w:sz w:val="14"/>
                <w:szCs w:val="14"/>
                <w:b w:val="1"/>
                <w:bCs w:val="1"/>
                <w:color w:val="auto"/>
              </w:rPr>
              <w:t>November 29,</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30,</w:t>
            </w:r>
          </w:p>
        </w:tc>
        <w:tc>
          <w:tcPr>
            <w:tcW w:w="1420" w:type="dxa"/>
            <w:vAlign w:val="bottom"/>
          </w:tcPr>
          <w:p>
            <w:pPr>
              <w:spacing w:after="0"/>
              <w:rPr>
                <w:sz w:val="14"/>
                <w:szCs w:val="14"/>
                <w:color w:val="auto"/>
              </w:rPr>
            </w:pPr>
          </w:p>
        </w:tc>
        <w:tc>
          <w:tcPr>
            <w:tcW w:w="12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196"/>
        </w:trPr>
        <w:tc>
          <w:tcPr>
            <w:tcW w:w="35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2014</w:t>
            </w: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6"/>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38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4,192</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3,135</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1,057</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33.7%</w:t>
            </w:r>
          </w:p>
        </w:tc>
      </w:tr>
      <w:tr>
        <w:trPr>
          <w:trHeight w:val="251"/>
        </w:trPr>
        <w:tc>
          <w:tcPr>
            <w:tcW w:w="3520" w:type="dxa"/>
            <w:vAlign w:val="bottom"/>
          </w:tcPr>
          <w:p>
            <w:pPr>
              <w:ind w:left="40"/>
              <w:spacing w:after="0"/>
              <w:rPr>
                <w:sz w:val="20"/>
                <w:szCs w:val="20"/>
                <w:color w:val="auto"/>
              </w:rPr>
            </w:pPr>
            <w:r>
              <w:rPr>
                <w:rFonts w:ascii="Arial" w:cs="Arial" w:eastAsia="Arial" w:hAnsi="Arial"/>
                <w:sz w:val="16"/>
                <w:szCs w:val="16"/>
                <w:color w:val="auto"/>
              </w:rPr>
              <w:t>Towables</w:t>
            </w:r>
          </w:p>
        </w:tc>
        <w:tc>
          <w:tcPr>
            <w:tcW w:w="3800" w:type="dxa"/>
            <w:vAlign w:val="bottom"/>
          </w:tcPr>
          <w:p>
            <w:pPr>
              <w:jc w:val="right"/>
              <w:ind w:right="83"/>
              <w:spacing w:after="0"/>
              <w:rPr>
                <w:sz w:val="20"/>
                <w:szCs w:val="20"/>
                <w:color w:val="auto"/>
              </w:rPr>
            </w:pPr>
            <w:r>
              <w:rPr>
                <w:rFonts w:ascii="Arial" w:cs="Arial" w:eastAsia="Arial" w:hAnsi="Arial"/>
                <w:sz w:val="16"/>
                <w:szCs w:val="16"/>
                <w:color w:val="auto"/>
              </w:rPr>
              <w:t>1,682</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1,591</w:t>
            </w:r>
          </w:p>
        </w:tc>
        <w:tc>
          <w:tcPr>
            <w:tcW w:w="120" w:type="dxa"/>
            <w:vAlign w:val="bottom"/>
          </w:tcPr>
          <w:p>
            <w:pPr>
              <w:spacing w:after="0"/>
              <w:rPr>
                <w:sz w:val="21"/>
                <w:szCs w:val="21"/>
                <w:color w:val="auto"/>
              </w:rPr>
            </w:pPr>
          </w:p>
        </w:tc>
        <w:tc>
          <w:tcPr>
            <w:tcW w:w="1420" w:type="dxa"/>
            <w:vAlign w:val="bottom"/>
          </w:tcPr>
          <w:p>
            <w:pPr>
              <w:jc w:val="right"/>
              <w:ind w:right="222"/>
              <w:spacing w:after="0"/>
              <w:rPr>
                <w:sz w:val="20"/>
                <w:szCs w:val="20"/>
                <w:color w:val="auto"/>
              </w:rPr>
            </w:pPr>
            <w:r>
              <w:rPr>
                <w:rFonts w:ascii="Arial" w:cs="Arial" w:eastAsia="Arial" w:hAnsi="Arial"/>
                <w:sz w:val="16"/>
                <w:szCs w:val="16"/>
                <w:color w:val="auto"/>
              </w:rPr>
              <w:t>91</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5.7%</w:t>
            </w:r>
          </w:p>
        </w:tc>
      </w:tr>
    </w:tbl>
    <w:p>
      <w:pPr>
        <w:spacing w:after="0" w:line="210"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We believe that the increased level of our motorized dealer inventory at the end of the first quarter of Fiscal 2015 is aligned with current market conditions given the improved retail demand and the strong sales order backlog of our product. We have introduced a number of new products in the past year (Class A gas: Brave, Tribute; Class B: Travato; Class C: Trend, Viva; Class A diesel: Forza, Solei), many of these products were delivered to the dealers during Fiscal 2014 for their initial stocking. We believe that these innovative products will generate additional retail demand in the coming quarters. We have also expanded our points of distribution for these new product offerings in the past year as our dealer physical locations have increased as well as our product line points of distribution at these locations, which is another factor contributing to our dealer inventory growth.</w:t>
      </w:r>
    </w:p>
    <w:p>
      <w:pPr>
        <w:spacing w:after="0" w:line="17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recreation vehicle industry has, from time to time, experienced shortages of chassis due to various causes such as component shortages and/or production delays due to quality issues at the chassis manufacturers. In the first half of Fiscal 2014 we experienced shortages of certain motorized RV chassis which negatively affected our sales and earnings. Conditions improved during the second half of Fiscal 2014 with Ford’s improved Class A chassis supply and resolution of their Class A chassis quality issues which had caused a supply constraint. We continue to closely monitor our chassis suppliers and work with them to minimize impact to our production.</w:t>
      </w:r>
    </w:p>
    <w:p>
      <w:pPr>
        <w:spacing w:after="0" w:line="17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motorized production facilities are located in sparsely populated areas of Iowa. In addition, the unemployment rate in these areas are currently low. These factors limit our ability to increase motorized production volumes at a more rapid pace. As we are able increase the production rate, we have also incurred incremental operating expenses associated with overtime and workers compensation expense.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4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29,</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30,</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32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224,403</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222,670</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1,733</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0.8 %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200,017</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196,708</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3,309</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24,386</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25,962</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(1,576)</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r>
      <w:tr>
        <w:trPr>
          <w:trHeight w:val="284"/>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4,707</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4,333</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374</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5,237</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5,623</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(386)</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9,944</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9,956</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84"/>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14,442</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16,006</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(1,564)</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r>
      <w:tr>
        <w:trPr>
          <w:trHeight w:val="264"/>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91</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(84)</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(92.3)%</w:t>
            </w:r>
          </w:p>
        </w:tc>
      </w:tr>
      <w:tr>
        <w:trPr>
          <w:trHeight w:val="257"/>
        </w:trPr>
        <w:tc>
          <w:tcPr>
            <w:tcW w:w="29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14,449</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16,097</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(1,648)</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4,554</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4,951</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(397)</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w:t>
            </w:r>
          </w:p>
        </w:tc>
      </w:tr>
      <w:tr>
        <w:trPr>
          <w:trHeight w:val="24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9,895</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11,146</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(1,251)</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5"/>
        </w:trPr>
        <w:tc>
          <w:tcPr>
            <w:tcW w:w="2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0.37</w:t>
            </w: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0.40</w:t>
            </w: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(0.03)</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r>
      <w:tr>
        <w:trPr>
          <w:trHeight w:val="251"/>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tcPr>
          <w:p>
            <w:pPr>
              <w:spacing w:after="0"/>
              <w:rPr>
                <w:sz w:val="21"/>
                <w:szCs w:val="21"/>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27,078</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27,971</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(893)</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(3.2)%</w:t>
            </w:r>
          </w:p>
        </w:tc>
      </w:tr>
    </w:tbl>
    <w:p>
      <w:pPr>
        <w:spacing w:after="0" w:line="4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29,</w:t>
            </w: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auto"/>
              </w:rPr>
              <w:t>November 30,</w:t>
            </w: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12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260" w:type="dxa"/>
            <w:vAlign w:val="bottom"/>
            <w:tcBorders>
              <w:bottom w:val="single" w:sz="8" w:color="auto"/>
            </w:tcBorders>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0"/>
        </w:trPr>
        <w:tc>
          <w:tcPr>
            <w:tcW w:w="284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140" w:type="dxa"/>
            <w:vAlign w:val="bottom"/>
          </w:tcPr>
          <w:p>
            <w:pPr>
              <w:spacing w:after="0"/>
              <w:rPr>
                <w:sz w:val="22"/>
                <w:szCs w:val="22"/>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615</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710</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(95)</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(13.4)%</w:t>
            </w:r>
          </w:p>
        </w:tc>
      </w:tr>
      <w:tr>
        <w:trPr>
          <w:trHeight w:val="273"/>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312</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397</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(85)</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r>
      <w:tr>
        <w:trPr>
          <w:trHeight w:val="247"/>
        </w:trPr>
        <w:tc>
          <w:tcPr>
            <w:tcW w:w="284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140" w:type="dxa"/>
            <w:vAlign w:val="bottom"/>
          </w:tcPr>
          <w:p>
            <w:pPr>
              <w:spacing w:after="0"/>
              <w:rPr>
                <w:sz w:val="21"/>
                <w:szCs w:val="21"/>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927</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1,107</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(180)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(16.3)%</w:t>
            </w:r>
          </w:p>
        </w:tc>
      </w:tr>
      <w:tr>
        <w:trPr>
          <w:trHeight w:val="280"/>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188</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86</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84.3 %</w:t>
            </w:r>
          </w:p>
        </w:tc>
      </w:tr>
      <w:tr>
        <w:trPr>
          <w:trHeight w:val="264"/>
        </w:trPr>
        <w:tc>
          <w:tcPr>
            <w:tcW w:w="2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916</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45.1%</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796</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120</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15.1 %</w:t>
            </w:r>
          </w:p>
        </w:tc>
      </w:tr>
      <w:tr>
        <w:trPr>
          <w:trHeight w:val="240"/>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2,031</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2,005</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26</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1.3 %</w:t>
            </w: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284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98.3</w:t>
            </w:r>
          </w:p>
        </w:tc>
        <w:tc>
          <w:tcPr>
            <w:tcW w:w="1120" w:type="dxa"/>
            <w:vAlign w:val="bottom"/>
          </w:tcPr>
          <w:p>
            <w:pPr>
              <w:spacing w:after="0"/>
              <w:rPr>
                <w:sz w:val="21"/>
                <w:szCs w:val="21"/>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100.5</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(2.2)</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(2.2)%</w:t>
            </w:r>
          </w:p>
        </w:tc>
      </w:tr>
      <w:tr>
        <w:trPr>
          <w:trHeight w:val="280"/>
        </w:trPr>
        <w:tc>
          <w:tcPr>
            <w:tcW w:w="2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284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Travel trailer</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461</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84.4%</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407</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54</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13.3 %</w:t>
            </w:r>
          </w:p>
        </w:tc>
      </w:tr>
      <w:tr>
        <w:trPr>
          <w:trHeight w:val="264"/>
        </w:trPr>
        <w:tc>
          <w:tcPr>
            <w:tcW w:w="2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85</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77</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10.4 %</w:t>
            </w:r>
          </w:p>
        </w:tc>
      </w:tr>
      <w:tr>
        <w:trPr>
          <w:trHeight w:val="240"/>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towable deliveries</w:t>
            </w: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546</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484</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62</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12.8 %</w:t>
            </w: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4"/>
        </w:trPr>
        <w:tc>
          <w:tcPr>
            <w:tcW w:w="284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25.1</w:t>
            </w:r>
          </w:p>
        </w:tc>
        <w:tc>
          <w:tcPr>
            <w:tcW w:w="112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21.6</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3.4</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15.8 %</w:t>
            </w:r>
          </w:p>
        </w:tc>
      </w:tr>
      <w:tr>
        <w:trPr>
          <w:trHeight w:val="249"/>
        </w:trPr>
        <w:tc>
          <w:tcPr>
            <w:tcW w:w="4400" w:type="dxa"/>
            <w:vAlign w:val="bottom"/>
            <w:gridSpan w:val="4"/>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Percentages may not add due to rounding differences.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589"/>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6"/>
                <w:szCs w:val="16"/>
                <w:color w:val="auto"/>
              </w:rPr>
              <w:t>16</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304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November 29,</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November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203,042</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204,385</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(1,343)</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r>
      <w:tr>
        <w:trPr>
          <w:trHeight w:val="270"/>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520" w:type="dxa"/>
            <w:vAlign w:val="bottom"/>
          </w:tcPr>
          <w:p>
            <w:pPr>
              <w:jc w:val="right"/>
              <w:ind w:right="619"/>
              <w:spacing w:after="0"/>
              <w:rPr>
                <w:sz w:val="20"/>
                <w:szCs w:val="20"/>
                <w:color w:val="auto"/>
              </w:rPr>
            </w:pPr>
            <w:r>
              <w:rPr>
                <w:rFonts w:ascii="Arial" w:cs="Arial" w:eastAsia="Arial" w:hAnsi="Arial"/>
                <w:sz w:val="16"/>
                <w:szCs w:val="16"/>
                <w:color w:val="auto"/>
              </w:rPr>
              <w:t>13,606</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80" w:type="dxa"/>
            <w:vAlign w:val="bottom"/>
          </w:tcPr>
          <w:p>
            <w:pPr>
              <w:jc w:val="right"/>
              <w:ind w:right="599"/>
              <w:spacing w:after="0"/>
              <w:rPr>
                <w:sz w:val="20"/>
                <w:szCs w:val="20"/>
                <w:color w:val="auto"/>
              </w:rPr>
            </w:pPr>
            <w:r>
              <w:rPr>
                <w:rFonts w:ascii="Arial" w:cs="Arial" w:eastAsia="Arial" w:hAnsi="Arial"/>
                <w:sz w:val="16"/>
                <w:szCs w:val="16"/>
                <w:color w:val="auto"/>
              </w:rPr>
              <w:t>10,531</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3,075</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29.2 %</w:t>
            </w:r>
          </w:p>
        </w:tc>
      </w:tr>
      <w:tr>
        <w:trPr>
          <w:trHeight w:val="264"/>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7,755</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7,754</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37"/>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619"/>
              <w:spacing w:after="0"/>
              <w:rPr>
                <w:sz w:val="20"/>
                <w:szCs w:val="20"/>
                <w:color w:val="auto"/>
              </w:rPr>
            </w:pPr>
            <w:r>
              <w:rPr>
                <w:rFonts w:ascii="Arial" w:cs="Arial" w:eastAsia="Arial" w:hAnsi="Arial"/>
                <w:sz w:val="16"/>
                <w:szCs w:val="16"/>
                <w:color w:val="auto"/>
              </w:rPr>
              <w:t>224,403</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599"/>
              <w:spacing w:after="0"/>
              <w:rPr>
                <w:sz w:val="20"/>
                <w:szCs w:val="20"/>
                <w:color w:val="auto"/>
              </w:rPr>
            </w:pPr>
            <w:r>
              <w:rPr>
                <w:rFonts w:ascii="Arial" w:cs="Arial" w:eastAsia="Arial" w:hAnsi="Arial"/>
                <w:sz w:val="16"/>
                <w:szCs w:val="16"/>
                <w:color w:val="auto"/>
              </w:rPr>
              <w:t>222,670</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1,733</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3810</wp:posOffset>
            </wp:positionV>
            <wp:extent cx="532574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ind w:left="260" w:hanging="238"/>
        <w:spacing w:after="0"/>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 and net motorhome lease revenue.</w:t>
      </w:r>
    </w:p>
    <w:p>
      <w:pPr>
        <w:ind w:left="260" w:hanging="238"/>
        <w:spacing w:after="0" w:line="199" w:lineRule="auto"/>
        <w:tabs>
          <w:tab w:leader="none" w:pos="2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Motorhome net revenues decreased $1.3 million or 0.7% in the first quarter of Fiscal 2015. The decrease was attributed primarily to a decrease in motorhome ASP of 2.2% partially offset by a 1.3% increase in unit deliveries driven by higher dealer and retail consumer demand as compared to the same period a year ago. The decrease in ASP was primarily due to a shift in class A diesel product to lower price points and a higher percent of Class B and C unit sales in the first quarter of Fiscal 2015.</w:t>
      </w:r>
    </w:p>
    <w:p>
      <w:pPr>
        <w:spacing w:after="0" w:line="176"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increase in Towables revenues of $3.1 million or 29.2% was attributed to an increase in ASP of 15.8% and a 12.8% increase in unit deliveries as compared to the first quarter of Fiscal 2014.</w:t>
      </w:r>
    </w:p>
    <w:p>
      <w:pPr>
        <w:spacing w:after="0" w:line="169"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Cost of goods sold was $200.0 million, or 89.1% of net revenues for the first quarter of Fiscal 2015 compared to $196.7 million, or 88.3% of net revenues for the same period a year ago due to the following:</w:t>
      </w:r>
    </w:p>
    <w:p>
      <w:pPr>
        <w:spacing w:after="0" w:line="1" w:lineRule="exact"/>
        <w:rPr>
          <w:sz w:val="20"/>
          <w:szCs w:val="20"/>
          <w:color w:val="auto"/>
        </w:rPr>
      </w:pPr>
    </w:p>
    <w:p>
      <w:pPr>
        <w:ind w:left="340" w:right="72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increased to 83.9% compared to 83.2%. The increase is primarily due to higher labor-related expenses in Fiscal 2015, notably workers' compensation.</w:t>
      </w:r>
    </w:p>
    <w:p>
      <w:pPr>
        <w:ind w:left="340" w:right="64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were flat at 5.2% of net revenues in both periods.</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factors considered, gross profit decreased to 10.9% from 11.7% of net revenues.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were $4.7 million and $4.3 million, or 2.1% and 1.9% of net revenues in the first quarter of Fiscal 2015 and Fiscal 2014,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Increases in the first quarter of Fiscal 2015 included wage-related expenses and advertising expenses as compared to the prior year.</w:t>
      </w:r>
    </w:p>
    <w:p>
      <w:pPr>
        <w:spacing w:after="0" w:line="16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General and administrative expenses were $5.2 million and $5.6 million, or 2.3% and 2.5% of net revenues in the first quarter of Fiscal 2015 and Fiscal 2014, respectively. The decrease in the first quarter of Fiscal 2015 was primarily related to reductions in wage-related expenses and was partially offset by an increase in legal expenses.</w:t>
      </w:r>
    </w:p>
    <w:p>
      <w:pPr>
        <w:spacing w:after="0" w:line="228"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The overall effective income tax rate for the first quarter of Fiscal 2015 was 31.5% compared to the effective tax rate of 30.8% for the same period in Fiscal 2014. The increase in tax rate for the first quarter of Fiscal 2015 is primarily a result of the increased estimated state taxes, lower tax-free income and tax credits. The legislation for various applicable tax credits expired on December 31, 2013; therefore we are unable to project any future tax credits within the effective tax rate for this fiscal year.</w:t>
      </w:r>
    </w:p>
    <w:p>
      <w:pPr>
        <w:spacing w:after="0" w:line="14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Net income and diluted income per share were $9.9 million and $0.37 per share, respectively, for the first quarter of Fiscal 2015. In the first quarter of Fiscal 2014, net income was $11.1 million and diluted income was $0.40 per share. The impact of stock repurchases in the last twelve months on diluted net income per share was an increase of $0.01 for the first quarter of Fiscal 2015. See Part II, Item 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Cash and cash equivalents decreased $30.0 million during the first three months of Fiscal 2015 and totaled $27.8 million as of November 29, 2014. Significant liquidity events that occurred during the first three months of Fiscal 2015 were:</w:t>
      </w:r>
    </w:p>
    <w:p>
      <w:pPr>
        <w:spacing w:after="0" w:line="14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in inventory of $38.3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Generation of net income of $9.9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Decrease in receivables and prepaid assets of $6.8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Stock repurchases of $6.0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Dividend payment of $2.4 million</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 noted in Note 7, through our Amended Credit Agreement with GECC, we have the ability to borrow $35.0 million through a revolving credit facility based on our eligible inventory and certain receivables. In addition, the Amended Credit Agreement also includes a framework to expand the size of the facility up to $50.0 million, based on mutually agreeable terms at the time of the expansion.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Working capital at November 29, 2014 and August 30, 2014 was $173.3 million and $172.0 million, respectively, an decrease of $1.4 million. We currently expect cash on hand, cash collected on receivables, funds generated from operations and the availability under a credit facility to be sufficient to cover both short-term and long-term operating requirements for Fiscal 2015. We anticipate capital expenditures in Fiscal 2015 of approximately $15 - $20 million, primarily for manufacturing equipment and facilities and IT upgrades.</w:t>
      </w:r>
    </w:p>
    <w:p>
      <w:pPr>
        <w:spacing w:after="0" w:line="23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made share repurchases of $6.0 million in the first three months of Fiscal 2015. If we believe the common stock is trading at attractive levels and reflects a prudent use of our capital, we may purchase additional shares in the remainder of Fiscal 2015. At November 29, 2014 we have $7.6 million remaining on our board repurchase authorization. See Part II, Item 2 of this Form 10-Q.</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Cash used by operating activities was $19.6 million for the three months ended November 29, 2014 compared to $11.9 million for the three months ended November 30, 2013 due primarily to increasing inventory levels. In Fiscal 2015 the combination of net income of $9.9 million and changes in non-cash charges (e.g., depreciation, LIFO, stock-based compensation, deferred income taxes) provided $11.4 million of operating cash. Changes in assets and liabilities (primarily an increase in receivables partially offset by an decrease in receivables) used $31.1 million of operating cash. In the first three months of Fiscal 2014, the combination of net income of $11.1 million and changes in non-cash charges (e.g., depreciation, LIFO, stock-based compensation, deferred income taxes) provided $13.5 million of operating cash. Changes in assets and liabilities (primarily increases in receivables and inventories) used $25.4 million of operating cash.</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Cash used in investing activities of $2.0 million for the three months ended November 29, 2014 was due primarily to capital spending of $2.3 million. In the three months ended November 30, 2013, cash provided in investing activities of $811,000 was due primarily to proceeds from the sale of investments of $2.4 million, partially offset by capital spending of $1.7 million.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Cash used in financing activities of $8.4 million for the three months ended November 29, 2014 was primarily due to $6.0 million in repurchases of our stock and $2.4 million for the payment of dividends. Cash used in financing activities of $3.5 million for the three months ended November 30, 2013 was primarily due to repurchases of our stock of $5.6 million partially offset by proceeds from the exercise of stock options of $2.1 million.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30, 2014.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30, 2014.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41"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jc w:val="both"/>
        <w:ind w:right="76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20"/>
        <w:spacing w:after="0" w:line="192"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30, 2014.</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2015, 272,254 shares were repurchased under the authorization, at an aggregate cost of $6.0 million. Of these shares, approximately 62,000 were repurchased from employees who vested in Winnebago Industries shares during the first quarter of Fiscal 2015 and elected to pay their payroll tax via shares as opposed to cash. As of November 29, 2014, there was approximately $7.6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2015 were: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08/31/14 - 10/04/14</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22.38</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60,000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12,240,000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10/05/14 - 11/01/14</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211,689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21.70</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211,689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7,646,000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11/02/14 - 11/29/14</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25.18</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7,632,000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272,254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21.86</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272,254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7,632,000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Credit Agreement contains covenants that limit our ability, among other things, to pay certain cash dividends. See Note 7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10180" w:type="dxa"/>
            <w:vAlign w:val="bottom"/>
          </w:tcPr>
          <w:p>
            <w:pPr>
              <w:ind w:left="120"/>
              <w:spacing w:after="0"/>
              <w:rPr>
                <w:sz w:val="20"/>
                <w:szCs w:val="20"/>
                <w:color w:val="auto"/>
              </w:rPr>
            </w:pPr>
            <w:r>
              <w:rPr>
                <w:rFonts w:ascii="Arial" w:cs="Arial" w:eastAsia="Arial" w:hAnsi="Arial"/>
                <w:sz w:val="16"/>
                <w:szCs w:val="16"/>
                <w:color w:val="auto"/>
              </w:rPr>
              <w:t>Certification by the Chief Executive Officer pursuant to Section 302 of the Sarbanes-Oxley Act of 2002 dated December 30, 2014.</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0180" w:type="dxa"/>
            <w:vAlign w:val="bottom"/>
          </w:tcPr>
          <w:p>
            <w:pPr>
              <w:ind w:left="120"/>
              <w:spacing w:after="0"/>
              <w:rPr>
                <w:sz w:val="20"/>
                <w:szCs w:val="20"/>
                <w:color w:val="auto"/>
              </w:rPr>
            </w:pPr>
            <w:r>
              <w:rPr>
                <w:rFonts w:ascii="Arial" w:cs="Arial" w:eastAsia="Arial" w:hAnsi="Arial"/>
                <w:sz w:val="16"/>
                <w:szCs w:val="16"/>
                <w:color w:val="auto"/>
              </w:rPr>
              <w:t>Certification by the Chief Financial Officer pursuant to Section 302 of the Sarbanes-Oxley Act of 2002 dated December 30, 2014.</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0180" w:type="dxa"/>
            <w:vAlign w:val="bottom"/>
          </w:tcPr>
          <w:p>
            <w:pPr>
              <w:ind w:left="120"/>
              <w:spacing w:after="0"/>
              <w:rPr>
                <w:sz w:val="20"/>
                <w:szCs w:val="20"/>
                <w:color w:val="auto"/>
              </w:rPr>
            </w:pPr>
            <w:r>
              <w:rPr>
                <w:rFonts w:ascii="Arial" w:cs="Arial" w:eastAsia="Arial" w:hAnsi="Arial"/>
                <w:sz w:val="16"/>
                <w:szCs w:val="16"/>
                <w:color w:val="auto"/>
              </w:rPr>
              <w:t>Certification by the Chief Executive Officer pursuant to Section 1350, as adopted pursuant to Section 906 of the Sarbanes-Oxley Act of 2002</w:t>
            </w:r>
          </w:p>
        </w:tc>
      </w:tr>
      <w:tr>
        <w:trPr>
          <w:trHeight w:val="195"/>
        </w:trPr>
        <w:tc>
          <w:tcPr>
            <w:tcW w:w="860" w:type="dxa"/>
            <w:vAlign w:val="bottom"/>
          </w:tcPr>
          <w:p>
            <w:pPr>
              <w:spacing w:after="0"/>
              <w:rPr>
                <w:sz w:val="16"/>
                <w:szCs w:val="16"/>
                <w:color w:val="auto"/>
              </w:rPr>
            </w:pPr>
          </w:p>
        </w:tc>
        <w:tc>
          <w:tcPr>
            <w:tcW w:w="10180" w:type="dxa"/>
            <w:vAlign w:val="bottom"/>
          </w:tcPr>
          <w:p>
            <w:pPr>
              <w:ind w:left="120"/>
              <w:spacing w:after="0"/>
              <w:rPr>
                <w:sz w:val="20"/>
                <w:szCs w:val="20"/>
                <w:color w:val="auto"/>
              </w:rPr>
            </w:pPr>
            <w:r>
              <w:rPr>
                <w:rFonts w:ascii="Arial" w:cs="Arial" w:eastAsia="Arial" w:hAnsi="Arial"/>
                <w:sz w:val="16"/>
                <w:szCs w:val="16"/>
                <w:color w:val="auto"/>
              </w:rPr>
              <w:t>dated December 30, 2014.</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32.2</w:t>
            </w:r>
          </w:p>
        </w:tc>
        <w:tc>
          <w:tcPr>
            <w:tcW w:w="10180" w:type="dxa"/>
            <w:vAlign w:val="bottom"/>
          </w:tcPr>
          <w:p>
            <w:pPr>
              <w:ind w:left="120"/>
              <w:spacing w:after="0"/>
              <w:rPr>
                <w:sz w:val="20"/>
                <w:szCs w:val="20"/>
                <w:color w:val="auto"/>
              </w:rPr>
            </w:pPr>
            <w:r>
              <w:rPr>
                <w:rFonts w:ascii="Arial" w:cs="Arial" w:eastAsia="Arial" w:hAnsi="Arial"/>
                <w:sz w:val="16"/>
                <w:szCs w:val="16"/>
                <w:color w:val="auto"/>
              </w:rPr>
              <w:t>Certification by the Chief Financial Officer pursuant to Section 1350, as adopted pursuant to Section 906 of the Sarbanes-Oxley Act of 2002</w:t>
            </w:r>
          </w:p>
        </w:tc>
      </w:tr>
      <w:tr>
        <w:trPr>
          <w:trHeight w:val="195"/>
        </w:trPr>
        <w:tc>
          <w:tcPr>
            <w:tcW w:w="860" w:type="dxa"/>
            <w:vAlign w:val="bottom"/>
          </w:tcPr>
          <w:p>
            <w:pPr>
              <w:spacing w:after="0"/>
              <w:rPr>
                <w:sz w:val="16"/>
                <w:szCs w:val="16"/>
                <w:color w:val="auto"/>
              </w:rPr>
            </w:pPr>
          </w:p>
        </w:tc>
        <w:tc>
          <w:tcPr>
            <w:tcW w:w="10180" w:type="dxa"/>
            <w:vAlign w:val="bottom"/>
          </w:tcPr>
          <w:p>
            <w:pPr>
              <w:ind w:left="120"/>
              <w:spacing w:after="0"/>
              <w:rPr>
                <w:sz w:val="20"/>
                <w:szCs w:val="20"/>
                <w:color w:val="auto"/>
              </w:rPr>
            </w:pPr>
            <w:r>
              <w:rPr>
                <w:rFonts w:ascii="Arial" w:cs="Arial" w:eastAsia="Arial" w:hAnsi="Arial"/>
                <w:sz w:val="16"/>
                <w:szCs w:val="16"/>
                <w:color w:val="auto"/>
              </w:rPr>
              <w:t>dated December 30, 2014.</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101.INS*</w:t>
            </w:r>
          </w:p>
        </w:tc>
        <w:tc>
          <w:tcPr>
            <w:tcW w:w="10180" w:type="dxa"/>
            <w:vAlign w:val="bottom"/>
          </w:tcPr>
          <w:p>
            <w:pPr>
              <w:ind w:left="120"/>
              <w:spacing w:after="0"/>
              <w:rPr>
                <w:sz w:val="20"/>
                <w:szCs w:val="20"/>
                <w:color w:val="auto"/>
              </w:rPr>
            </w:pPr>
            <w:r>
              <w:rPr>
                <w:rFonts w:ascii="Arial" w:cs="Arial" w:eastAsia="Arial" w:hAnsi="Arial"/>
                <w:sz w:val="16"/>
                <w:szCs w:val="16"/>
                <w:color w:val="auto"/>
              </w:rPr>
              <w:t>XBRL Instance Document</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101.SCH*</w:t>
            </w:r>
          </w:p>
        </w:tc>
        <w:tc>
          <w:tcPr>
            <w:tcW w:w="10180" w:type="dxa"/>
            <w:vAlign w:val="bottom"/>
          </w:tcPr>
          <w:p>
            <w:pPr>
              <w:ind w:left="120"/>
              <w:spacing w:after="0"/>
              <w:rPr>
                <w:sz w:val="20"/>
                <w:szCs w:val="20"/>
                <w:color w:val="auto"/>
              </w:rPr>
            </w:pPr>
            <w:r>
              <w:rPr>
                <w:rFonts w:ascii="Arial" w:cs="Arial" w:eastAsia="Arial" w:hAnsi="Arial"/>
                <w:sz w:val="16"/>
                <w:szCs w:val="16"/>
                <w:color w:val="auto"/>
              </w:rPr>
              <w:t>XBRL Taxonomy Extension Schema Document</w:t>
            </w:r>
          </w:p>
        </w:tc>
      </w:tr>
      <w:tr>
        <w:trPr>
          <w:trHeight w:val="594"/>
        </w:trPr>
        <w:tc>
          <w:tcPr>
            <w:tcW w:w="860" w:type="dxa"/>
            <w:vAlign w:val="bottom"/>
          </w:tcPr>
          <w:p>
            <w:pPr>
              <w:spacing w:after="0"/>
              <w:rPr>
                <w:sz w:val="24"/>
                <w:szCs w:val="24"/>
                <w:color w:val="auto"/>
              </w:rPr>
            </w:pPr>
          </w:p>
        </w:tc>
        <w:tc>
          <w:tcPr>
            <w:tcW w:w="10180" w:type="dxa"/>
            <w:vAlign w:val="bottom"/>
          </w:tcPr>
          <w:p>
            <w:pPr>
              <w:ind w:left="4760"/>
              <w:spacing w:after="0"/>
              <w:rPr>
                <w:sz w:val="20"/>
                <w:szCs w:val="20"/>
                <w:color w:val="auto"/>
              </w:rPr>
            </w:pPr>
            <w:r>
              <w:rPr>
                <w:rFonts w:ascii="Arial" w:cs="Arial" w:eastAsia="Arial" w:hAnsi="Arial"/>
                <w:sz w:val="16"/>
                <w:szCs w:val="16"/>
                <w:color w:val="auto"/>
              </w:rPr>
              <w:t>19</w:t>
            </w:r>
          </w:p>
        </w:tc>
      </w:tr>
    </w:tbl>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141" w:right="2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November 29, 2014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30,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30,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41" w:right="25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J.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30,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20"/>
          </w:cols>
          <w:pgMar w:left="240" w:top="630"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30,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29, 2014, I, Randy J. Potts,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40" w:hanging="328"/>
        <w:spacing w:after="0" w:line="25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29, 2014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30,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00"/>
          </w:cols>
          <w:pgMar w:left="240" w:top="630" w:right="25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29, 2014,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hanging="328"/>
        <w:spacing w:after="0" w:line="25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29, 2014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30,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2019-12-05T15:50:42Z</dcterms:created>
  <dcterms:modified xsi:type="dcterms:W3CDTF">2019-12-05T15:50:42Z</dcterms:modified>
</cp:coreProperties>
</file>