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4956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17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KITCH GERALD C</w:t>
        </w:r>
      </w:hyperlink>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8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3800" w:type="dxa"/>
            <w:vAlign w:val="bottom"/>
            <w:gridSpan w:val="3"/>
          </w:tcPr>
          <w:p>
            <w:pPr>
              <w:spacing w:after="0"/>
              <w:rPr>
                <w:sz w:val="20"/>
                <w:szCs w:val="20"/>
                <w:color w:val="auto"/>
              </w:rPr>
            </w:pPr>
            <w:r>
              <w:rPr>
                <w:rFonts w:ascii="Arial" w:cs="Arial" w:eastAsia="Arial" w:hAnsi="Arial"/>
                <w:sz w:val="17"/>
                <w:szCs w:val="17"/>
                <w:color w:val="0000FF"/>
              </w:rPr>
              <w:t>WINNEBAGO INDUSTRIES, INC.</w:t>
            </w:r>
          </w:p>
        </w:tc>
      </w:tr>
      <w:tr>
        <w:trPr>
          <w:trHeight w:val="269"/>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P.O. BOX 152</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57"/>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4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FOREST CITY</w:t>
            </w:r>
          </w:p>
        </w:tc>
        <w:tc>
          <w:tcPr>
            <w:tcW w:w="920" w:type="dxa"/>
            <w:vAlign w:val="bottom"/>
          </w:tcPr>
          <w:p>
            <w:pPr>
              <w:ind w:left="80"/>
              <w:spacing w:after="0"/>
              <w:rPr>
                <w:sz w:val="20"/>
                <w:szCs w:val="20"/>
                <w:color w:val="auto"/>
              </w:rPr>
            </w:pPr>
            <w:r>
              <w:rPr>
                <w:rFonts w:ascii="Arial" w:cs="Arial" w:eastAsia="Arial" w:hAnsi="Arial"/>
                <w:sz w:val="17"/>
                <w:szCs w:val="17"/>
                <w:color w:val="0000FF"/>
              </w:rPr>
              <w:t>IA</w:t>
            </w:r>
          </w:p>
        </w:tc>
        <w:tc>
          <w:tcPr>
            <w:tcW w:w="1680" w:type="dxa"/>
            <w:vAlign w:val="bottom"/>
          </w:tcPr>
          <w:p>
            <w:pPr>
              <w:ind w:left="440"/>
              <w:spacing w:after="0"/>
              <w:rPr>
                <w:sz w:val="20"/>
                <w:szCs w:val="20"/>
                <w:color w:val="auto"/>
              </w:rPr>
            </w:pPr>
            <w:r>
              <w:rPr>
                <w:rFonts w:ascii="Arial" w:cs="Arial" w:eastAsia="Arial" w:hAnsi="Arial"/>
                <w:sz w:val="17"/>
                <w:szCs w:val="17"/>
                <w:color w:val="0000FF"/>
              </w:rPr>
              <w:t>50436</w:t>
            </w:r>
          </w:p>
        </w:tc>
      </w:tr>
      <w:tr>
        <w:trPr>
          <w:trHeight w:val="157"/>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7"/>
        </w:trPr>
        <w:tc>
          <w:tcPr>
            <w:tcW w:w="3980" w:type="dxa"/>
            <w:vAlign w:val="bottom"/>
            <w:gridSpan w:val="4"/>
          </w:tcPr>
          <w:p>
            <w:pPr>
              <w:ind w:left="80"/>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3"/>
                <w:szCs w:val="13"/>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7"/>
                <w:szCs w:val="17"/>
                <w:color w:val="0000FF"/>
              </w:rPr>
              <w:t>05/31/2012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6"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9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60" w:type="dxa"/>
            <w:vAlign w:val="bottom"/>
          </w:tcPr>
          <w:p>
            <w:pPr>
              <w:ind w:left="60"/>
              <w:spacing w:after="0"/>
              <w:rPr>
                <w:sz w:val="20"/>
                <w:szCs w:val="20"/>
                <w:color w:val="auto"/>
              </w:rPr>
            </w:pPr>
            <w:r>
              <w:rPr>
                <w:rFonts w:ascii="Arial" w:cs="Arial" w:eastAsia="Arial" w:hAnsi="Arial"/>
                <w:sz w:val="13"/>
                <w:szCs w:val="13"/>
                <w:color w:val="0000FF"/>
              </w:rPr>
              <w:t>Winnebago</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480</w:t>
            </w:r>
            <w:r>
              <w:rPr>
                <w:rFonts w:ascii="Arial" w:cs="Arial" w:eastAsia="Arial" w:hAnsi="Arial"/>
                <w:sz w:val="22"/>
                <w:szCs w:val="22"/>
                <w:color w:val="008000"/>
                <w:vertAlign w:val="superscript"/>
              </w:rPr>
              <w:t>(2)</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line="349" w:lineRule="exact"/>
              <w:rPr>
                <w:sz w:val="20"/>
                <w:szCs w:val="20"/>
                <w:color w:val="auto"/>
              </w:rPr>
            </w:pPr>
            <w:r>
              <w:rPr>
                <w:rFonts w:ascii="Arial" w:cs="Arial" w:eastAsia="Arial" w:hAnsi="Arial"/>
                <w:sz w:val="34"/>
                <w:szCs w:val="34"/>
                <w:color w:val="0000FF"/>
                <w:w w:val="93"/>
                <w:vertAlign w:val="subscript"/>
              </w:rPr>
              <w:t>480</w:t>
            </w:r>
            <w:r>
              <w:rPr>
                <w:rFonts w:ascii="Arial" w:cs="Arial" w:eastAsia="Arial" w:hAnsi="Arial"/>
                <w:sz w:val="11"/>
                <w:szCs w:val="11"/>
                <w:color w:val="008000"/>
                <w:w w:val="93"/>
              </w:rPr>
              <w:t>(2)</w:t>
            </w:r>
          </w:p>
        </w:tc>
        <w:tc>
          <w:tcPr>
            <w:tcW w:w="720" w:type="dxa"/>
            <w:vAlign w:val="bottom"/>
          </w:tcPr>
          <w:p>
            <w:pPr>
              <w:spacing w:after="0"/>
              <w:rPr>
                <w:sz w:val="16"/>
                <w:szCs w:val="16"/>
                <w:color w:val="auto"/>
              </w:rPr>
            </w:pPr>
          </w:p>
        </w:tc>
        <w:tc>
          <w:tcPr>
            <w:tcW w:w="980" w:type="dxa"/>
            <w:vAlign w:val="bottom"/>
            <w:vMerge w:val="restart"/>
          </w:tcPr>
          <w:p>
            <w:pPr>
              <w:ind w:left="240"/>
              <w:spacing w:after="0"/>
              <w:rPr>
                <w:sz w:val="20"/>
                <w:szCs w:val="20"/>
                <w:color w:val="auto"/>
              </w:rPr>
            </w:pPr>
            <w:r>
              <w:rPr>
                <w:rFonts w:ascii="Arial" w:cs="Arial" w:eastAsia="Arial" w:hAnsi="Arial"/>
                <w:sz w:val="13"/>
                <w:szCs w:val="13"/>
                <w:color w:val="0000FF"/>
              </w:rPr>
              <w:t>47,407</w:t>
            </w:r>
            <w:r>
              <w:rPr>
                <w:rFonts w:ascii="Arial" w:cs="Arial" w:eastAsia="Arial" w:hAnsi="Arial"/>
                <w:sz w:val="22"/>
                <w:szCs w:val="22"/>
                <w:color w:val="008000"/>
                <w:vertAlign w:val="superscript"/>
              </w:rPr>
              <w:t>(3)</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jc w:val="right"/>
              <w:ind w:right="178"/>
              <w:spacing w:after="0"/>
              <w:rPr>
                <w:sz w:val="20"/>
                <w:szCs w:val="20"/>
                <w:color w:val="auto"/>
              </w:rPr>
            </w:pPr>
            <w:r>
              <w:rPr>
                <w:rFonts w:ascii="Arial" w:cs="Arial" w:eastAsia="Arial" w:hAnsi="Arial"/>
                <w:sz w:val="13"/>
                <w:szCs w:val="13"/>
                <w:color w:val="0000FF"/>
              </w:rPr>
              <w:t>05/31/2012</w:t>
            </w:r>
          </w:p>
        </w:tc>
        <w:tc>
          <w:tcPr>
            <w:tcW w:w="114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8.9</w:t>
            </w:r>
          </w:p>
        </w:tc>
        <w:tc>
          <w:tcPr>
            <w:tcW w:w="980" w:type="dxa"/>
            <w:vAlign w:val="bottom"/>
            <w:vMerge w:val="continue"/>
          </w:tcPr>
          <w:p>
            <w:pPr>
              <w:spacing w:after="0"/>
              <w:rPr>
                <w:sz w:val="13"/>
                <w:szCs w:val="13"/>
                <w:color w:val="auto"/>
              </w:rPr>
            </w:pP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jc w:val="both"/>
        <w:ind w:left="40" w:right="320" w:firstLine="8"/>
        <w:spacing w:after="0" w:line="255"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Winnebago Stock Units are accrued under the Winnebago Industries, Inc. Directors Deferred Compensation Plan and are to be settled 100% in Winnebago common stock upon the earliest of the following events: reporting person's termination of service as a director, death, disability or a "change in the effective control of the Company" as defined in the Plan pursuant to an election made by reporting person on 12/14/2011.</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amount of Winnebago Stock Units acquired by reporting person on the transaction date.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total amount of Winnebago Stock Units held by reporting person in Winnebago Industries, Inc. Directors Deferred Compensation Plan as of reporting date.</w:t>
      </w:r>
    </w:p>
    <w:p>
      <w:pPr>
        <w:spacing w:after="0" w:line="8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-6985</wp:posOffset>
            </wp:positionV>
            <wp:extent cx="1347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Winnebago Industries, Inc.</w:t>
      </w:r>
      <w:r>
        <w:rPr>
          <w:sz w:val="20"/>
          <w:szCs w:val="20"/>
          <w:color w:val="auto"/>
        </w:rPr>
        <w:tab/>
      </w:r>
      <w:r>
        <w:rPr>
          <w:rFonts w:ascii="Arial" w:cs="Arial" w:eastAsia="Arial" w:hAnsi="Arial"/>
          <w:sz w:val="15"/>
          <w:szCs w:val="15"/>
          <w:color w:val="0000FF"/>
        </w:rPr>
        <w:t>06/04/2012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-11430</wp:posOffset>
            </wp:positionV>
            <wp:extent cx="1958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89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-11430</wp:posOffset>
            </wp:positionV>
            <wp:extent cx="1107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55"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LIMITED POWER OF ATTORNEY</w:t>
      </w:r>
    </w:p>
    <w:p>
      <w:pPr>
        <w:spacing w:after="0" w:line="326" w:lineRule="exact"/>
        <w:rPr>
          <w:sz w:val="20"/>
          <w:szCs w:val="20"/>
          <w:color w:val="auto"/>
        </w:rPr>
      </w:pPr>
    </w:p>
    <w:p>
      <w:pPr>
        <w:jc w:val="both"/>
        <w:ind w:firstLine="646"/>
        <w:spacing w:after="0" w:line="325" w:lineRule="auto"/>
        <w:rPr>
          <w:sz w:val="20"/>
          <w:szCs w:val="20"/>
          <w:color w:val="auto"/>
        </w:rPr>
      </w:pPr>
      <w:r>
        <w:rPr>
          <w:rFonts w:ascii="Arial" w:cs="Arial" w:eastAsia="Arial" w:hAnsi="Arial"/>
          <w:sz w:val="18"/>
          <w:szCs w:val="18"/>
          <w:color w:val="auto"/>
        </w:rPr>
        <w:t>BE IT KNOWN, that Steven Gerald C. Kitch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09" w:lineRule="exact"/>
        <w:rPr>
          <w:sz w:val="20"/>
          <w:szCs w:val="20"/>
          <w:color w:val="auto"/>
        </w:rPr>
      </w:pPr>
    </w:p>
    <w:p>
      <w:pPr>
        <w:jc w:val="both"/>
        <w:ind w:left="1300" w:right="1300"/>
        <w:spacing w:after="0" w:line="262"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10" w:lineRule="exact"/>
        <w:rPr>
          <w:sz w:val="20"/>
          <w:szCs w:val="20"/>
          <w:color w:val="auto"/>
        </w:rPr>
      </w:pPr>
    </w:p>
    <w:p>
      <w:pPr>
        <w:jc w:val="both"/>
        <w:spacing w:after="0" w:line="351"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4th day of June, 2012.</w:t>
      </w:r>
    </w:p>
    <w:p>
      <w:pPr>
        <w:spacing w:after="0" w:line="30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Gerald C. Kitch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4935855</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Gerald C. Kitch</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STATE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)ss:</w:t>
      </w:r>
    </w:p>
    <w:p>
      <w:pPr>
        <w:spacing w:after="0" w:line="66" w:lineRule="exact"/>
        <w:rPr>
          <w:sz w:val="20"/>
          <w:szCs w:val="20"/>
          <w:color w:val="auto"/>
        </w:rPr>
      </w:pPr>
    </w:p>
    <w:p>
      <w:pPr>
        <w:sectPr>
          <w:pgSz w:w="11900" w:h="16838" w:orient="portrait"/>
          <w:cols w:equalWidth="0" w:num="2">
            <w:col w:w="1340" w:space="720"/>
            <w:col w:w="9360"/>
          </w:cols>
          <w:pgMar w:left="240" w:top="112"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HANCOCK )</w:t>
      </w:r>
    </w:p>
    <w:p>
      <w:pPr>
        <w:spacing w:after="0" w:line="209" w:lineRule="exact"/>
        <w:rPr>
          <w:sz w:val="20"/>
          <w:szCs w:val="20"/>
          <w:color w:val="auto"/>
        </w:rPr>
      </w:pPr>
    </w:p>
    <w:p>
      <w:pPr>
        <w:ind w:firstLine="646"/>
        <w:spacing w:after="0" w:line="276" w:lineRule="auto"/>
        <w:rPr>
          <w:sz w:val="20"/>
          <w:szCs w:val="20"/>
          <w:color w:val="auto"/>
        </w:rPr>
      </w:pPr>
      <w:r>
        <w:rPr>
          <w:rFonts w:ascii="Arial" w:cs="Arial" w:eastAsia="Arial" w:hAnsi="Arial"/>
          <w:sz w:val="18"/>
          <w:szCs w:val="18"/>
          <w:color w:val="auto"/>
        </w:rPr>
        <w:t>The foregoing instrument was acknowledged by me this 4th day of June, 2012, by Gerald C. Kitch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914525" cy="649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14525" cy="649605"/>
                    </a:xfrm>
                    <a:prstGeom prst="rect">
                      <a:avLst/>
                    </a:prstGeom>
                    <a:noFill/>
                  </pic:spPr>
                </pic:pic>
              </a:graphicData>
            </a:graphic>
          </wp:anchor>
        </w:drawing>
      </w:r>
    </w:p>
    <w:p>
      <w:pPr>
        <w:spacing w:after="0" w:line="17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Karen C. Jefson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4935855</wp:posOffset>
            </wp:positionH>
            <wp:positionV relativeFrom="paragraph">
              <wp:posOffset>14605</wp:posOffset>
            </wp:positionV>
            <wp:extent cx="18884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Notary Public</w:t>
      </w:r>
    </w:p>
    <w:p>
      <w:pPr>
        <w:spacing w:after="0" w:line="2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State of IOWA</w:t>
      </w:r>
    </w:p>
    <w:p>
      <w:pPr>
        <w:spacing w:after="0" w:line="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My Commission Expires:  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1073150</wp:posOffset>
            </wp:positionV>
            <wp:extent cx="72472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-19685</wp:posOffset>
            </wp:positionV>
            <wp:extent cx="612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12775" cy="8255"/>
                    </a:xfrm>
                    <a:prstGeom prst="rect">
                      <a:avLst/>
                    </a:prstGeom>
                    <a:noFill/>
                  </pic:spPr>
                </pic:pic>
              </a:graphicData>
            </a:graphic>
          </wp:anchor>
        </w:drawing>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22627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2019-12-16T07:59:52Z</dcterms:created>
  <dcterms:modified xsi:type="dcterms:W3CDTF">2019-12-16T07:59:52Z</dcterms:modified>
</cp:coreProperties>
</file>