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7"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Washington, D.C. 20549</w:t>
      </w:r>
    </w:p>
    <w:p>
      <w:pPr>
        <w:spacing w:after="0" w:line="177" w:lineRule="exact"/>
        <w:rPr>
          <w:sz w:val="24"/>
          <w:szCs w:val="24"/>
          <w:color w:val="auto"/>
        </w:rPr>
      </w:pPr>
    </w:p>
    <w:p>
      <w:pPr>
        <w:ind w:left="3248"/>
        <w:spacing w:after="0"/>
        <w:rPr>
          <w:sz w:val="20"/>
          <w:szCs w:val="20"/>
          <w:color w:val="auto"/>
        </w:rPr>
      </w:pPr>
      <w:r>
        <w:rPr>
          <w:rFonts w:ascii="Courier New" w:cs="Courier New" w:eastAsia="Courier New" w:hAnsi="Courier New"/>
          <w:sz w:val="15"/>
          <w:szCs w:val="15"/>
          <w:color w:val="auto"/>
        </w:rPr>
        <w:t>FORM 10-K</w:t>
      </w:r>
    </w:p>
    <w:p>
      <w:pPr>
        <w:spacing w:after="0" w:line="177"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(Mark One)</w:t>
      </w:r>
    </w:p>
    <w:p>
      <w:pPr>
        <w:spacing w:after="0" w:line="177" w:lineRule="exact"/>
        <w:rPr>
          <w:sz w:val="24"/>
          <w:szCs w:val="24"/>
          <w:color w:val="auto"/>
        </w:rPr>
      </w:pPr>
    </w:p>
    <w:p>
      <w:pPr>
        <w:ind w:left="808" w:right="3019" w:hanging="808"/>
        <w:spacing w:after="0" w:line="305" w:lineRule="auto"/>
        <w:tabs>
          <w:tab w:leader="none" w:pos="80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(No Fee Required) for the fiscal year ended August 31, 1996; or</w:t>
      </w:r>
    </w:p>
    <w:p>
      <w:pPr>
        <w:spacing w:after="0" w:line="46" w:lineRule="exact"/>
        <w:rPr>
          <w:sz w:val="24"/>
          <w:szCs w:val="24"/>
          <w:color w:val="auto"/>
        </w:rPr>
      </w:pPr>
    </w:p>
    <w:p>
      <w:pPr>
        <w:ind w:left="808" w:right="3379" w:hanging="808"/>
        <w:spacing w:after="0" w:line="264" w:lineRule="auto"/>
        <w:tabs>
          <w:tab w:leader="none" w:pos="17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 (No Fee Required)</w:t>
      </w: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transition period from ______________ to _______________</w:t>
      </w:r>
    </w:p>
    <w:p>
      <w:pPr>
        <w:spacing w:after="0" w:line="3"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Commission File Number 1-6403</w:t>
      </w:r>
    </w:p>
    <w:p>
      <w:pPr>
        <w:spacing w:after="0" w:line="322"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WINNEBAGO INDUSTRIES, INC.</w:t>
      </w:r>
    </w:p>
    <w:p>
      <w:pPr>
        <w:spacing w:after="0" w:line="177" w:lineRule="exact"/>
        <w:rPr>
          <w:sz w:val="24"/>
          <w:szCs w:val="24"/>
          <w:color w:val="auto"/>
        </w:rPr>
      </w:pPr>
    </w:p>
    <w:p>
      <w:pPr>
        <w:ind w:left="1168"/>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7" w:lineRule="exact"/>
        <w:rPr>
          <w:sz w:val="24"/>
          <w:szCs w:val="24"/>
          <w:color w:val="auto"/>
        </w:rPr>
      </w:pPr>
    </w:p>
    <w:tbl>
      <w:tblPr>
        <w:tblLayout w:type="fixed"/>
        <w:tblInd w:w="8" w:type="dxa"/>
        <w:tblCellMar>
          <w:top w:w="0" w:type="dxa"/>
          <w:left w:w="0" w:type="dxa"/>
          <w:bottom w:w="0" w:type="dxa"/>
          <w:right w:w="0" w:type="dxa"/>
        </w:tblCellMar>
      </w:tblPr>
      <w:tr>
        <w:trPr>
          <w:trHeight w:val="173"/>
        </w:trPr>
        <w:tc>
          <w:tcPr>
            <w:tcW w:w="4500" w:type="dxa"/>
            <w:vAlign w:val="bottom"/>
          </w:tcPr>
          <w:p>
            <w:pPr>
              <w:ind w:left="1880"/>
              <w:spacing w:after="0"/>
              <w:rPr>
                <w:sz w:val="20"/>
                <w:szCs w:val="20"/>
                <w:color w:val="auto"/>
              </w:rPr>
            </w:pPr>
            <w:r>
              <w:rPr>
                <w:rFonts w:ascii="Courier New" w:cs="Courier New" w:eastAsia="Courier New" w:hAnsi="Courier New"/>
                <w:sz w:val="15"/>
                <w:szCs w:val="15"/>
                <w:color w:val="auto"/>
              </w:rPr>
              <w:t>Iowa</w:t>
            </w:r>
          </w:p>
        </w:tc>
        <w:tc>
          <w:tcPr>
            <w:tcW w:w="2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42-0802678</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(State or other jurisdiction of</w:t>
            </w:r>
          </w:p>
        </w:tc>
        <w:tc>
          <w:tcPr>
            <w:tcW w:w="2620" w:type="dxa"/>
            <w:vAlign w:val="bottom"/>
          </w:tcPr>
          <w:p>
            <w:pPr>
              <w:jc w:val="center"/>
              <w:ind w:left="745"/>
              <w:spacing w:after="0"/>
              <w:rPr>
                <w:sz w:val="20"/>
                <w:szCs w:val="20"/>
                <w:color w:val="auto"/>
              </w:rPr>
            </w:pPr>
            <w:r>
              <w:rPr>
                <w:rFonts w:ascii="Courier New" w:cs="Courier New" w:eastAsia="Courier New" w:hAnsi="Courier New"/>
                <w:sz w:val="15"/>
                <w:szCs w:val="15"/>
                <w:color w:val="auto"/>
                <w:w w:val="99"/>
              </w:rPr>
              <w:t>(I.R.S. Employer</w:t>
            </w:r>
          </w:p>
        </w:tc>
      </w:tr>
      <w:tr>
        <w:trPr>
          <w:trHeight w:val="255"/>
        </w:trPr>
        <w:tc>
          <w:tcPr>
            <w:tcW w:w="4500" w:type="dxa"/>
            <w:vAlign w:val="bottom"/>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2620" w:type="dxa"/>
            <w:vAlign w:val="bottom"/>
          </w:tcPr>
          <w:p>
            <w:pPr>
              <w:jc w:val="center"/>
              <w:ind w:left="825"/>
              <w:spacing w:after="0"/>
              <w:rPr>
                <w:sz w:val="20"/>
                <w:szCs w:val="20"/>
                <w:color w:val="auto"/>
              </w:rPr>
            </w:pPr>
            <w:r>
              <w:rPr>
                <w:rFonts w:ascii="Courier New" w:cs="Courier New" w:eastAsia="Courier New" w:hAnsi="Courier New"/>
                <w:sz w:val="15"/>
                <w:szCs w:val="15"/>
                <w:color w:val="auto"/>
              </w:rPr>
              <w:t>Identification No.)</w:t>
            </w:r>
          </w:p>
        </w:tc>
      </w:tr>
      <w:tr>
        <w:trPr>
          <w:trHeight w:val="265"/>
        </w:trPr>
        <w:tc>
          <w:tcPr>
            <w:tcW w:w="4500" w:type="dxa"/>
            <w:vAlign w:val="bottom"/>
          </w:tcPr>
          <w:p>
            <w:pPr>
              <w:spacing w:after="0"/>
              <w:rPr>
                <w:sz w:val="20"/>
                <w:szCs w:val="20"/>
                <w:color w:val="auto"/>
              </w:rPr>
            </w:pPr>
            <w:r>
              <w:rPr>
                <w:rFonts w:ascii="Courier New" w:cs="Courier New" w:eastAsia="Courier New" w:hAnsi="Courier New"/>
                <w:sz w:val="15"/>
                <w:szCs w:val="15"/>
                <w:color w:val="auto"/>
              </w:rPr>
              <w:t>P.O. Box 152, Forest City, Iowa</w:t>
            </w:r>
          </w:p>
        </w:tc>
        <w:tc>
          <w:tcPr>
            <w:tcW w:w="26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50436</w:t>
            </w:r>
          </w:p>
        </w:tc>
      </w:tr>
      <w:tr>
        <w:trPr>
          <w:trHeight w:val="255"/>
        </w:trPr>
        <w:tc>
          <w:tcPr>
            <w:tcW w:w="4500" w:type="dxa"/>
            <w:vAlign w:val="bottom"/>
          </w:tcPr>
          <w:p>
            <w:pPr>
              <w:spacing w:after="0"/>
              <w:rPr>
                <w:sz w:val="20"/>
                <w:szCs w:val="20"/>
                <w:color w:val="auto"/>
              </w:rPr>
            </w:pPr>
            <w:r>
              <w:rPr>
                <w:rFonts w:ascii="Courier New" w:cs="Courier New" w:eastAsia="Courier New" w:hAnsi="Courier New"/>
                <w:sz w:val="15"/>
                <w:szCs w:val="15"/>
                <w:color w:val="auto"/>
              </w:rPr>
              <w:t>(Address of Principal executive offices)</w:t>
            </w:r>
          </w:p>
        </w:tc>
        <w:tc>
          <w:tcPr>
            <w:tcW w:w="2620" w:type="dxa"/>
            <w:vAlign w:val="bottom"/>
          </w:tcPr>
          <w:p>
            <w:pPr>
              <w:ind w:left="1360"/>
              <w:spacing w:after="0"/>
              <w:rPr>
                <w:sz w:val="20"/>
                <w:szCs w:val="20"/>
                <w:color w:val="auto"/>
              </w:rPr>
            </w:pPr>
            <w:r>
              <w:rPr>
                <w:rFonts w:ascii="Courier New" w:cs="Courier New" w:eastAsia="Courier New" w:hAnsi="Courier New"/>
                <w:sz w:val="15"/>
                <w:szCs w:val="15"/>
                <w:color w:val="auto"/>
              </w:rPr>
              <w:t>(Zip Code)</w:t>
            </w:r>
          </w:p>
        </w:tc>
      </w:tr>
    </w:tbl>
    <w:p>
      <w:pPr>
        <w:spacing w:after="0" w:line="265" w:lineRule="exact"/>
        <w:rPr>
          <w:sz w:val="24"/>
          <w:szCs w:val="24"/>
          <w:color w:val="auto"/>
        </w:rPr>
      </w:pPr>
    </w:p>
    <w:p>
      <w:pPr>
        <w:ind w:left="628"/>
        <w:spacing w:after="0"/>
        <w:rPr>
          <w:sz w:val="20"/>
          <w:szCs w:val="20"/>
          <w:color w:val="auto"/>
        </w:rPr>
      </w:pPr>
      <w:r>
        <w:rPr>
          <w:rFonts w:ascii="Courier New" w:cs="Courier New" w:eastAsia="Courier New" w:hAnsi="Courier New"/>
          <w:sz w:val="15"/>
          <w:szCs w:val="15"/>
          <w:color w:val="auto"/>
        </w:rPr>
        <w:t>Registrant's telephone number, including area code: (515) 582-3535</w:t>
      </w:r>
    </w:p>
    <w:p>
      <w:pPr>
        <w:spacing w:after="0" w:line="177" w:lineRule="exact"/>
        <w:rPr>
          <w:sz w:val="24"/>
          <w:szCs w:val="24"/>
          <w:color w:val="auto"/>
        </w:rPr>
      </w:pPr>
    </w:p>
    <w:tbl>
      <w:tblPr>
        <w:tblLayout w:type="fixed"/>
        <w:tblInd w:w="8" w:type="dxa"/>
        <w:tblCellMar>
          <w:top w:w="0" w:type="dxa"/>
          <w:left w:w="0" w:type="dxa"/>
          <w:bottom w:w="0" w:type="dxa"/>
          <w:right w:w="0" w:type="dxa"/>
        </w:tblCellMar>
      </w:tblPr>
      <w:tr>
        <w:trPr>
          <w:trHeight w:val="255"/>
        </w:trPr>
        <w:tc>
          <w:tcPr>
            <w:tcW w:w="5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SECURITIES REGISTERED PURSUANT TO SECTION 12(b) OF</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THE ACT:</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500" w:type="dxa"/>
            <w:vAlign w:val="bottom"/>
            <w:vMerge w:val="restart"/>
          </w:tcPr>
          <w:p>
            <w:pPr>
              <w:jc w:val="center"/>
              <w:ind w:right="465"/>
              <w:spacing w:after="0"/>
              <w:rPr>
                <w:sz w:val="20"/>
                <w:szCs w:val="20"/>
                <w:color w:val="auto"/>
              </w:rPr>
            </w:pPr>
            <w:r>
              <w:rPr>
                <w:rFonts w:ascii="Courier New" w:cs="Courier New" w:eastAsia="Courier New" w:hAnsi="Courier New"/>
                <w:sz w:val="15"/>
                <w:szCs w:val="15"/>
                <w:color w:val="auto"/>
              </w:rPr>
              <w:t>TITLE OF EACH CLASS</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NAME OF</w:t>
            </w:r>
          </w:p>
        </w:tc>
        <w:tc>
          <w:tcPr>
            <w:tcW w:w="1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EACH EXCHANGE</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ON</w:t>
            </w:r>
          </w:p>
        </w:tc>
        <w:tc>
          <w:tcPr>
            <w:tcW w:w="0" w:type="dxa"/>
            <w:vAlign w:val="bottom"/>
          </w:tcPr>
          <w:p>
            <w:pPr>
              <w:spacing w:after="0"/>
              <w:rPr>
                <w:sz w:val="1"/>
                <w:szCs w:val="1"/>
                <w:color w:val="auto"/>
              </w:rPr>
            </w:pPr>
          </w:p>
        </w:tc>
      </w:tr>
      <w:tr>
        <w:trPr>
          <w:trHeight w:val="173"/>
        </w:trPr>
        <w:tc>
          <w:tcPr>
            <w:tcW w:w="3500" w:type="dxa"/>
            <w:vAlign w:val="bottom"/>
            <w:vMerge w:val="continue"/>
          </w:tcPr>
          <w:p>
            <w:pPr>
              <w:spacing w:after="0"/>
              <w:rPr>
                <w:sz w:val="15"/>
                <w:szCs w:val="15"/>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WHICH</w:t>
            </w:r>
          </w:p>
        </w:tc>
        <w:tc>
          <w:tcPr>
            <w:tcW w:w="1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REGISTERED</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5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9"/>
              </w:rPr>
              <w:t>- ---------------------------------</w:t>
            </w:r>
          </w:p>
        </w:tc>
        <w:tc>
          <w:tcPr>
            <w:tcW w:w="38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500" w:type="dxa"/>
            <w:vAlign w:val="bottom"/>
          </w:tcPr>
          <w:p>
            <w:pPr>
              <w:jc w:val="center"/>
              <w:ind w:right="465"/>
              <w:spacing w:after="0"/>
              <w:rPr>
                <w:sz w:val="20"/>
                <w:szCs w:val="20"/>
                <w:color w:val="auto"/>
              </w:rPr>
            </w:pPr>
            <w:r>
              <w:rPr>
                <w:rFonts w:ascii="Courier New" w:cs="Courier New" w:eastAsia="Courier New" w:hAnsi="Courier New"/>
                <w:sz w:val="15"/>
                <w:szCs w:val="15"/>
                <w:color w:val="auto"/>
                <w:w w:val="99"/>
              </w:rPr>
              <w:t>Common Stock ($.50 par value)</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New York Stock</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Exchange,</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Chicago Stock</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Exchange,</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0" w:type="dxa"/>
            <w:vAlign w:val="bottom"/>
          </w:tcPr>
          <w:p>
            <w:pPr>
              <w:spacing w:after="0"/>
              <w:rPr>
                <w:sz w:val="1"/>
                <w:szCs w:val="1"/>
                <w:color w:val="auto"/>
              </w:rPr>
            </w:pPr>
          </w:p>
        </w:tc>
      </w:tr>
      <w:tr>
        <w:trPr>
          <w:trHeight w:val="255"/>
        </w:trPr>
        <w:tc>
          <w:tcPr>
            <w:tcW w:w="35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The Pacific</w:t>
            </w:r>
          </w:p>
        </w:tc>
        <w:tc>
          <w:tcPr>
            <w:tcW w:w="21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Stock Exchange, Inc.</w:t>
            </w:r>
          </w:p>
        </w:tc>
        <w:tc>
          <w:tcPr>
            <w:tcW w:w="0" w:type="dxa"/>
            <w:vAlign w:val="bottom"/>
          </w:tcPr>
          <w:p>
            <w:pPr>
              <w:spacing w:after="0"/>
              <w:rPr>
                <w:sz w:val="1"/>
                <w:szCs w:val="1"/>
                <w:color w:val="auto"/>
              </w:rPr>
            </w:pPr>
          </w:p>
        </w:tc>
      </w:tr>
    </w:tbl>
    <w:p>
      <w:pPr>
        <w:spacing w:after="0" w:line="265" w:lineRule="exact"/>
        <w:rPr>
          <w:sz w:val="24"/>
          <w:szCs w:val="24"/>
          <w:color w:val="auto"/>
        </w:rPr>
      </w:pPr>
    </w:p>
    <w:p>
      <w:pPr>
        <w:jc w:val="center"/>
        <w:ind w:right="2912"/>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7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None</w:t>
      </w:r>
    </w:p>
    <w:p>
      <w:pPr>
        <w:spacing w:after="0" w:line="177" w:lineRule="exact"/>
        <w:rPr>
          <w:sz w:val="24"/>
          <w:szCs w:val="24"/>
          <w:color w:val="auto"/>
        </w:rPr>
      </w:pPr>
    </w:p>
    <w:p>
      <w:pPr>
        <w:ind w:left="8" w:right="3099" w:firstLine="451"/>
        <w:spacing w:after="0" w:line="274"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__X__ No ___</w:t>
      </w:r>
    </w:p>
    <w:p>
      <w:pPr>
        <w:spacing w:after="0" w:line="70" w:lineRule="exact"/>
        <w:rPr>
          <w:sz w:val="24"/>
          <w:szCs w:val="24"/>
          <w:color w:val="auto"/>
        </w:rPr>
      </w:pPr>
    </w:p>
    <w:p>
      <w:pPr>
        <w:ind w:left="8" w:right="3019" w:firstLine="451"/>
        <w:spacing w:after="0" w:line="274"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Annual Report on Form 10-K or any amendment to this Annual Report on Form 10-K __X__.</w:t>
      </w:r>
    </w:p>
    <w:p>
      <w:pPr>
        <w:spacing w:after="0" w:line="70" w:lineRule="exact"/>
        <w:rPr>
          <w:sz w:val="24"/>
          <w:szCs w:val="24"/>
          <w:color w:val="auto"/>
        </w:rPr>
      </w:pPr>
    </w:p>
    <w:p>
      <w:pPr>
        <w:ind w:left="8" w:right="3019" w:firstLine="451"/>
        <w:spacing w:after="0" w:line="305" w:lineRule="auto"/>
        <w:rPr>
          <w:sz w:val="20"/>
          <w:szCs w:val="20"/>
          <w:color w:val="auto"/>
        </w:rPr>
      </w:pPr>
      <w:r>
        <w:rPr>
          <w:rFonts w:ascii="Courier New" w:cs="Courier New" w:eastAsia="Courier New" w:hAnsi="Courier New"/>
          <w:sz w:val="15"/>
          <w:szCs w:val="15"/>
          <w:color w:val="auto"/>
        </w:rPr>
        <w:t>Aggregate market value of the common stock held by non-affiliates of the Registrant on October 14, 1996: $108,994,466 (14,063,802 shares at closing price on New York Stock Exchange of $7.75).</w:t>
      </w:r>
    </w:p>
    <w:p>
      <w:pPr>
        <w:spacing w:after="0" w:line="46"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Common stock outstanding on November 18, 1996, 25,405,679 shares.</w:t>
      </w:r>
    </w:p>
    <w:p>
      <w:pPr>
        <w:spacing w:after="0" w:line="200" w:lineRule="exact"/>
        <w:rPr>
          <w:sz w:val="24"/>
          <w:szCs w:val="24"/>
          <w:color w:val="auto"/>
        </w:rPr>
      </w:pPr>
    </w:p>
    <w:p>
      <w:pPr>
        <w:spacing w:after="0" w:line="324" w:lineRule="exact"/>
        <w:rPr>
          <w:sz w:val="24"/>
          <w:szCs w:val="24"/>
          <w:color w:val="auto"/>
        </w:rPr>
      </w:pPr>
    </w:p>
    <w:p>
      <w:pPr>
        <w:ind w:left="2068"/>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7" w:lineRule="exact"/>
        <w:rPr>
          <w:sz w:val="24"/>
          <w:szCs w:val="24"/>
          <w:color w:val="auto"/>
        </w:rPr>
      </w:pPr>
    </w:p>
    <w:p>
      <w:pPr>
        <w:jc w:val="both"/>
        <w:ind w:left="448" w:right="3019" w:hanging="448"/>
        <w:spacing w:after="0" w:line="305"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Winnebago Industries, Inc. Annual Report to Shareholders for the fiscal year ended August 31, 1996, portions of which are incorporated by reference into Part II hereof.</w:t>
      </w:r>
    </w:p>
    <w:p>
      <w:pPr>
        <w:spacing w:after="0" w:line="45" w:lineRule="exact"/>
        <w:rPr>
          <w:rFonts w:ascii="Courier New" w:cs="Courier New" w:eastAsia="Courier New" w:hAnsi="Courier New"/>
          <w:sz w:val="15"/>
          <w:szCs w:val="15"/>
          <w:color w:val="auto"/>
        </w:rPr>
      </w:pPr>
    </w:p>
    <w:p>
      <w:pPr>
        <w:ind w:left="448" w:right="3099" w:hanging="448"/>
        <w:spacing w:after="0" w:line="305"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Winnebago Industries, Inc. Proxy Statement for the Annual Meeting of Shareholders scheduled to be held December 18, 1996, portions of which are incorporated by reference into Part III hereof.</w:t>
      </w:r>
    </w:p>
    <w:p>
      <w:pPr>
        <w:spacing w:after="0" w:line="200" w:lineRule="exact"/>
        <w:rPr>
          <w:sz w:val="24"/>
          <w:szCs w:val="24"/>
          <w:color w:val="auto"/>
        </w:rPr>
      </w:pPr>
    </w:p>
    <w:p>
      <w:pPr>
        <w:spacing w:after="0" w:line="366" w:lineRule="exact"/>
        <w:rPr>
          <w:sz w:val="24"/>
          <w:szCs w:val="24"/>
          <w:color w:val="auto"/>
        </w:rPr>
      </w:pPr>
    </w:p>
    <w:p>
      <w:pPr>
        <w:ind w:left="2428"/>
        <w:spacing w:after="0"/>
        <w:rPr>
          <w:sz w:val="20"/>
          <w:szCs w:val="20"/>
          <w:color w:val="auto"/>
        </w:rPr>
      </w:pPr>
      <w:r>
        <w:rPr>
          <w:rFonts w:ascii="Courier New" w:cs="Courier New" w:eastAsia="Courier New" w:hAnsi="Courier New"/>
          <w:sz w:val="15"/>
          <w:szCs w:val="15"/>
          <w:color w:val="auto"/>
        </w:rPr>
        <w:t>WINNEBAGO INDUSTRIES, INC.</w:t>
      </w:r>
    </w:p>
    <w:p>
      <w:pPr>
        <w:spacing w:after="0" w:line="177" w:lineRule="exact"/>
        <w:rPr>
          <w:sz w:val="24"/>
          <w:szCs w:val="24"/>
          <w:color w:val="auto"/>
        </w:rPr>
      </w:pPr>
    </w:p>
    <w:p>
      <w:pPr>
        <w:jc w:val="center"/>
        <w:ind w:right="2912"/>
        <w:spacing w:after="0"/>
        <w:rPr>
          <w:sz w:val="20"/>
          <w:szCs w:val="20"/>
          <w:color w:val="auto"/>
        </w:rPr>
      </w:pPr>
      <w:r>
        <w:rPr>
          <w:rFonts w:ascii="Courier New" w:cs="Courier New" w:eastAsia="Courier New" w:hAnsi="Courier New"/>
          <w:sz w:val="15"/>
          <w:szCs w:val="15"/>
          <w:color w:val="auto"/>
        </w:rPr>
        <w:t>FORM 10-K</w:t>
      </w:r>
    </w:p>
    <w:p>
      <w:pPr>
        <w:spacing w:after="0" w:line="17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Report for the Fiscal Year Ended August 31, 1996</w:t>
      </w:r>
    </w:p>
    <w:p>
      <w:pPr>
        <w:spacing w:after="0" w:line="177" w:lineRule="exact"/>
        <w:rPr>
          <w:sz w:val="24"/>
          <w:szCs w:val="24"/>
          <w:color w:val="auto"/>
        </w:rPr>
      </w:pPr>
    </w:p>
    <w:p>
      <w:pPr>
        <w:ind w:left="3328"/>
        <w:spacing w:after="0"/>
        <w:rPr>
          <w:sz w:val="20"/>
          <w:szCs w:val="20"/>
          <w:color w:val="auto"/>
        </w:rPr>
      </w:pPr>
      <w:r>
        <w:rPr>
          <w:rFonts w:ascii="Courier New" w:cs="Courier New" w:eastAsia="Courier New" w:hAnsi="Courier New"/>
          <w:sz w:val="15"/>
          <w:szCs w:val="15"/>
          <w:color w:val="auto"/>
        </w:rPr>
        <w:t>PART I</w:t>
      </w:r>
    </w:p>
    <w:p>
      <w:pPr>
        <w:spacing w:after="0" w:line="350" w:lineRule="exact"/>
        <w:rPr>
          <w:sz w:val="24"/>
          <w:szCs w:val="24"/>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Business</w:t>
      </w:r>
    </w:p>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GENERAL</w:t>
      </w:r>
    </w:p>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Winnebago Industries, Inc. is a leading U.S. manufacturer of motor homes,</w:t>
      </w:r>
    </w:p>
    <w:p>
      <w:pPr>
        <w:sectPr>
          <w:pgSz w:w="11900" w:h="16874" w:orient="portrait"/>
          <w:cols w:equalWidth="0" w:num="1">
            <w:col w:w="10227"/>
          </w:cols>
          <w:pgMar w:left="232" w:top="553" w:right="1440" w:bottom="0" w:gutter="0" w:footer="0" w:header="0"/>
        </w:sectPr>
      </w:pPr>
    </w:p>
    <w:bookmarkStart w:id="1" w:name="page2"/>
    <w:bookmarkEnd w:id="1"/>
    <w:p>
      <w:pPr>
        <w:spacing w:after="0" w:line="91" w:lineRule="exact"/>
        <w:rPr>
          <w:sz w:val="20"/>
          <w:szCs w:val="20"/>
          <w:color w:val="auto"/>
        </w:rPr>
      </w:pPr>
    </w:p>
    <w:p>
      <w:pPr>
        <w:ind w:left="8" w:right="4320"/>
        <w:spacing w:after="0" w:line="274" w:lineRule="auto"/>
        <w:rPr>
          <w:sz w:val="20"/>
          <w:szCs w:val="20"/>
          <w:color w:val="auto"/>
        </w:rPr>
      </w:pPr>
      <w:r>
        <w:rPr>
          <w:rFonts w:ascii="Courier New" w:cs="Courier New" w:eastAsia="Courier New" w:hAnsi="Courier New"/>
          <w:sz w:val="15"/>
          <w:szCs w:val="15"/>
          <w:color w:val="auto"/>
        </w:rPr>
        <w:t>self-contained recreation vehicles used primarily in leisure travel and outdoor recreation activities. Motor home sales by the Company represented more than 87 percent of its revenues in each of the past five fiscal years. The Company's motor homes are sold through dealer organizations primarily under the Winnebago, Itasca, Vectra, Rialta and Luxor brand names.</w:t>
      </w:r>
    </w:p>
    <w:p>
      <w:pPr>
        <w:spacing w:after="0" w:line="70" w:lineRule="exact"/>
        <w:rPr>
          <w:sz w:val="20"/>
          <w:szCs w:val="20"/>
          <w:color w:val="auto"/>
        </w:rPr>
      </w:pPr>
    </w:p>
    <w:p>
      <w:pPr>
        <w:ind w:left="8" w:right="4680"/>
        <w:spacing w:after="0" w:line="285" w:lineRule="auto"/>
        <w:rPr>
          <w:sz w:val="20"/>
          <w:szCs w:val="20"/>
          <w:color w:val="auto"/>
        </w:rPr>
      </w:pPr>
      <w:r>
        <w:rPr>
          <w:rFonts w:ascii="Courier New" w:cs="Courier New" w:eastAsia="Courier New" w:hAnsi="Courier New"/>
          <w:sz w:val="15"/>
          <w:szCs w:val="15"/>
          <w:color w:val="auto"/>
        </w:rPr>
        <w:t>Other products manufactured by the Company consist principally of extruded aluminum, commercial vehicles, and a variety of component products for other manufacturers. Finance revenues consisted of revenues from floor plan unit financing of the Company's products in dealer inventories.</w:t>
      </w:r>
    </w:p>
    <w:p>
      <w:pPr>
        <w:spacing w:after="0" w:line="60" w:lineRule="exact"/>
        <w:rPr>
          <w:sz w:val="20"/>
          <w:szCs w:val="20"/>
          <w:color w:val="auto"/>
        </w:rPr>
      </w:pPr>
    </w:p>
    <w:p>
      <w:pPr>
        <w:ind w:left="8" w:right="4320"/>
        <w:spacing w:after="0" w:line="274" w:lineRule="auto"/>
        <w:rPr>
          <w:sz w:val="20"/>
          <w:szCs w:val="20"/>
          <w:color w:val="auto"/>
        </w:rPr>
      </w:pPr>
      <w:r>
        <w:rPr>
          <w:rFonts w:ascii="Courier New" w:cs="Courier New" w:eastAsia="Courier New" w:hAnsi="Courier New"/>
          <w:sz w:val="15"/>
          <w:szCs w:val="15"/>
          <w:color w:val="auto"/>
        </w:rPr>
        <w:t>The Company was incorporated under the laws of the state of Iowa on February 12, 1958, and adopted its present name on February 28, 1961. The Company's executive offices are located at 605 West Crystal Lake Road in Forest City, Iowa. Unless the context indicates otherwise, the term "Company" refers to Winnebago Industries, Inc. and its subsidiaries.</w:t>
      </w:r>
    </w:p>
    <w:p>
      <w:pPr>
        <w:spacing w:after="0" w:line="24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PRINCIPAL PRODUCTS</w:t>
      </w:r>
    </w:p>
    <w:p>
      <w:pPr>
        <w:spacing w:after="0" w:line="177" w:lineRule="exact"/>
        <w:rPr>
          <w:sz w:val="20"/>
          <w:szCs w:val="20"/>
          <w:color w:val="auto"/>
        </w:rPr>
      </w:pPr>
    </w:p>
    <w:p>
      <w:pPr>
        <w:ind w:left="8" w:right="4500"/>
        <w:spacing w:after="0" w:line="298" w:lineRule="auto"/>
        <w:rPr>
          <w:sz w:val="20"/>
          <w:szCs w:val="20"/>
          <w:color w:val="auto"/>
        </w:rPr>
      </w:pPr>
      <w:r>
        <w:rPr>
          <w:rFonts w:ascii="Courier New" w:cs="Courier New" w:eastAsia="Courier New" w:hAnsi="Courier New"/>
          <w:sz w:val="14"/>
          <w:szCs w:val="14"/>
          <w:color w:val="auto"/>
        </w:rPr>
        <w:t>The Company determined it was appropriate to define its operations into two business segments for fiscal 1996 (See Note 18, "Business Segment Information" in the Company's Annual Report to Shareholders for the year ended August 31, 1996). However, during each of the last five fiscal years, at least 91% of the revenues of the Company were derived from recreational vehicle products.</w:t>
      </w:r>
    </w:p>
    <w:p>
      <w:pPr>
        <w:spacing w:after="0" w:line="56" w:lineRule="exact"/>
        <w:rPr>
          <w:sz w:val="20"/>
          <w:szCs w:val="20"/>
          <w:color w:val="auto"/>
        </w:rPr>
      </w:pPr>
    </w:p>
    <w:p>
      <w:pPr>
        <w:ind w:left="8" w:right="4400"/>
        <w:spacing w:after="0" w:line="305" w:lineRule="auto"/>
        <w:rPr>
          <w:sz w:val="20"/>
          <w:szCs w:val="20"/>
          <w:color w:val="auto"/>
        </w:rPr>
      </w:pPr>
      <w:r>
        <w:rPr>
          <w:rFonts w:ascii="Courier New" w:cs="Courier New" w:eastAsia="Courier New" w:hAnsi="Courier New"/>
          <w:sz w:val="15"/>
          <w:szCs w:val="15"/>
          <w:color w:val="auto"/>
        </w:rPr>
        <w:t>The following table sets forth the respective contribution to the Company's net revenues by product class for each of the last five fiscal years (dollars in thousands):</w:t>
      </w:r>
    </w:p>
    <w:p>
      <w:pPr>
        <w:spacing w:after="0" w:line="392"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11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Fiscal Year Ended(1)</w:t>
            </w: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770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5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August 31,</w:t>
            </w:r>
          </w:p>
        </w:tc>
        <w:tc>
          <w:tcPr>
            <w:tcW w:w="14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August 26,</w:t>
            </w:r>
          </w:p>
        </w:tc>
        <w:tc>
          <w:tcPr>
            <w:tcW w:w="188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August 27,</w:t>
            </w:r>
          </w:p>
        </w:tc>
        <w:tc>
          <w:tcPr>
            <w:tcW w:w="15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August 28,</w:t>
            </w:r>
          </w:p>
        </w:tc>
        <w:tc>
          <w:tcPr>
            <w:tcW w:w="1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August 29,</w:t>
            </w: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center"/>
              <w:ind w:right="505"/>
              <w:spacing w:after="0"/>
              <w:rPr>
                <w:sz w:val="20"/>
                <w:szCs w:val="20"/>
                <w:color w:val="auto"/>
              </w:rPr>
            </w:pPr>
            <w:r>
              <w:rPr>
                <w:rFonts w:ascii="Courier New" w:cs="Courier New" w:eastAsia="Courier New" w:hAnsi="Courier New"/>
                <w:sz w:val="15"/>
                <w:szCs w:val="15"/>
                <w:color w:val="auto"/>
                <w:w w:val="99"/>
              </w:rPr>
              <w:t>1996</w:t>
            </w:r>
          </w:p>
        </w:tc>
        <w:tc>
          <w:tcPr>
            <w:tcW w:w="580" w:type="dxa"/>
            <w:vAlign w:val="bottom"/>
          </w:tcPr>
          <w:p>
            <w:pPr>
              <w:spacing w:after="0"/>
              <w:rPr>
                <w:sz w:val="15"/>
                <w:szCs w:val="15"/>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800" w:type="dxa"/>
            <w:vAlign w:val="bottom"/>
          </w:tcPr>
          <w:p>
            <w:pPr>
              <w:spacing w:after="0"/>
              <w:rPr>
                <w:sz w:val="15"/>
                <w:szCs w:val="15"/>
                <w:color w:val="auto"/>
              </w:rPr>
            </w:pPr>
          </w:p>
        </w:tc>
        <w:tc>
          <w:tcPr>
            <w:tcW w:w="10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1994</w:t>
            </w:r>
          </w:p>
        </w:tc>
        <w:tc>
          <w:tcPr>
            <w:tcW w:w="500" w:type="dxa"/>
            <w:vAlign w:val="bottom"/>
          </w:tcPr>
          <w:p>
            <w:pPr>
              <w:spacing w:after="0"/>
              <w:rPr>
                <w:sz w:val="15"/>
                <w:szCs w:val="15"/>
                <w:color w:val="auto"/>
              </w:rPr>
            </w:pPr>
          </w:p>
        </w:tc>
        <w:tc>
          <w:tcPr>
            <w:tcW w:w="1040" w:type="dxa"/>
            <w:vAlign w:val="bottom"/>
          </w:tcPr>
          <w:p>
            <w:pPr>
              <w:jc w:val="center"/>
              <w:ind w:right="525"/>
              <w:spacing w:after="0"/>
              <w:rPr>
                <w:sz w:val="20"/>
                <w:szCs w:val="20"/>
                <w:color w:val="auto"/>
              </w:rPr>
            </w:pPr>
            <w:r>
              <w:rPr>
                <w:rFonts w:ascii="Courier New" w:cs="Courier New" w:eastAsia="Courier New" w:hAnsi="Courier New"/>
                <w:sz w:val="15"/>
                <w:szCs w:val="15"/>
                <w:color w:val="auto"/>
                <w:w w:val="99"/>
              </w:rPr>
              <w:t>1993</w:t>
            </w:r>
          </w:p>
        </w:tc>
        <w:tc>
          <w:tcPr>
            <w:tcW w:w="540" w:type="dxa"/>
            <w:vAlign w:val="bottom"/>
          </w:tcPr>
          <w:p>
            <w:pPr>
              <w:spacing w:after="0"/>
              <w:rPr>
                <w:sz w:val="15"/>
                <w:szCs w:val="15"/>
                <w:color w:val="auto"/>
              </w:rPr>
            </w:pP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1992</w:t>
            </w:r>
          </w:p>
        </w:tc>
        <w:tc>
          <w:tcPr>
            <w:tcW w:w="0" w:type="dxa"/>
            <w:vAlign w:val="bottom"/>
          </w:tcPr>
          <w:p>
            <w:pPr>
              <w:spacing w:after="0"/>
              <w:rPr>
                <w:sz w:val="1"/>
                <w:szCs w:val="1"/>
                <w:color w:val="auto"/>
              </w:rPr>
            </w:pPr>
          </w:p>
        </w:tc>
      </w:tr>
      <w:tr>
        <w:trPr>
          <w:trHeight w:val="255"/>
        </w:trPr>
        <w:tc>
          <w:tcPr>
            <w:tcW w:w="11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5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1120" w:type="dxa"/>
            <w:vAlign w:val="bottom"/>
          </w:tcPr>
          <w:p>
            <w:pPr>
              <w:spacing w:after="0"/>
              <w:rPr>
                <w:sz w:val="20"/>
                <w:szCs w:val="20"/>
                <w:color w:val="auto"/>
              </w:rPr>
            </w:pPr>
            <w:r>
              <w:rPr>
                <w:rFonts w:ascii="Courier New" w:cs="Courier New" w:eastAsia="Courier New" w:hAnsi="Courier New"/>
                <w:sz w:val="15"/>
                <w:szCs w:val="15"/>
                <w:color w:val="auto"/>
              </w:rPr>
              <w:t>Motor Homes</w:t>
            </w:r>
          </w:p>
        </w:tc>
        <w:tc>
          <w:tcPr>
            <w:tcW w:w="27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432,212</w:t>
            </w:r>
          </w:p>
        </w:tc>
        <w:tc>
          <w:tcPr>
            <w:tcW w:w="5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402,435</w:t>
            </w:r>
          </w:p>
        </w:tc>
        <w:tc>
          <w:tcPr>
            <w:tcW w:w="8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385,319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326,861</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245,908</w:t>
            </w:r>
          </w:p>
        </w:tc>
        <w:tc>
          <w:tcPr>
            <w:tcW w:w="0" w:type="dxa"/>
            <w:vAlign w:val="bottom"/>
          </w:tcPr>
          <w:p>
            <w:pPr>
              <w:spacing w:after="0"/>
              <w:rPr>
                <w:sz w:val="1"/>
                <w:szCs w:val="1"/>
                <w:color w:val="auto"/>
              </w:rPr>
            </w:pPr>
          </w:p>
        </w:tc>
      </w:tr>
      <w:tr>
        <w:trPr>
          <w:trHeight w:val="255"/>
        </w:trPr>
        <w:tc>
          <w:tcPr>
            <w:tcW w:w="38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Other Recreation</w:t>
            </w:r>
          </w:p>
        </w:tc>
        <w:tc>
          <w:tcPr>
            <w:tcW w:w="600" w:type="dxa"/>
            <w:vAlign w:val="bottom"/>
          </w:tcPr>
          <w:p>
            <w:pPr>
              <w:spacing w:after="0"/>
              <w:rPr>
                <w:sz w:val="22"/>
                <w:szCs w:val="22"/>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89.2%</w:t>
            </w:r>
          </w:p>
        </w:tc>
        <w:tc>
          <w:tcPr>
            <w:tcW w:w="580" w:type="dxa"/>
            <w:vAlign w:val="bottom"/>
          </w:tcPr>
          <w:p>
            <w:pPr>
              <w:spacing w:after="0"/>
              <w:rPr>
                <w:sz w:val="22"/>
                <w:szCs w:val="22"/>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87.5%</w:t>
            </w:r>
          </w:p>
        </w:tc>
        <w:tc>
          <w:tcPr>
            <w:tcW w:w="800" w:type="dxa"/>
            <w:vAlign w:val="bottom"/>
          </w:tcPr>
          <w:p>
            <w:pPr>
              <w:spacing w:after="0"/>
              <w:rPr>
                <w:sz w:val="22"/>
                <w:szCs w:val="22"/>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88.9%</w:t>
            </w:r>
          </w:p>
        </w:tc>
        <w:tc>
          <w:tcPr>
            <w:tcW w:w="500" w:type="dxa"/>
            <w:vAlign w:val="bottom"/>
          </w:tcPr>
          <w:p>
            <w:pPr>
              <w:spacing w:after="0"/>
              <w:rPr>
                <w:sz w:val="22"/>
                <w:szCs w:val="22"/>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89.4%</w:t>
            </w:r>
          </w:p>
        </w:tc>
        <w:tc>
          <w:tcPr>
            <w:tcW w:w="540" w:type="dxa"/>
            <w:vAlign w:val="bottom"/>
          </w:tcPr>
          <w:p>
            <w:pPr>
              <w:spacing w:after="0"/>
              <w:rPr>
                <w:sz w:val="22"/>
                <w:szCs w:val="22"/>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87.5%</w:t>
            </w:r>
          </w:p>
        </w:tc>
        <w:tc>
          <w:tcPr>
            <w:tcW w:w="0" w:type="dxa"/>
            <w:vAlign w:val="bottom"/>
          </w:tcPr>
          <w:p>
            <w:pPr>
              <w:spacing w:after="0"/>
              <w:rPr>
                <w:sz w:val="1"/>
                <w:szCs w:val="1"/>
                <w:color w:val="auto"/>
              </w:rPr>
            </w:pPr>
          </w:p>
        </w:tc>
      </w:tr>
      <w:tr>
        <w:trPr>
          <w:trHeight w:val="92"/>
        </w:trPr>
        <w:tc>
          <w:tcPr>
            <w:tcW w:w="382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17,166</w:t>
            </w:r>
          </w:p>
        </w:tc>
        <w:tc>
          <w:tcPr>
            <w:tcW w:w="580" w:type="dxa"/>
            <w:vAlign w:val="bottom"/>
          </w:tcPr>
          <w:p>
            <w:pPr>
              <w:spacing w:after="0"/>
              <w:rPr>
                <w:sz w:val="7"/>
                <w:szCs w:val="7"/>
                <w:color w:val="auto"/>
              </w:rPr>
            </w:pP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19,513</w:t>
            </w:r>
          </w:p>
        </w:tc>
        <w:tc>
          <w:tcPr>
            <w:tcW w:w="800" w:type="dxa"/>
            <w:vAlign w:val="bottom"/>
          </w:tcPr>
          <w:p>
            <w:pPr>
              <w:spacing w:after="0"/>
              <w:rPr>
                <w:sz w:val="7"/>
                <w:szCs w:val="7"/>
                <w:color w:val="auto"/>
              </w:rPr>
            </w:pPr>
          </w:p>
        </w:tc>
        <w:tc>
          <w:tcPr>
            <w:tcW w:w="10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21,903</w:t>
            </w:r>
          </w:p>
        </w:tc>
        <w:tc>
          <w:tcPr>
            <w:tcW w:w="500" w:type="dxa"/>
            <w:vAlign w:val="bottom"/>
          </w:tcPr>
          <w:p>
            <w:pPr>
              <w:spacing w:after="0"/>
              <w:rPr>
                <w:sz w:val="7"/>
                <w:szCs w:val="7"/>
                <w:color w:val="auto"/>
              </w:rPr>
            </w:pPr>
          </w:p>
        </w:tc>
        <w:tc>
          <w:tcPr>
            <w:tcW w:w="104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17,655</w:t>
            </w:r>
          </w:p>
        </w:tc>
        <w:tc>
          <w:tcPr>
            <w:tcW w:w="540" w:type="dxa"/>
            <w:vAlign w:val="bottom"/>
          </w:tcPr>
          <w:p>
            <w:pPr>
              <w:spacing w:after="0"/>
              <w:rPr>
                <w:sz w:val="7"/>
                <w:szCs w:val="7"/>
                <w:color w:val="auto"/>
              </w:rPr>
            </w:pPr>
          </w:p>
        </w:tc>
        <w:tc>
          <w:tcPr>
            <w:tcW w:w="8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17,126</w:t>
            </w:r>
          </w:p>
        </w:tc>
        <w:tc>
          <w:tcPr>
            <w:tcW w:w="0" w:type="dxa"/>
            <w:vAlign w:val="bottom"/>
          </w:tcPr>
          <w:p>
            <w:pPr>
              <w:spacing w:after="0"/>
              <w:rPr>
                <w:sz w:val="1"/>
                <w:szCs w:val="1"/>
                <w:color w:val="auto"/>
              </w:rPr>
            </w:pPr>
          </w:p>
        </w:tc>
      </w:tr>
      <w:tr>
        <w:trPr>
          <w:trHeight w:val="173"/>
        </w:trPr>
        <w:tc>
          <w:tcPr>
            <w:tcW w:w="3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Vehicle Revenues (2)  ...............</w:t>
            </w:r>
          </w:p>
        </w:tc>
        <w:tc>
          <w:tcPr>
            <w:tcW w:w="6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8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Other Manufactured Products</w:t>
            </w:r>
          </w:p>
        </w:tc>
        <w:tc>
          <w:tcPr>
            <w:tcW w:w="600" w:type="dxa"/>
            <w:vAlign w:val="bottom"/>
          </w:tcPr>
          <w:p>
            <w:pPr>
              <w:spacing w:after="0"/>
              <w:rPr>
                <w:sz w:val="22"/>
                <w:szCs w:val="22"/>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w:t>
            </w:r>
          </w:p>
        </w:tc>
        <w:tc>
          <w:tcPr>
            <w:tcW w:w="580" w:type="dxa"/>
            <w:vAlign w:val="bottom"/>
          </w:tcPr>
          <w:p>
            <w:pPr>
              <w:spacing w:after="0"/>
              <w:rPr>
                <w:sz w:val="22"/>
                <w:szCs w:val="22"/>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w:t>
            </w:r>
          </w:p>
        </w:tc>
        <w:tc>
          <w:tcPr>
            <w:tcW w:w="800" w:type="dxa"/>
            <w:vAlign w:val="bottom"/>
          </w:tcPr>
          <w:p>
            <w:pPr>
              <w:spacing w:after="0"/>
              <w:rPr>
                <w:sz w:val="22"/>
                <w:szCs w:val="22"/>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w:t>
            </w:r>
          </w:p>
        </w:tc>
        <w:tc>
          <w:tcPr>
            <w:tcW w:w="500" w:type="dxa"/>
            <w:vAlign w:val="bottom"/>
          </w:tcPr>
          <w:p>
            <w:pPr>
              <w:spacing w:after="0"/>
              <w:rPr>
                <w:sz w:val="22"/>
                <w:szCs w:val="22"/>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w:t>
            </w:r>
          </w:p>
        </w:tc>
        <w:tc>
          <w:tcPr>
            <w:tcW w:w="540" w:type="dxa"/>
            <w:vAlign w:val="bottom"/>
          </w:tcPr>
          <w:p>
            <w:pPr>
              <w:spacing w:after="0"/>
              <w:rPr>
                <w:sz w:val="22"/>
                <w:szCs w:val="22"/>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w:t>
            </w:r>
          </w:p>
        </w:tc>
        <w:tc>
          <w:tcPr>
            <w:tcW w:w="0" w:type="dxa"/>
            <w:vAlign w:val="bottom"/>
          </w:tcPr>
          <w:p>
            <w:pPr>
              <w:spacing w:after="0"/>
              <w:rPr>
                <w:sz w:val="1"/>
                <w:szCs w:val="1"/>
                <w:color w:val="auto"/>
              </w:rPr>
            </w:pPr>
          </w:p>
        </w:tc>
      </w:tr>
      <w:tr>
        <w:trPr>
          <w:trHeight w:val="92"/>
        </w:trPr>
        <w:tc>
          <w:tcPr>
            <w:tcW w:w="382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34,020</w:t>
            </w:r>
          </w:p>
        </w:tc>
        <w:tc>
          <w:tcPr>
            <w:tcW w:w="580" w:type="dxa"/>
            <w:vAlign w:val="bottom"/>
          </w:tcPr>
          <w:p>
            <w:pPr>
              <w:spacing w:after="0"/>
              <w:rPr>
                <w:sz w:val="7"/>
                <w:szCs w:val="7"/>
                <w:color w:val="auto"/>
              </w:rPr>
            </w:pP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36,961</w:t>
            </w:r>
          </w:p>
        </w:tc>
        <w:tc>
          <w:tcPr>
            <w:tcW w:w="800" w:type="dxa"/>
            <w:vAlign w:val="bottom"/>
          </w:tcPr>
          <w:p>
            <w:pPr>
              <w:spacing w:after="0"/>
              <w:rPr>
                <w:sz w:val="7"/>
                <w:szCs w:val="7"/>
                <w:color w:val="auto"/>
              </w:rPr>
            </w:pPr>
          </w:p>
        </w:tc>
        <w:tc>
          <w:tcPr>
            <w:tcW w:w="10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25,184</w:t>
            </w:r>
          </w:p>
        </w:tc>
        <w:tc>
          <w:tcPr>
            <w:tcW w:w="500" w:type="dxa"/>
            <w:vAlign w:val="bottom"/>
          </w:tcPr>
          <w:p>
            <w:pPr>
              <w:spacing w:after="0"/>
              <w:rPr>
                <w:sz w:val="7"/>
                <w:szCs w:val="7"/>
                <w:color w:val="auto"/>
              </w:rPr>
            </w:pPr>
          </w:p>
        </w:tc>
        <w:tc>
          <w:tcPr>
            <w:tcW w:w="104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20,344</w:t>
            </w:r>
          </w:p>
        </w:tc>
        <w:tc>
          <w:tcPr>
            <w:tcW w:w="540" w:type="dxa"/>
            <w:vAlign w:val="bottom"/>
          </w:tcPr>
          <w:p>
            <w:pPr>
              <w:spacing w:after="0"/>
              <w:rPr>
                <w:sz w:val="7"/>
                <w:szCs w:val="7"/>
                <w:color w:val="auto"/>
              </w:rPr>
            </w:pPr>
          </w:p>
        </w:tc>
        <w:tc>
          <w:tcPr>
            <w:tcW w:w="8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18,090</w:t>
            </w:r>
          </w:p>
        </w:tc>
        <w:tc>
          <w:tcPr>
            <w:tcW w:w="0" w:type="dxa"/>
            <w:vAlign w:val="bottom"/>
          </w:tcPr>
          <w:p>
            <w:pPr>
              <w:spacing w:after="0"/>
              <w:rPr>
                <w:sz w:val="1"/>
                <w:szCs w:val="1"/>
                <w:color w:val="auto"/>
              </w:rPr>
            </w:pPr>
          </w:p>
        </w:tc>
      </w:tr>
      <w:tr>
        <w:trPr>
          <w:trHeight w:val="173"/>
        </w:trPr>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Revenues</w:t>
            </w:r>
          </w:p>
        </w:tc>
        <w:tc>
          <w:tcPr>
            <w:tcW w:w="27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  .......................</w:t>
            </w:r>
          </w:p>
        </w:tc>
        <w:tc>
          <w:tcPr>
            <w:tcW w:w="6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w:t>
            </w:r>
          </w:p>
        </w:tc>
        <w:tc>
          <w:tcPr>
            <w:tcW w:w="58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w:t>
            </w:r>
          </w:p>
        </w:tc>
        <w:tc>
          <w:tcPr>
            <w:tcW w:w="80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5.8%</w:t>
            </w:r>
          </w:p>
        </w:tc>
        <w:tc>
          <w:tcPr>
            <w:tcW w:w="50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w:t>
            </w:r>
          </w:p>
        </w:tc>
        <w:tc>
          <w:tcPr>
            <w:tcW w:w="54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w:t>
            </w:r>
          </w:p>
        </w:tc>
        <w:tc>
          <w:tcPr>
            <w:tcW w:w="0" w:type="dxa"/>
            <w:vAlign w:val="bottom"/>
          </w:tcPr>
          <w:p>
            <w:pPr>
              <w:spacing w:after="0"/>
              <w:rPr>
                <w:sz w:val="1"/>
                <w:szCs w:val="1"/>
                <w:color w:val="auto"/>
              </w:rPr>
            </w:pPr>
          </w:p>
        </w:tc>
      </w:tr>
      <w:tr>
        <w:trPr>
          <w:trHeight w:val="255"/>
        </w:trPr>
        <w:tc>
          <w:tcPr>
            <w:tcW w:w="3820" w:type="dxa"/>
            <w:vAlign w:val="bottom"/>
            <w:gridSpan w:val="2"/>
            <w:vMerge w:val="restart"/>
          </w:tcPr>
          <w:p>
            <w:pPr>
              <w:jc w:val="right"/>
              <w:ind w:right="1505"/>
              <w:spacing w:after="0"/>
              <w:rPr>
                <w:sz w:val="20"/>
                <w:szCs w:val="20"/>
                <w:color w:val="auto"/>
              </w:rPr>
            </w:pPr>
            <w:r>
              <w:rPr>
                <w:rFonts w:ascii="Courier New" w:cs="Courier New" w:eastAsia="Courier New" w:hAnsi="Courier New"/>
                <w:sz w:val="15"/>
                <w:szCs w:val="15"/>
                <w:color w:val="auto"/>
              </w:rPr>
              <w:t>Total Manufactured</w:t>
            </w:r>
          </w:p>
        </w:tc>
        <w:tc>
          <w:tcPr>
            <w:tcW w:w="15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82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483,398</w:t>
            </w:r>
          </w:p>
        </w:tc>
        <w:tc>
          <w:tcPr>
            <w:tcW w:w="580" w:type="dxa"/>
            <w:vAlign w:val="bottom"/>
          </w:tcPr>
          <w:p>
            <w:pPr>
              <w:spacing w:after="0"/>
              <w:rPr>
                <w:sz w:val="7"/>
                <w:szCs w:val="7"/>
                <w:color w:val="auto"/>
              </w:rPr>
            </w:pP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458,909</w:t>
            </w:r>
          </w:p>
        </w:tc>
        <w:tc>
          <w:tcPr>
            <w:tcW w:w="800" w:type="dxa"/>
            <w:vAlign w:val="bottom"/>
          </w:tcPr>
          <w:p>
            <w:pPr>
              <w:spacing w:after="0"/>
              <w:rPr>
                <w:sz w:val="7"/>
                <w:szCs w:val="7"/>
                <w:color w:val="auto"/>
              </w:rPr>
            </w:pPr>
          </w:p>
        </w:tc>
        <w:tc>
          <w:tcPr>
            <w:tcW w:w="10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432,406</w:t>
            </w:r>
          </w:p>
        </w:tc>
        <w:tc>
          <w:tcPr>
            <w:tcW w:w="500" w:type="dxa"/>
            <w:vAlign w:val="bottom"/>
          </w:tcPr>
          <w:p>
            <w:pPr>
              <w:spacing w:after="0"/>
              <w:rPr>
                <w:sz w:val="7"/>
                <w:szCs w:val="7"/>
                <w:color w:val="auto"/>
              </w:rPr>
            </w:pPr>
          </w:p>
        </w:tc>
        <w:tc>
          <w:tcPr>
            <w:tcW w:w="104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364,860</w:t>
            </w:r>
          </w:p>
        </w:tc>
        <w:tc>
          <w:tcPr>
            <w:tcW w:w="540" w:type="dxa"/>
            <w:vAlign w:val="bottom"/>
          </w:tcPr>
          <w:p>
            <w:pPr>
              <w:spacing w:after="0"/>
              <w:rPr>
                <w:sz w:val="7"/>
                <w:szCs w:val="7"/>
                <w:color w:val="auto"/>
              </w:rPr>
            </w:pPr>
          </w:p>
        </w:tc>
        <w:tc>
          <w:tcPr>
            <w:tcW w:w="8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281,124</w:t>
            </w:r>
          </w:p>
        </w:tc>
        <w:tc>
          <w:tcPr>
            <w:tcW w:w="0" w:type="dxa"/>
            <w:vAlign w:val="bottom"/>
          </w:tcPr>
          <w:p>
            <w:pPr>
              <w:spacing w:after="0"/>
              <w:rPr>
                <w:sz w:val="1"/>
                <w:szCs w:val="1"/>
                <w:color w:val="auto"/>
              </w:rPr>
            </w:pPr>
          </w:p>
        </w:tc>
      </w:tr>
      <w:tr>
        <w:trPr>
          <w:trHeight w:val="173"/>
        </w:trPr>
        <w:tc>
          <w:tcPr>
            <w:tcW w:w="3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Products Revenues  ............</w:t>
            </w:r>
          </w:p>
        </w:tc>
        <w:tc>
          <w:tcPr>
            <w:tcW w:w="6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1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99.7%</w:t>
            </w:r>
          </w:p>
        </w:tc>
        <w:tc>
          <w:tcPr>
            <w:tcW w:w="580" w:type="dxa"/>
            <w:vAlign w:val="bottom"/>
          </w:tcPr>
          <w:p>
            <w:pPr>
              <w:spacing w:after="0"/>
              <w:rPr>
                <w:sz w:val="22"/>
                <w:szCs w:val="22"/>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99.7%</w:t>
            </w:r>
          </w:p>
        </w:tc>
        <w:tc>
          <w:tcPr>
            <w:tcW w:w="800" w:type="dxa"/>
            <w:vAlign w:val="bottom"/>
          </w:tcPr>
          <w:p>
            <w:pPr>
              <w:spacing w:after="0"/>
              <w:rPr>
                <w:sz w:val="22"/>
                <w:szCs w:val="22"/>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99.8%</w:t>
            </w:r>
          </w:p>
        </w:tc>
        <w:tc>
          <w:tcPr>
            <w:tcW w:w="500" w:type="dxa"/>
            <w:vAlign w:val="bottom"/>
          </w:tcPr>
          <w:p>
            <w:pPr>
              <w:spacing w:after="0"/>
              <w:rPr>
                <w:sz w:val="22"/>
                <w:szCs w:val="22"/>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99.8%</w:t>
            </w:r>
          </w:p>
        </w:tc>
        <w:tc>
          <w:tcPr>
            <w:tcW w:w="540" w:type="dxa"/>
            <w:vAlign w:val="bottom"/>
          </w:tcPr>
          <w:p>
            <w:pPr>
              <w:spacing w:after="0"/>
              <w:rPr>
                <w:sz w:val="22"/>
                <w:szCs w:val="22"/>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265"/>
        </w:trPr>
        <w:tc>
          <w:tcPr>
            <w:tcW w:w="3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9"/>
              </w:rPr>
              <w:t>Finance Revenues (4)  ...................</w:t>
            </w:r>
          </w:p>
        </w:tc>
        <w:tc>
          <w:tcPr>
            <w:tcW w:w="600" w:type="dxa"/>
            <w:vAlign w:val="bottom"/>
          </w:tcPr>
          <w:p>
            <w:pPr>
              <w:spacing w:after="0"/>
              <w:rPr>
                <w:sz w:val="23"/>
                <w:szCs w:val="23"/>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1,406</w:t>
            </w:r>
          </w:p>
        </w:tc>
        <w:tc>
          <w:tcPr>
            <w:tcW w:w="580" w:type="dxa"/>
            <w:vAlign w:val="bottom"/>
          </w:tcPr>
          <w:p>
            <w:pPr>
              <w:spacing w:after="0"/>
              <w:rPr>
                <w:sz w:val="23"/>
                <w:szCs w:val="23"/>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1,220</w:t>
            </w:r>
          </w:p>
        </w:tc>
        <w:tc>
          <w:tcPr>
            <w:tcW w:w="800" w:type="dxa"/>
            <w:vAlign w:val="bottom"/>
          </w:tcPr>
          <w:p>
            <w:pPr>
              <w:spacing w:after="0"/>
              <w:rPr>
                <w:sz w:val="23"/>
                <w:szCs w:val="23"/>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831</w:t>
            </w:r>
          </w:p>
        </w:tc>
        <w:tc>
          <w:tcPr>
            <w:tcW w:w="500" w:type="dxa"/>
            <w:vAlign w:val="bottom"/>
          </w:tcPr>
          <w:p>
            <w:pPr>
              <w:spacing w:after="0"/>
              <w:rPr>
                <w:sz w:val="23"/>
                <w:szCs w:val="23"/>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595</w:t>
            </w:r>
          </w:p>
        </w:tc>
        <w:tc>
          <w:tcPr>
            <w:tcW w:w="540" w:type="dxa"/>
            <w:vAlign w:val="bottom"/>
          </w:tcPr>
          <w:p>
            <w:pPr>
              <w:spacing w:after="0"/>
              <w:rPr>
                <w:sz w:val="23"/>
                <w:szCs w:val="23"/>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w:t>
            </w:r>
          </w:p>
        </w:tc>
        <w:tc>
          <w:tcPr>
            <w:tcW w:w="58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w:t>
            </w:r>
          </w:p>
        </w:tc>
        <w:tc>
          <w:tcPr>
            <w:tcW w:w="80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w:t>
            </w:r>
          </w:p>
        </w:tc>
        <w:tc>
          <w:tcPr>
            <w:tcW w:w="50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w:t>
            </w:r>
          </w:p>
        </w:tc>
        <w:tc>
          <w:tcPr>
            <w:tcW w:w="54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 -</w:t>
            </w:r>
          </w:p>
        </w:tc>
        <w:tc>
          <w:tcPr>
            <w:tcW w:w="0" w:type="dxa"/>
            <w:vAlign w:val="bottom"/>
          </w:tcPr>
          <w:p>
            <w:pPr>
              <w:spacing w:after="0"/>
              <w:rPr>
                <w:sz w:val="1"/>
                <w:szCs w:val="1"/>
                <w:color w:val="auto"/>
              </w:rPr>
            </w:pPr>
          </w:p>
        </w:tc>
      </w:tr>
      <w:tr>
        <w:trPr>
          <w:trHeight w:val="255"/>
        </w:trPr>
        <w:tc>
          <w:tcPr>
            <w:tcW w:w="11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5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3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9"/>
              </w:rPr>
              <w:t>Total Net Revenues  .....................</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484,804</w:t>
            </w:r>
          </w:p>
        </w:tc>
        <w:tc>
          <w:tcPr>
            <w:tcW w:w="5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460,129</w:t>
            </w:r>
          </w:p>
        </w:tc>
        <w:tc>
          <w:tcPr>
            <w:tcW w:w="8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433,237</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365,455</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281,136</w:t>
            </w:r>
          </w:p>
        </w:tc>
        <w:tc>
          <w:tcPr>
            <w:tcW w:w="0" w:type="dxa"/>
            <w:vAlign w:val="bottom"/>
          </w:tcPr>
          <w:p>
            <w:pPr>
              <w:spacing w:after="0"/>
              <w:rPr>
                <w:sz w:val="1"/>
                <w:szCs w:val="1"/>
                <w:color w:val="auto"/>
              </w:rPr>
            </w:pPr>
          </w:p>
        </w:tc>
      </w:tr>
      <w:tr>
        <w:trPr>
          <w:trHeight w:val="255"/>
        </w:trPr>
        <w:tc>
          <w:tcPr>
            <w:tcW w:w="11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100.0%</w:t>
            </w:r>
          </w:p>
        </w:tc>
        <w:tc>
          <w:tcPr>
            <w:tcW w:w="580" w:type="dxa"/>
            <w:vAlign w:val="bottom"/>
          </w:tcPr>
          <w:p>
            <w:pPr>
              <w:spacing w:after="0"/>
              <w:rPr>
                <w:sz w:val="22"/>
                <w:szCs w:val="22"/>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c>
          <w:tcPr>
            <w:tcW w:w="800" w:type="dxa"/>
            <w:vAlign w:val="bottom"/>
          </w:tcPr>
          <w:p>
            <w:pPr>
              <w:spacing w:after="0"/>
              <w:rPr>
                <w:sz w:val="22"/>
                <w:szCs w:val="22"/>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500" w:type="dxa"/>
            <w:vAlign w:val="bottom"/>
          </w:tcPr>
          <w:p>
            <w:pPr>
              <w:spacing w:after="0"/>
              <w:rPr>
                <w:sz w:val="22"/>
                <w:szCs w:val="22"/>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100.0%</w:t>
            </w:r>
          </w:p>
        </w:tc>
        <w:tc>
          <w:tcPr>
            <w:tcW w:w="540" w:type="dxa"/>
            <w:vAlign w:val="bottom"/>
          </w:tcPr>
          <w:p>
            <w:pPr>
              <w:spacing w:after="0"/>
              <w:rPr>
                <w:sz w:val="22"/>
                <w:szCs w:val="22"/>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448" w:right="4320" w:hanging="448"/>
        <w:spacing w:after="0" w:line="258" w:lineRule="auto"/>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ended August 31, 1996 contained 53 weeks; all other fiscal years in the table contained 52 weeks. All years are appropriately restated to exclude the revenues of the Company's discontinued Cycle-Sat, Inc.</w:t>
      </w:r>
    </w:p>
    <w:p>
      <w:pPr>
        <w:ind w:left="448" w:right="4320"/>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(Cycle-Sat) subsidiary and North Iowa Electronics, Inc. (NIE) revenues from contract assembly of a variety of electronic products..</w:t>
      </w:r>
    </w:p>
    <w:p>
      <w:pPr>
        <w:spacing w:after="0" w:line="1"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recreation vehicle related parts, service and van conversions.</w:t>
      </w:r>
    </w:p>
    <w:p>
      <w:pPr>
        <w:spacing w:after="0" w:line="3" w:lineRule="exact"/>
        <w:rPr>
          <w:rFonts w:ascii="Courier New" w:cs="Courier New" w:eastAsia="Courier New" w:hAnsi="Courier New"/>
          <w:sz w:val="15"/>
          <w:szCs w:val="15"/>
          <w:color w:val="auto"/>
        </w:rPr>
      </w:pPr>
    </w:p>
    <w:p>
      <w:pPr>
        <w:ind w:left="448" w:right="4680" w:hanging="448"/>
        <w:spacing w:after="0" w:line="244" w:lineRule="auto"/>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sales of extruded aluminum, commercial vehicles and component products for other manufacturers.</w:t>
      </w:r>
    </w:p>
    <w:p>
      <w:pPr>
        <w:spacing w:after="0" w:line="1"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WAC revenues from dealer financing.</w:t>
      </w:r>
    </w:p>
    <w:p>
      <w:pPr>
        <w:spacing w:after="0" w:line="149" w:lineRule="exact"/>
        <w:rPr>
          <w:sz w:val="20"/>
          <w:szCs w:val="20"/>
          <w:color w:val="auto"/>
        </w:rPr>
      </w:pPr>
    </w:p>
    <w:p>
      <w:pPr>
        <w:ind w:left="8" w:right="4760"/>
        <w:spacing w:after="0" w:line="365" w:lineRule="auto"/>
        <w:rPr>
          <w:sz w:val="20"/>
          <w:szCs w:val="20"/>
          <w:color w:val="auto"/>
        </w:rPr>
      </w:pPr>
      <w:r>
        <w:rPr>
          <w:rFonts w:ascii="Courier New" w:cs="Courier New" w:eastAsia="Courier New" w:hAnsi="Courier New"/>
          <w:sz w:val="15"/>
          <w:szCs w:val="15"/>
          <w:color w:val="auto"/>
        </w:rPr>
        <w:t>Unit sales of the Company's principal recreation vehicles for the last five fiscal years were as follows:</w:t>
      </w:r>
    </w:p>
    <w:p>
      <w:pPr>
        <w:spacing w:after="0" w:line="350"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Fiscal Year Ended(1)</w:t>
            </w:r>
          </w:p>
        </w:tc>
        <w:tc>
          <w:tcPr>
            <w:tcW w:w="1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77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15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August 31,</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August 26,</w:t>
            </w: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August 27,</w:t>
            </w:r>
          </w:p>
        </w:tc>
        <w:tc>
          <w:tcPr>
            <w:tcW w:w="1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August 28,</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August 29,</w:t>
            </w: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1996</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1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1994</w:t>
            </w:r>
          </w:p>
        </w:tc>
        <w:tc>
          <w:tcPr>
            <w:tcW w:w="15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1993</w:t>
            </w: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1992</w:t>
            </w:r>
          </w:p>
        </w:tc>
        <w:tc>
          <w:tcPr>
            <w:tcW w:w="0" w:type="dxa"/>
            <w:vAlign w:val="bottom"/>
          </w:tcPr>
          <w:p>
            <w:pPr>
              <w:spacing w:after="0"/>
              <w:rPr>
                <w:sz w:val="1"/>
                <w:szCs w:val="1"/>
                <w:color w:val="auto"/>
              </w:rPr>
            </w:pPr>
          </w:p>
        </w:tc>
      </w:tr>
      <w:tr>
        <w:trPr>
          <w:trHeight w:val="255"/>
        </w:trPr>
        <w:tc>
          <w:tcPr>
            <w:tcW w:w="382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3820" w:type="dxa"/>
            <w:vAlign w:val="bottom"/>
          </w:tcPr>
          <w:p>
            <w:pPr>
              <w:jc w:val="right"/>
              <w:ind w:right="2765"/>
              <w:spacing w:after="0"/>
              <w:rPr>
                <w:sz w:val="20"/>
                <w:szCs w:val="20"/>
                <w:color w:val="auto"/>
              </w:rPr>
            </w:pPr>
            <w:r>
              <w:rPr>
                <w:rFonts w:ascii="Courier New" w:cs="Courier New" w:eastAsia="Courier New" w:hAnsi="Courier New"/>
                <w:sz w:val="15"/>
                <w:szCs w:val="15"/>
                <w:color w:val="auto"/>
                <w:w w:val="96"/>
              </w:rPr>
              <w:t>Motor Homes</w:t>
            </w:r>
          </w:p>
        </w:tc>
        <w:tc>
          <w:tcPr>
            <w:tcW w:w="15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5,893</w:t>
            </w:r>
          </w:p>
        </w:tc>
        <w:tc>
          <w:tcPr>
            <w:tcW w:w="13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5,993</w:t>
            </w:r>
          </w:p>
        </w:tc>
        <w:tc>
          <w:tcPr>
            <w:tcW w:w="18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6,820</w:t>
            </w:r>
          </w:p>
        </w:tc>
        <w:tc>
          <w:tcPr>
            <w:tcW w:w="154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6,095</w:t>
            </w:r>
          </w:p>
        </w:tc>
        <w:tc>
          <w:tcPr>
            <w:tcW w:w="13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4,161</w:t>
            </w:r>
          </w:p>
        </w:tc>
        <w:tc>
          <w:tcPr>
            <w:tcW w:w="0" w:type="dxa"/>
            <w:vAlign w:val="bottom"/>
          </w:tcPr>
          <w:p>
            <w:pPr>
              <w:spacing w:after="0"/>
              <w:rPr>
                <w:sz w:val="1"/>
                <w:szCs w:val="1"/>
                <w:color w:val="auto"/>
              </w:rPr>
            </w:pPr>
          </w:p>
        </w:tc>
      </w:tr>
      <w:tr>
        <w:trPr>
          <w:trHeight w:val="173"/>
        </w:trPr>
        <w:tc>
          <w:tcPr>
            <w:tcW w:w="3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Class A  ............................</w:t>
            </w:r>
          </w:p>
        </w:tc>
        <w:tc>
          <w:tcPr>
            <w:tcW w:w="15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Class B  ............................</w:t>
            </w:r>
          </w:p>
        </w:tc>
        <w:tc>
          <w:tcPr>
            <w:tcW w:w="15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857</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1,014</w:t>
            </w: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376</w:t>
            </w:r>
          </w:p>
        </w:tc>
        <w:tc>
          <w:tcPr>
            <w:tcW w:w="1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 -</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 -</w:t>
            </w:r>
          </w:p>
        </w:tc>
        <w:tc>
          <w:tcPr>
            <w:tcW w:w="0" w:type="dxa"/>
            <w:vAlign w:val="bottom"/>
          </w:tcPr>
          <w:p>
            <w:pPr>
              <w:spacing w:after="0"/>
              <w:rPr>
                <w:sz w:val="1"/>
                <w:szCs w:val="1"/>
                <w:color w:val="auto"/>
              </w:rPr>
            </w:pPr>
          </w:p>
        </w:tc>
      </w:tr>
      <w:tr>
        <w:trPr>
          <w:trHeight w:val="173"/>
        </w:trPr>
        <w:tc>
          <w:tcPr>
            <w:tcW w:w="3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Class C  ............................</w:t>
            </w:r>
          </w:p>
        </w:tc>
        <w:tc>
          <w:tcPr>
            <w:tcW w:w="15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2,857</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2,853</w:t>
            </w: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1,862</w:t>
            </w:r>
          </w:p>
        </w:tc>
        <w:tc>
          <w:tcPr>
            <w:tcW w:w="1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2,425</w:t>
            </w:r>
          </w:p>
        </w:tc>
        <w:tc>
          <w:tcPr>
            <w:tcW w:w="0" w:type="dxa"/>
            <w:vAlign w:val="bottom"/>
          </w:tcPr>
          <w:p>
            <w:pPr>
              <w:spacing w:after="0"/>
              <w:rPr>
                <w:sz w:val="1"/>
                <w:szCs w:val="1"/>
                <w:color w:val="auto"/>
              </w:rPr>
            </w:pPr>
          </w:p>
        </w:tc>
      </w:tr>
      <w:tr>
        <w:trPr>
          <w:trHeight w:val="173"/>
        </w:trPr>
        <w:tc>
          <w:tcPr>
            <w:tcW w:w="3820" w:type="dxa"/>
            <w:vAlign w:val="bottom"/>
            <w:vMerge w:val="restart"/>
          </w:tcPr>
          <w:p>
            <w:pPr>
              <w:jc w:val="right"/>
              <w:ind w:right="2665"/>
              <w:spacing w:after="0"/>
              <w:rPr>
                <w:sz w:val="20"/>
                <w:szCs w:val="20"/>
                <w:color w:val="auto"/>
              </w:rPr>
            </w:pPr>
            <w:r>
              <w:rPr>
                <w:rFonts w:ascii="Courier New" w:cs="Courier New" w:eastAsia="Courier New" w:hAnsi="Courier New"/>
                <w:sz w:val="15"/>
                <w:szCs w:val="15"/>
                <w:color w:val="auto"/>
              </w:rPr>
              <w:t>Total</w:t>
            </w:r>
          </w:p>
        </w:tc>
        <w:tc>
          <w:tcPr>
            <w:tcW w:w="158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w w:val="72"/>
              </w:rPr>
              <w:t>--------------</w:t>
            </w:r>
            <w:r>
              <w:rPr>
                <w:rFonts w:ascii="Courier New" w:cs="Courier New" w:eastAsia="Courier New" w:hAnsi="Courier New"/>
                <w:sz w:val="28"/>
                <w:szCs w:val="28"/>
                <w:color w:val="auto"/>
                <w:w w:val="72"/>
                <w:vertAlign w:val="subscript"/>
              </w:rPr>
              <w:t>9,607</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0"/>
        </w:trPr>
        <w:tc>
          <w:tcPr>
            <w:tcW w:w="3820" w:type="dxa"/>
            <w:vAlign w:val="bottom"/>
            <w:vMerge w:val="continue"/>
          </w:tcPr>
          <w:p>
            <w:pPr>
              <w:jc w:val="right"/>
              <w:ind w:right="65"/>
              <w:spacing w:after="0" w:line="153" w:lineRule="exact"/>
              <w:rPr>
                <w:sz w:val="20"/>
                <w:szCs w:val="20"/>
                <w:color w:val="auto"/>
              </w:rPr>
            </w:pPr>
            <w:r>
              <w:rPr>
                <w:rFonts w:ascii="Courier New" w:cs="Courier New" w:eastAsia="Courier New" w:hAnsi="Courier New"/>
                <w:sz w:val="15"/>
                <w:szCs w:val="15"/>
                <w:color w:val="auto"/>
              </w:rPr>
              <w:t>...........................</w:t>
            </w:r>
          </w:p>
        </w:tc>
        <w:tc>
          <w:tcPr>
            <w:tcW w:w="1580" w:type="dxa"/>
            <w:vAlign w:val="bottom"/>
            <w:vMerge w:val="continue"/>
          </w:tcPr>
          <w:p>
            <w:pPr>
              <w:spacing w:after="0"/>
              <w:rPr>
                <w:sz w:val="23"/>
                <w:szCs w:val="23"/>
                <w:color w:val="auto"/>
              </w:rPr>
            </w:pP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9,860</w:t>
            </w: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9,058</w:t>
            </w:r>
          </w:p>
        </w:tc>
        <w:tc>
          <w:tcPr>
            <w:tcW w:w="1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8,093</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6,586</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448" w:right="4400" w:hanging="448"/>
        <w:spacing w:after="0" w:line="365" w:lineRule="auto"/>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ended August 31, 1996 contained 53 weeks; all other fiscal years in the table contained 52 weeks.</w:t>
      </w:r>
    </w:p>
    <w:p>
      <w:pPr>
        <w:spacing w:after="0" w:line="177" w:lineRule="exact"/>
        <w:rPr>
          <w:sz w:val="20"/>
          <w:szCs w:val="20"/>
          <w:color w:val="auto"/>
        </w:rPr>
      </w:pPr>
    </w:p>
    <w:p>
      <w:pPr>
        <w:jc w:val="both"/>
        <w:ind w:left="8" w:right="4320"/>
        <w:spacing w:after="0" w:line="335" w:lineRule="auto"/>
        <w:rPr>
          <w:sz w:val="20"/>
          <w:szCs w:val="20"/>
          <w:color w:val="auto"/>
        </w:rPr>
      </w:pPr>
      <w:r>
        <w:rPr>
          <w:rFonts w:ascii="Courier New" w:cs="Courier New" w:eastAsia="Courier New" w:hAnsi="Courier New"/>
          <w:sz w:val="14"/>
          <w:szCs w:val="14"/>
          <w:color w:val="auto"/>
        </w:rPr>
        <w:t>The primary use of recreation vehicles for leisure travel and outdoor recreation has historically led to a peak retail selling season concentrated in the spring and summer months. The Company's sales of recreation vehicles are generally</w:t>
      </w:r>
    </w:p>
    <w:p>
      <w:pPr>
        <w:sectPr>
          <w:pgSz w:w="11900" w:h="16929" w:orient="portrait"/>
          <w:cols w:equalWidth="0" w:num="1">
            <w:col w:w="11528"/>
          </w:cols>
          <w:pgMar w:left="232" w:top="113" w:right="139" w:bottom="0" w:gutter="0" w:footer="0" w:header="0"/>
        </w:sectPr>
      </w:pPr>
    </w:p>
    <w:bookmarkStart w:id="2" w:name="page3"/>
    <w:bookmarkEnd w:id="2"/>
    <w:p>
      <w:pPr>
        <w:ind w:right="3199"/>
        <w:spacing w:after="0" w:line="254" w:lineRule="auto"/>
        <w:rPr>
          <w:sz w:val="20"/>
          <w:szCs w:val="20"/>
          <w:color w:val="auto"/>
        </w:rPr>
      </w:pPr>
      <w:r>
        <w:rPr>
          <w:rFonts w:ascii="Courier New" w:cs="Courier New" w:eastAsia="Courier New" w:hAnsi="Courier New"/>
          <w:sz w:val="15"/>
          <w:szCs w:val="15"/>
          <w:color w:val="auto"/>
        </w:rPr>
        <w:t>influenced by this pattern in retail sales, but can also be affected by the level of dealer inventory. The Company has generally manufactured recreation vehicles during the entire year, both for immediate delivery and for inventory to satisfy the peak selling season.</w:t>
      </w:r>
    </w:p>
    <w:p>
      <w:pPr>
        <w:spacing w:after="0" w:line="2" w:lineRule="exact"/>
        <w:rPr>
          <w:sz w:val="20"/>
          <w:szCs w:val="20"/>
          <w:color w:val="auto"/>
        </w:rPr>
      </w:pPr>
    </w:p>
    <w:p>
      <w:pPr>
        <w:ind w:right="3099"/>
        <w:spacing w:after="0" w:line="325" w:lineRule="auto"/>
        <w:rPr>
          <w:sz w:val="20"/>
          <w:szCs w:val="20"/>
          <w:color w:val="auto"/>
        </w:rPr>
      </w:pPr>
      <w:r>
        <w:rPr>
          <w:rFonts w:ascii="Courier New" w:cs="Courier New" w:eastAsia="Courier New" w:hAnsi="Courier New"/>
          <w:sz w:val="15"/>
          <w:szCs w:val="15"/>
          <w:color w:val="auto"/>
        </w:rPr>
        <w:t>Order backlog information is not deemed significant to understand the Company's business.</w:t>
      </w:r>
    </w:p>
    <w:p>
      <w:pPr>
        <w:spacing w:after="0" w:line="32" w:lineRule="exact"/>
        <w:rPr>
          <w:sz w:val="20"/>
          <w:szCs w:val="20"/>
          <w:color w:val="auto"/>
        </w:rPr>
      </w:pPr>
    </w:p>
    <w:p>
      <w:pPr>
        <w:ind w:right="3279"/>
        <w:spacing w:after="0" w:line="262" w:lineRule="auto"/>
        <w:rPr>
          <w:sz w:val="20"/>
          <w:szCs w:val="20"/>
          <w:color w:val="auto"/>
        </w:rPr>
      </w:pPr>
      <w:r>
        <w:rPr>
          <w:rFonts w:ascii="Courier New" w:cs="Courier New" w:eastAsia="Courier New" w:hAnsi="Courier New"/>
          <w:sz w:val="15"/>
          <w:szCs w:val="15"/>
          <w:color w:val="auto"/>
        </w:rPr>
        <w:t>Presently, the Company meets its working capital and capital equipment requirements and cash requirements of subsidiaries with funds generated internally and funds from agreements with financial institutions. Since March 26, 1992, the Company has had a financing and security agreement with NationsCredit Corporation. Additionally, in February 1995, the Company and Cycle-Sat entered into a $4,500,000 line of credit with Firstar Bank Cedar Rapids. (See Note 9, Notes Payable, in the Company's Annual Report to Shareholders for the year ended August 31, 1996.)</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RECREATION VEHICLES</w:t>
      </w:r>
    </w:p>
    <w:p>
      <w:pPr>
        <w:spacing w:after="0" w:line="177" w:lineRule="exact"/>
        <w:rPr>
          <w:sz w:val="20"/>
          <w:szCs w:val="20"/>
          <w:color w:val="auto"/>
        </w:rPr>
      </w:pPr>
    </w:p>
    <w:p>
      <w:pPr>
        <w:jc w:val="both"/>
        <w:ind w:right="3019"/>
        <w:spacing w:after="0" w:line="365" w:lineRule="auto"/>
        <w:rPr>
          <w:sz w:val="20"/>
          <w:szCs w:val="20"/>
          <w:color w:val="auto"/>
        </w:rPr>
      </w:pPr>
      <w:r>
        <w:rPr>
          <w:rFonts w:ascii="Courier New" w:cs="Courier New" w:eastAsia="Courier New" w:hAnsi="Courier New"/>
          <w:sz w:val="15"/>
          <w:szCs w:val="15"/>
          <w:color w:val="auto"/>
        </w:rPr>
        <w:t>MOTOR HOMES - A motor home is a self-propelled mobile dwelling used primarily as a temporary dwelling during vacation and camping trips.</w:t>
      </w:r>
    </w:p>
    <w:p>
      <w:pPr>
        <w:spacing w:after="0" w:line="3" w:lineRule="exact"/>
        <w:rPr>
          <w:sz w:val="20"/>
          <w:szCs w:val="20"/>
          <w:color w:val="auto"/>
        </w:rPr>
      </w:pPr>
    </w:p>
    <w:p>
      <w:pPr>
        <w:jc w:val="both"/>
        <w:ind w:right="3019"/>
        <w:spacing w:after="0" w:line="305" w:lineRule="auto"/>
        <w:rPr>
          <w:sz w:val="20"/>
          <w:szCs w:val="20"/>
          <w:color w:val="auto"/>
        </w:rPr>
      </w:pPr>
      <w:r>
        <w:rPr>
          <w:rFonts w:ascii="Courier New" w:cs="Courier New" w:eastAsia="Courier New" w:hAnsi="Courier New"/>
          <w:sz w:val="15"/>
          <w:szCs w:val="15"/>
          <w:color w:val="auto"/>
        </w:rPr>
        <w:t>Recreation Vehicle Industry Association (RVIA) classifies motor homes into three types (Class A, Class B and Class C). Winnebago currently manufactures and sells all three types.</w:t>
      </w:r>
    </w:p>
    <w:p>
      <w:pPr>
        <w:spacing w:after="0" w:line="46" w:lineRule="exact"/>
        <w:rPr>
          <w:sz w:val="20"/>
          <w:szCs w:val="20"/>
          <w:color w:val="auto"/>
        </w:rPr>
      </w:pPr>
    </w:p>
    <w:p>
      <w:pPr>
        <w:ind w:right="3099"/>
        <w:spacing w:after="0" w:line="285" w:lineRule="auto"/>
        <w:rPr>
          <w:sz w:val="20"/>
          <w:szCs w:val="20"/>
          <w:color w:val="auto"/>
        </w:rPr>
      </w:pPr>
      <w:r>
        <w:rPr>
          <w:rFonts w:ascii="Courier New" w:cs="Courier New" w:eastAsia="Courier New" w:hAnsi="Courier New"/>
          <w:sz w:val="15"/>
          <w:szCs w:val="15"/>
          <w:color w:val="auto"/>
        </w:rPr>
        <w:t>Class A models are conventional motor homes constructed directly on medium-duty truck chassis which include the engine and drivetrain components. The living area and driver's compartment are designed and produced by the recreation vehicle manufacturer.</w:t>
      </w:r>
    </w:p>
    <w:p>
      <w:pPr>
        <w:spacing w:after="0" w:line="60" w:lineRule="exact"/>
        <w:rPr>
          <w:sz w:val="20"/>
          <w:szCs w:val="20"/>
          <w:color w:val="auto"/>
        </w:rPr>
      </w:pPr>
    </w:p>
    <w:p>
      <w:pPr>
        <w:ind w:right="3199"/>
        <w:spacing w:after="0" w:line="305" w:lineRule="auto"/>
        <w:rPr>
          <w:sz w:val="20"/>
          <w:szCs w:val="20"/>
          <w:color w:val="auto"/>
        </w:rPr>
      </w:pPr>
      <w:r>
        <w:rPr>
          <w:rFonts w:ascii="Courier New" w:cs="Courier New" w:eastAsia="Courier New" w:hAnsi="Courier New"/>
          <w:sz w:val="15"/>
          <w:szCs w:val="15"/>
          <w:color w:val="auto"/>
        </w:rPr>
        <w:t>Class B models are a panel-type truck to which sleeping, kitchen and toilet facilities are added. These models also have a top extension added to them for more head room.</w:t>
      </w:r>
    </w:p>
    <w:p>
      <w:pPr>
        <w:spacing w:after="0" w:line="46" w:lineRule="exact"/>
        <w:rPr>
          <w:sz w:val="20"/>
          <w:szCs w:val="20"/>
          <w:color w:val="auto"/>
        </w:rPr>
      </w:pPr>
    </w:p>
    <w:p>
      <w:pPr>
        <w:ind w:right="3199"/>
        <w:spacing w:after="0" w:line="285" w:lineRule="auto"/>
        <w:rPr>
          <w:sz w:val="20"/>
          <w:szCs w:val="20"/>
          <w:color w:val="auto"/>
        </w:rPr>
      </w:pPr>
      <w:r>
        <w:rPr>
          <w:rFonts w:ascii="Courier New" w:cs="Courier New" w:eastAsia="Courier New" w:hAnsi="Courier New"/>
          <w:sz w:val="15"/>
          <w:szCs w:val="15"/>
          <w:color w:val="auto"/>
        </w:rPr>
        <w:t>Class C models are mini motor homes built on van-type chassis onto which the manufacturer constructs a living area with access to the driver's compartment. Certain models of the Company's Class C units include van-type driver's compartments built by the Company.</w:t>
      </w:r>
    </w:p>
    <w:p>
      <w:pPr>
        <w:spacing w:after="0" w:line="60"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5"/>
          <w:szCs w:val="15"/>
          <w:color w:val="auto"/>
        </w:rPr>
        <w:t>The Company currently manufactures and sells motor homes primarily under the Winnebago, Itasca, Vectra, Rialta and Luxor brand names. The Class A and Class C motor homes generally provide living accommodations for four to seven persons and include kitchen, dining, sleeping and bath areas, and in some models, a lounge. Optional equipment accessories include, among other items, air conditioning, electric power plant, stereo system and a wide selection of interior equipment.</w:t>
      </w:r>
    </w:p>
    <w:p>
      <w:pPr>
        <w:spacing w:after="0" w:line="79" w:lineRule="exact"/>
        <w:rPr>
          <w:sz w:val="20"/>
          <w:szCs w:val="20"/>
          <w:color w:val="auto"/>
        </w:rPr>
      </w:pPr>
    </w:p>
    <w:p>
      <w:pPr>
        <w:ind w:right="3099"/>
        <w:spacing w:after="0" w:line="264" w:lineRule="auto"/>
        <w:rPr>
          <w:sz w:val="20"/>
          <w:szCs w:val="20"/>
          <w:color w:val="auto"/>
        </w:rPr>
      </w:pPr>
      <w:r>
        <w:rPr>
          <w:rFonts w:ascii="Courier New" w:cs="Courier New" w:eastAsia="Courier New" w:hAnsi="Courier New"/>
          <w:sz w:val="15"/>
          <w:szCs w:val="15"/>
          <w:color w:val="auto"/>
        </w:rPr>
        <w:t>Except for the Company's Rialtas, motor homes are sold with a basic warranty against defects in workmanship or materials for a period of 12 months or 15,000 miles, whichever occurs first. Rialtas are sold with a basic warranty package for a period of 24 months or 24,000 miles, whichever occurs first. At the expiration of the basic warranty period, the first owner receives a 36-month or 36,000-mile, whichever occurs first, limited warranty against delamination on the sidewalls and back walls.</w:t>
      </w:r>
    </w:p>
    <w:p>
      <w:pPr>
        <w:spacing w:after="0" w:line="79" w:lineRule="exact"/>
        <w:rPr>
          <w:sz w:val="20"/>
          <w:szCs w:val="20"/>
          <w:color w:val="auto"/>
        </w:rPr>
      </w:pPr>
    </w:p>
    <w:p>
      <w:pPr>
        <w:ind w:right="3099"/>
        <w:spacing w:after="0" w:line="305" w:lineRule="auto"/>
        <w:rPr>
          <w:sz w:val="20"/>
          <w:szCs w:val="20"/>
          <w:color w:val="auto"/>
        </w:rPr>
      </w:pPr>
      <w:r>
        <w:rPr>
          <w:rFonts w:ascii="Courier New" w:cs="Courier New" w:eastAsia="Courier New" w:hAnsi="Courier New"/>
          <w:sz w:val="15"/>
          <w:szCs w:val="15"/>
          <w:color w:val="auto"/>
        </w:rPr>
        <w:t>The Company's motor homes are sold by dealers in the retail market at prices ranging from approximately $40,000 to more than $210,000, depending on size and model, plus optional equipment and delivery charges.</w:t>
      </w:r>
    </w:p>
    <w:p>
      <w:pPr>
        <w:spacing w:after="0" w:line="46" w:lineRule="exact"/>
        <w:rPr>
          <w:sz w:val="20"/>
          <w:szCs w:val="20"/>
          <w:color w:val="auto"/>
        </w:rPr>
      </w:pPr>
    </w:p>
    <w:p>
      <w:pPr>
        <w:ind w:right="3019"/>
        <w:spacing w:after="0" w:line="305" w:lineRule="auto"/>
        <w:rPr>
          <w:sz w:val="20"/>
          <w:szCs w:val="20"/>
          <w:color w:val="auto"/>
        </w:rPr>
      </w:pPr>
      <w:r>
        <w:rPr>
          <w:rFonts w:ascii="Courier New" w:cs="Courier New" w:eastAsia="Courier New" w:hAnsi="Courier New"/>
          <w:sz w:val="15"/>
          <w:szCs w:val="15"/>
          <w:color w:val="auto"/>
        </w:rPr>
        <w:t>The Company currently manufactures Class A and Class C motor homes ranging in length from 25 to 37 feet and 21 to 31 feet, respectively. The Company's Class B motor homes are 17 feet in length.</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NON-RECREATION VEHICLE ACTIVITIES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OEM, COMMERCIAL VEHICLES, AND OTHER PRODUCTS</w:t>
      </w:r>
    </w:p>
    <w:p>
      <w:pPr>
        <w:spacing w:after="0" w:line="177" w:lineRule="exact"/>
        <w:rPr>
          <w:sz w:val="20"/>
          <w:szCs w:val="20"/>
          <w:color w:val="auto"/>
        </w:rPr>
      </w:pPr>
    </w:p>
    <w:p>
      <w:pPr>
        <w:ind w:right="3099"/>
        <w:spacing w:after="0" w:line="305" w:lineRule="auto"/>
        <w:rPr>
          <w:sz w:val="20"/>
          <w:szCs w:val="20"/>
          <w:color w:val="auto"/>
        </w:rPr>
      </w:pPr>
      <w:r>
        <w:rPr>
          <w:rFonts w:ascii="Courier New" w:cs="Courier New" w:eastAsia="Courier New" w:hAnsi="Courier New"/>
          <w:sz w:val="15"/>
          <w:szCs w:val="15"/>
          <w:color w:val="auto"/>
        </w:rPr>
        <w:t>OEM - Original equipment manufacturer sales of component parts such as aluminum extrusions, metal stamping, rotational moldings, vacuum formed plastics and fiberglass to outside manufacturers.</w:t>
      </w:r>
    </w:p>
    <w:p>
      <w:pPr>
        <w:spacing w:after="0" w:line="46" w:lineRule="exact"/>
        <w:rPr>
          <w:sz w:val="20"/>
          <w:szCs w:val="20"/>
          <w:color w:val="auto"/>
        </w:rPr>
      </w:pPr>
    </w:p>
    <w:p>
      <w:pPr>
        <w:ind w:right="3559"/>
        <w:spacing w:after="0" w:line="365" w:lineRule="auto"/>
        <w:rPr>
          <w:sz w:val="20"/>
          <w:szCs w:val="20"/>
          <w:color w:val="auto"/>
        </w:rPr>
      </w:pPr>
      <w:r>
        <w:rPr>
          <w:rFonts w:ascii="Courier New" w:cs="Courier New" w:eastAsia="Courier New" w:hAnsi="Courier New"/>
          <w:sz w:val="15"/>
          <w:szCs w:val="15"/>
          <w:color w:val="auto"/>
        </w:rPr>
        <w:t>Commercial Vehicles - Commercial vehicles sales are custom shells designed specifically for the buyer's special needs and requirements.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Products - Sales of molded plastic docks for marine applications.</w:t>
      </w:r>
    </w:p>
    <w:p>
      <w:pPr>
        <w:spacing w:after="0" w:line="177" w:lineRule="exact"/>
        <w:rPr>
          <w:sz w:val="20"/>
          <w:szCs w:val="20"/>
          <w:color w:val="auto"/>
        </w:rPr>
      </w:pPr>
    </w:p>
    <w:p>
      <w:pPr>
        <w:ind w:right="3379"/>
        <w:spacing w:after="0" w:line="365" w:lineRule="auto"/>
        <w:rPr>
          <w:sz w:val="20"/>
          <w:szCs w:val="20"/>
          <w:color w:val="auto"/>
        </w:rPr>
      </w:pPr>
      <w:r>
        <w:rPr>
          <w:rFonts w:ascii="Courier New" w:cs="Courier New" w:eastAsia="Courier New" w:hAnsi="Courier New"/>
          <w:sz w:val="15"/>
          <w:szCs w:val="15"/>
          <w:color w:val="auto"/>
        </w:rPr>
        <w:t>WINNEBAGO ACCEPTANCE CORPORATION - WAC engages in floor plan and rental unit financing for a limited number of the Company's dealers.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ACTIVITIES -</w:t>
      </w:r>
    </w:p>
    <w:p>
      <w:pPr>
        <w:spacing w:after="0" w:line="177" w:lineRule="exact"/>
        <w:rPr>
          <w:sz w:val="20"/>
          <w:szCs w:val="20"/>
          <w:color w:val="auto"/>
        </w:rPr>
      </w:pPr>
    </w:p>
    <w:p>
      <w:pPr>
        <w:ind w:right="3459"/>
        <w:spacing w:after="0" w:line="285" w:lineRule="auto"/>
        <w:rPr>
          <w:sz w:val="20"/>
          <w:szCs w:val="20"/>
          <w:color w:val="auto"/>
        </w:rPr>
      </w:pPr>
      <w:r>
        <w:rPr>
          <w:rFonts w:ascii="Courier New" w:cs="Courier New" w:eastAsia="Courier New" w:hAnsi="Courier New"/>
          <w:sz w:val="15"/>
          <w:szCs w:val="15"/>
          <w:color w:val="auto"/>
        </w:rPr>
        <w:t>On September 9, 1996, a letter of understanding was reached to sell substantially all of the assets of Cycle-Sat. See Note 2, Discontinued Operations - Sale of Cycle-Sat Subsidiary in the Company's Annual Report to Shareholders for the year ended August 31, 1996.</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discontinued its van conversion operations in fiscal 1995.</w:t>
      </w:r>
    </w:p>
    <w:p>
      <w:pPr>
        <w:spacing w:after="0" w:line="177" w:lineRule="exact"/>
        <w:rPr>
          <w:sz w:val="20"/>
          <w:szCs w:val="20"/>
          <w:color w:val="auto"/>
        </w:rPr>
      </w:pPr>
    </w:p>
    <w:p>
      <w:pPr>
        <w:ind w:right="3019"/>
        <w:spacing w:after="0" w:line="274" w:lineRule="auto"/>
        <w:rPr>
          <w:sz w:val="20"/>
          <w:szCs w:val="20"/>
          <w:color w:val="auto"/>
        </w:rPr>
      </w:pPr>
      <w:r>
        <w:rPr>
          <w:rFonts w:ascii="Courier New" w:cs="Courier New" w:eastAsia="Courier New" w:hAnsi="Courier New"/>
          <w:sz w:val="15"/>
          <w:szCs w:val="15"/>
          <w:color w:val="auto"/>
        </w:rPr>
        <w:t>The Company sold a majority of the assets of North Iowa Electronics, Inc., a contract assembler of a variety of electronic products, on August 8, 1993. See Note 3, Discontinued Operations - Disposal of Electronic Component Assembly Segment in the Company's Annual Report to Shareholders for the year ended August 31, 1996.</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PRODUCTION</w:t>
      </w:r>
    </w:p>
    <w:p>
      <w:pPr>
        <w:sectPr>
          <w:pgSz w:w="11900" w:h="16838" w:orient="portrait"/>
          <w:cols w:equalWidth="0" w:num="1">
            <w:col w:w="10219"/>
          </w:cols>
          <w:pgMar w:left="240" w:top="113" w:right="1440" w:bottom="0" w:gutter="0" w:footer="0" w:header="0"/>
        </w:sectPr>
      </w:pPr>
    </w:p>
    <w:bookmarkStart w:id="3" w:name="page4"/>
    <w:bookmarkEnd w:id="3"/>
    <w:p>
      <w:pPr>
        <w:ind w:right="3019"/>
        <w:spacing w:after="0" w:line="268" w:lineRule="auto"/>
        <w:rPr>
          <w:sz w:val="20"/>
          <w:szCs w:val="20"/>
          <w:color w:val="auto"/>
        </w:rPr>
      </w:pPr>
      <w:r>
        <w:rPr>
          <w:rFonts w:ascii="Courier New" w:cs="Courier New" w:eastAsia="Courier New" w:hAnsi="Courier New"/>
          <w:sz w:val="15"/>
          <w:szCs w:val="15"/>
          <w:color w:val="auto"/>
        </w:rPr>
        <w:t>The Company's Forest City facilities have been designed to provide vertically integrated production line manufacturing. The Company also operates a fiberglass manufacturing facility in Hampton, Iowa, and a sewing operation in Lorimor, Iowa. The Company manufactures the majority of the components utilized in its motor homes, with the exception of the chassis, engines, auxiliary power units and appliances.</w:t>
      </w:r>
    </w:p>
    <w:p>
      <w:pPr>
        <w:spacing w:after="0" w:line="75" w:lineRule="exact"/>
        <w:rPr>
          <w:sz w:val="20"/>
          <w:szCs w:val="20"/>
          <w:color w:val="auto"/>
        </w:rPr>
      </w:pPr>
    </w:p>
    <w:p>
      <w:pPr>
        <w:ind w:right="3019"/>
        <w:spacing w:after="0" w:line="276" w:lineRule="auto"/>
        <w:rPr>
          <w:sz w:val="20"/>
          <w:szCs w:val="20"/>
          <w:color w:val="auto"/>
        </w:rPr>
      </w:pPr>
      <w:r>
        <w:rPr>
          <w:rFonts w:ascii="Courier New" w:cs="Courier New" w:eastAsia="Courier New" w:hAnsi="Courier New"/>
          <w:sz w:val="14"/>
          <w:szCs w:val="14"/>
          <w:color w:val="auto"/>
        </w:rPr>
        <w:t>Most of the raw materials and components utilized by the Company are obtainable from numerous sources. The Company believes that substitutes for raw materials and components, with the exception of chassis, would be obtainable with no material impact on the Company's operations. The Company purchases Class A and C chassis and engines from General Motors Corporation - Chevrolet Motor Division and Ford Motor Company; Class C chassis and engines from Volkswagen of America, Inc.; and Class A chassis and engines from Freightliner Custom Chassis Corporation. Class B chassis and engines from Volkswagen of America, Inc. are utilized in the Company's EuroVan Camper. Only two vendors accounted for as much as five percent of the Company's purchases in fiscal 1996, Ford Motor Company and General Motors Corporation (approximately 31 percent, in the aggregate).</w:t>
      </w:r>
    </w:p>
    <w:p>
      <w:pPr>
        <w:spacing w:after="0" w:line="74" w:lineRule="exact"/>
        <w:rPr>
          <w:sz w:val="20"/>
          <w:szCs w:val="20"/>
          <w:color w:val="auto"/>
        </w:rPr>
      </w:pPr>
    </w:p>
    <w:p>
      <w:pPr>
        <w:ind w:right="3019"/>
        <w:spacing w:after="0" w:line="258" w:lineRule="auto"/>
        <w:rPr>
          <w:sz w:val="20"/>
          <w:szCs w:val="20"/>
          <w:color w:val="auto"/>
        </w:rPr>
      </w:pPr>
      <w:r>
        <w:rPr>
          <w:rFonts w:ascii="Courier New" w:cs="Courier New" w:eastAsia="Courier New" w:hAnsi="Courier New"/>
          <w:sz w:val="15"/>
          <w:szCs w:val="15"/>
          <w:color w:val="auto"/>
        </w:rPr>
        <w:t>Motor home bodies are made principally of Thermo-Panel materials: the lamination of aluminum and/or fiberglass, extruded polystyrene foam and plywood into lightweight rigid structural panels by a process developed by the Company. These panels are cut to form the floor, roof and sidewalls. Additional structural strength is provided by Thermo-Steel(R) construction, which combines Thermo-Panel materials and a framework of heavy gauge steel reinforcement at structural stress points. The body is designed to meet Winnebago safety standards, with most models subjected to computer stress analysis. Certain models of motor homes are made in part of other materials such as aluminum, fiberglass and plastic.</w:t>
      </w:r>
    </w:p>
    <w:p>
      <w:pPr>
        <w:spacing w:after="0" w:line="81" w:lineRule="exact"/>
        <w:rPr>
          <w:sz w:val="20"/>
          <w:szCs w:val="20"/>
          <w:color w:val="auto"/>
        </w:rPr>
      </w:pPr>
    </w:p>
    <w:p>
      <w:pPr>
        <w:ind w:right="3199"/>
        <w:spacing w:after="0" w:line="274" w:lineRule="auto"/>
        <w:rPr>
          <w:sz w:val="20"/>
          <w:szCs w:val="20"/>
          <w:color w:val="auto"/>
        </w:rPr>
      </w:pPr>
      <w:r>
        <w:rPr>
          <w:rFonts w:ascii="Courier New" w:cs="Courier New" w:eastAsia="Courier New" w:hAnsi="Courier New"/>
          <w:sz w:val="15"/>
          <w:szCs w:val="15"/>
          <w:color w:val="auto"/>
        </w:rPr>
        <w:t>The Company manufactures picture windows, lavatories, and all of the doors, cabinets, shower pans, waste holding tanks, wheel wells and sun visors used in its recreation vehicles. In addition, the Company produces most of the bucket seats, upholstery items, lounge and dinette seats, seat covers, mattresses, decorator pillows, curtains and drapes.</w:t>
      </w:r>
    </w:p>
    <w:p>
      <w:pPr>
        <w:spacing w:after="0" w:line="70" w:lineRule="exact"/>
        <w:rPr>
          <w:sz w:val="20"/>
          <w:szCs w:val="20"/>
          <w:color w:val="auto"/>
        </w:rPr>
      </w:pPr>
    </w:p>
    <w:p>
      <w:pPr>
        <w:ind w:right="3199"/>
        <w:spacing w:after="0" w:line="335" w:lineRule="auto"/>
        <w:rPr>
          <w:sz w:val="20"/>
          <w:szCs w:val="20"/>
          <w:color w:val="auto"/>
        </w:rPr>
      </w:pPr>
      <w:r>
        <w:rPr>
          <w:rFonts w:ascii="Courier New" w:cs="Courier New" w:eastAsia="Courier New" w:hAnsi="Courier New"/>
          <w:sz w:val="14"/>
          <w:szCs w:val="14"/>
          <w:color w:val="auto"/>
        </w:rPr>
        <w:t>The Company produces substantially all of the raw, anodized and powder-painted aluminum extrusions used for interior and exterior trim in its recreation vehicles. The Company also sells aluminum extrusions to over 130 customers.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AND FINANCING</w:t>
      </w:r>
    </w:p>
    <w:p>
      <w:pPr>
        <w:spacing w:after="0" w:line="177" w:lineRule="exact"/>
        <w:rPr>
          <w:sz w:val="20"/>
          <w:szCs w:val="20"/>
          <w:color w:val="auto"/>
        </w:rPr>
      </w:pPr>
    </w:p>
    <w:p>
      <w:pPr>
        <w:ind w:right="3019"/>
        <w:spacing w:after="0" w:line="259" w:lineRule="auto"/>
        <w:rPr>
          <w:sz w:val="20"/>
          <w:szCs w:val="20"/>
          <w:color w:val="auto"/>
        </w:rPr>
      </w:pPr>
      <w:r>
        <w:rPr>
          <w:rFonts w:ascii="Courier New" w:cs="Courier New" w:eastAsia="Courier New" w:hAnsi="Courier New"/>
          <w:sz w:val="15"/>
          <w:szCs w:val="15"/>
          <w:color w:val="auto"/>
        </w:rPr>
        <w:t>The Company markets its recreation vehicles on a wholesale basis to a broadly diversified dealer organization located primarily throughout the United States and, to a limited extent, in Canada and other foreign countries. Foreign sales, including Canada, were less than eight percent of net revenues in fiscal 1996. As of August 31, 1996, the motor home dealer organization in the United States and Canada included approximately 340 dealers, compared to approximately 360 dealers at August 26, 1995. During fiscal 1996, 13 dealers accounted for approximately 25 percent of motor home unit sales, and only one dealer accounted for more than seven percent (7.2%) of motor home unit sales.</w:t>
      </w:r>
    </w:p>
    <w:p>
      <w:pPr>
        <w:spacing w:after="0" w:line="83" w:lineRule="exact"/>
        <w:rPr>
          <w:sz w:val="20"/>
          <w:szCs w:val="20"/>
          <w:color w:val="auto"/>
        </w:rPr>
      </w:pPr>
    </w:p>
    <w:p>
      <w:pPr>
        <w:ind w:right="3019"/>
        <w:spacing w:after="0" w:line="285" w:lineRule="auto"/>
        <w:rPr>
          <w:sz w:val="20"/>
          <w:szCs w:val="20"/>
          <w:color w:val="auto"/>
        </w:rPr>
      </w:pPr>
      <w:r>
        <w:rPr>
          <w:rFonts w:ascii="Courier New" w:cs="Courier New" w:eastAsia="Courier New" w:hAnsi="Courier New"/>
          <w:sz w:val="15"/>
          <w:szCs w:val="15"/>
          <w:color w:val="auto"/>
        </w:rPr>
        <w:t>Winnebago Industries Europe GmbH, a wholly owned subsidiary, was formed in fiscal 1992 to expand the Company's presence in Europe. (See Note 18, Business Segment Information, in the Company's Annual Report to Shareholders for the year ended August 31, 1996.)</w:t>
      </w:r>
    </w:p>
    <w:p>
      <w:pPr>
        <w:spacing w:after="0" w:line="60" w:lineRule="exact"/>
        <w:rPr>
          <w:sz w:val="20"/>
          <w:szCs w:val="20"/>
          <w:color w:val="auto"/>
        </w:rPr>
      </w:pPr>
    </w:p>
    <w:p>
      <w:pPr>
        <w:ind w:right="3099"/>
        <w:spacing w:after="0" w:line="262" w:lineRule="auto"/>
        <w:rPr>
          <w:sz w:val="20"/>
          <w:szCs w:val="20"/>
          <w:color w:val="auto"/>
        </w:rPr>
      </w:pPr>
      <w:r>
        <w:rPr>
          <w:rFonts w:ascii="Courier New" w:cs="Courier New" w:eastAsia="Courier New" w:hAnsi="Courier New"/>
          <w:sz w:val="15"/>
          <w:szCs w:val="15"/>
          <w:color w:val="auto"/>
        </w:rPr>
        <w:t>The Company has sales agreements with dealers which are renewed on an annual or bi-annual basis. Many of the dealers are also engaged in other areas of business, including the sale of automobiles, and many dealers carry one or more competitive lines. The Company continues to place high emphasis on the capability of its dealers to provide complete service for its recreation vehicles. Dealers are obligated to provide full service for owners of the Company's recreation vehicles, or in lieu thereof, to secure such service at their own expense from other authorized firms.</w:t>
      </w:r>
    </w:p>
    <w:p>
      <w:pPr>
        <w:spacing w:after="0" w:line="76" w:lineRule="exact"/>
        <w:rPr>
          <w:sz w:val="20"/>
          <w:szCs w:val="20"/>
          <w:color w:val="auto"/>
        </w:rPr>
      </w:pPr>
    </w:p>
    <w:p>
      <w:pPr>
        <w:ind w:right="3099"/>
        <w:spacing w:after="0" w:line="365" w:lineRule="auto"/>
        <w:rPr>
          <w:sz w:val="20"/>
          <w:szCs w:val="20"/>
          <w:color w:val="auto"/>
        </w:rPr>
      </w:pPr>
      <w:r>
        <w:rPr>
          <w:rFonts w:ascii="Courier New" w:cs="Courier New" w:eastAsia="Courier New" w:hAnsi="Courier New"/>
          <w:sz w:val="15"/>
          <w:szCs w:val="15"/>
          <w:color w:val="auto"/>
        </w:rPr>
        <w:t>At August 31, 1996, the Company had a staff of 32 people engaged in field sales and service to the motor home dealer organization.</w:t>
      </w:r>
    </w:p>
    <w:p>
      <w:pPr>
        <w:spacing w:after="0" w:line="3" w:lineRule="exact"/>
        <w:rPr>
          <w:sz w:val="20"/>
          <w:szCs w:val="20"/>
          <w:color w:val="auto"/>
        </w:rPr>
      </w:pPr>
    </w:p>
    <w:p>
      <w:pPr>
        <w:ind w:right="3199"/>
        <w:spacing w:after="0" w:line="305" w:lineRule="auto"/>
        <w:rPr>
          <w:sz w:val="20"/>
          <w:szCs w:val="20"/>
          <w:color w:val="auto"/>
        </w:rPr>
      </w:pPr>
      <w:r>
        <w:rPr>
          <w:rFonts w:ascii="Courier New" w:cs="Courier New" w:eastAsia="Courier New" w:hAnsi="Courier New"/>
          <w:sz w:val="15"/>
          <w:szCs w:val="15"/>
          <w:color w:val="auto"/>
        </w:rPr>
        <w:t>The Company advertises and promotes its products through national RV magazines and cable TV networks and on a local basis through trade shows, television, radio and newspapers, primarily in connection with area dealers.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Substantially all sales of recreation vehicles to dealers are made on cash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Most dealers are financed on a "floor plan" basis under which a bank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finance company lends the dealer all, or substantially all, of the purchase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collateralized by a lien upon, or title to, the merchandise purchased.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Upon request of a lending institution financing a dealer's purchases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products, and after completion of a credit investigation of the dealer</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involved, the Company will execute a repurchase agreement. These agreements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 that, in the event of default by the dealer on the dealer's agreement to</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 the lending institution, the Company will repurchase the financed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merchandise. The agreements provide that the Company's liability will not exceed</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 percent of the invoice price and provide for periodic liability reductions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based on the time since the date of the invoice. The Company's contingent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liability on all repurchase agreements was approximately $129,135,000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$120,487,000 at August 31, 1996 and August 26, 1995, respectively. Included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contingent liabilities are approximately $33,216,000 and $37,616,000,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 of certain dealer receivables subject to recourse, (See Note 12,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Contingent Liabilities and Commitments in the Company's Annual Report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for the year ended August 31, 1996). The Company's contingent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liability under repurchase agreements varies significantly from time to time,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depending upon seasonal shipments, competition, dealer organization, gasoline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supply and availability of bank financing.</w:t>
      </w:r>
    </w:p>
    <w:p>
      <w:pPr>
        <w:sectPr>
          <w:pgSz w:w="11900" w:h="16838" w:orient="portrait"/>
          <w:cols w:equalWidth="0" w:num="1">
            <w:col w:w="10219"/>
          </w:cols>
          <w:pgMar w:left="240" w:top="287"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COMPETITION</w:t>
      </w:r>
    </w:p>
    <w:p>
      <w:pPr>
        <w:spacing w:after="0" w:line="177" w:lineRule="exact"/>
        <w:rPr>
          <w:sz w:val="20"/>
          <w:szCs w:val="20"/>
          <w:color w:val="auto"/>
        </w:rPr>
      </w:pPr>
    </w:p>
    <w:p>
      <w:pPr>
        <w:ind w:right="3099"/>
        <w:spacing w:after="0" w:line="268" w:lineRule="auto"/>
        <w:rPr>
          <w:sz w:val="20"/>
          <w:szCs w:val="20"/>
          <w:color w:val="auto"/>
        </w:rPr>
      </w:pPr>
      <w:r>
        <w:rPr>
          <w:rFonts w:ascii="Courier New" w:cs="Courier New" w:eastAsia="Courier New" w:hAnsi="Courier New"/>
          <w:sz w:val="15"/>
          <w:szCs w:val="15"/>
          <w:color w:val="auto"/>
        </w:rPr>
        <w:t>The recreation vehicle market is highly competitive, both as to price and quality of the product. The Company believes its principal marketing advantages are the quality of its products, its dealer organization, its warranty and service capability and its marketing techniques. The Company also believes that its prices are competitive with the competitions' units of comparable size and quality.</w:t>
      </w:r>
    </w:p>
    <w:p>
      <w:pPr>
        <w:spacing w:after="0" w:line="75" w:lineRule="exact"/>
        <w:rPr>
          <w:sz w:val="20"/>
          <w:szCs w:val="20"/>
          <w:color w:val="auto"/>
        </w:rPr>
      </w:pPr>
    </w:p>
    <w:p>
      <w:pPr>
        <w:ind w:right="3099"/>
        <w:spacing w:after="0" w:line="264" w:lineRule="auto"/>
        <w:rPr>
          <w:sz w:val="20"/>
          <w:szCs w:val="20"/>
          <w:color w:val="auto"/>
        </w:rPr>
      </w:pPr>
      <w:r>
        <w:rPr>
          <w:rFonts w:ascii="Courier New" w:cs="Courier New" w:eastAsia="Courier New" w:hAnsi="Courier New"/>
          <w:sz w:val="15"/>
          <w:szCs w:val="15"/>
          <w:color w:val="auto"/>
        </w:rPr>
        <w:t>The Company is a leading manufacturer of motor homes. For the 12 months ended August 31, 1996, RVIA reported factory shipments of 34,100 Class A motor homes, 4,000 Class B motor homes and 15,300 Class C motor homes. Unit sales of such products by the Company for the last five fiscal years are shown elsewhere in this report. The Company is not a significant factor in the markets for its other recreation vehicle products and its non-recreation vehicle products and services.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 TRADEMARKS AND PATENTS</w:t>
      </w:r>
    </w:p>
    <w:p>
      <w:pPr>
        <w:spacing w:after="0" w:line="177" w:lineRule="exact"/>
        <w:rPr>
          <w:sz w:val="20"/>
          <w:szCs w:val="20"/>
          <w:color w:val="auto"/>
        </w:rPr>
      </w:pPr>
    </w:p>
    <w:p>
      <w:pPr>
        <w:ind w:right="3019"/>
        <w:spacing w:after="0" w:line="258" w:lineRule="auto"/>
        <w:rPr>
          <w:sz w:val="20"/>
          <w:szCs w:val="20"/>
          <w:color w:val="auto"/>
        </w:rPr>
      </w:pPr>
      <w:r>
        <w:rPr>
          <w:rFonts w:ascii="Courier New" w:cs="Courier New" w:eastAsia="Courier New" w:hAnsi="Courier New"/>
          <w:sz w:val="15"/>
          <w:szCs w:val="15"/>
          <w:color w:val="auto"/>
        </w:rPr>
        <w:t>The plumbing, heating and electrical systems manufactured and installed in all of the Company's motor homes are manufactured and installed to meet National Fire Protection Association 501C (American National Standards Institute 119.2) as well as Federal Motor Vehicle Safety Standards applicable to motor homes. A variety of other federal and state regulations pertaining to safety in recreation vehicles have been adopted or are proposed from time to time. The Company believes that it is in compliance with all such existing regulations and while it is not able to predict what effect the adoption of any such future regulations will have on its business, it is confident of its ability to equal or exceed any reasonable safety standards.</w:t>
      </w:r>
    </w:p>
    <w:p>
      <w:pPr>
        <w:spacing w:after="0" w:line="81" w:lineRule="exact"/>
        <w:rPr>
          <w:sz w:val="20"/>
          <w:szCs w:val="20"/>
          <w:color w:val="auto"/>
        </w:rPr>
      </w:pPr>
    </w:p>
    <w:p>
      <w:pPr>
        <w:ind w:right="3459"/>
        <w:spacing w:after="0" w:line="285" w:lineRule="auto"/>
        <w:rPr>
          <w:sz w:val="20"/>
          <w:szCs w:val="20"/>
          <w:color w:val="auto"/>
        </w:rPr>
      </w:pPr>
      <w:r>
        <w:rPr>
          <w:rFonts w:ascii="Courier New" w:cs="Courier New" w:eastAsia="Courier New" w:hAnsi="Courier New"/>
          <w:sz w:val="15"/>
          <w:szCs w:val="15"/>
          <w:color w:val="auto"/>
        </w:rPr>
        <w:t>The Company has several registered trademarks, including Winnebago, Itasca, Minnie Winnie, Brave, Passage, Sunrise, Adventurer, Spirit, Suncruiser, Sundancer, Warrior, Vectra, Luxor, Rialta, Minnie, Thermo-Panel and Thermo-Steel.</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fiscal 1996, 1995 and 1994, the Company spent approximately $801,000,</w:t>
      </w:r>
    </w:p>
    <w:p>
      <w:pPr>
        <w:spacing w:after="0" w:line="31" w:lineRule="exact"/>
        <w:rPr>
          <w:sz w:val="20"/>
          <w:szCs w:val="20"/>
          <w:color w:val="auto"/>
        </w:rPr>
      </w:pPr>
    </w:p>
    <w:p>
      <w:pPr>
        <w:ind w:right="3019"/>
        <w:spacing w:after="0" w:line="285" w:lineRule="auto"/>
        <w:rPr>
          <w:sz w:val="20"/>
          <w:szCs w:val="20"/>
          <w:color w:val="auto"/>
        </w:rPr>
      </w:pPr>
      <w:r>
        <w:rPr>
          <w:rFonts w:ascii="Courier New" w:cs="Courier New" w:eastAsia="Courier New" w:hAnsi="Courier New"/>
          <w:sz w:val="15"/>
          <w:szCs w:val="15"/>
          <w:color w:val="auto"/>
        </w:rPr>
        <w:t>$2,216,000 and $1,704,000, respectively, on research and development activities. These activities involved the equivalent of 12, 23 and 30 full-time employees during fiscal 1996, 1995 and 1994, respectively.</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HUMAN RESOURCES</w:t>
      </w:r>
    </w:p>
    <w:p>
      <w:pPr>
        <w:spacing w:after="0" w:line="177" w:lineRule="exact"/>
        <w:rPr>
          <w:sz w:val="20"/>
          <w:szCs w:val="20"/>
          <w:color w:val="auto"/>
        </w:rPr>
      </w:pPr>
    </w:p>
    <w:p>
      <w:pPr>
        <w:ind w:right="3379"/>
        <w:spacing w:after="0" w:line="274" w:lineRule="auto"/>
        <w:rPr>
          <w:sz w:val="20"/>
          <w:szCs w:val="20"/>
          <w:color w:val="auto"/>
        </w:rPr>
      </w:pPr>
      <w:r>
        <w:rPr>
          <w:rFonts w:ascii="Courier New" w:cs="Courier New" w:eastAsia="Courier New" w:hAnsi="Courier New"/>
          <w:sz w:val="15"/>
          <w:szCs w:val="15"/>
          <w:color w:val="auto"/>
        </w:rPr>
        <w:t>As of September 1, 1996, 1995 and 1994, the Company employed approximately 3,150, 3,010 and 3,150 persons, respectively. Of these, approximately 2,250, 2,240 and 2,300 persons, respectively, were engaged in manufacturing and shipping functions. None of the Company's employees are covered under a collective bargaining agreement.</w:t>
      </w:r>
    </w:p>
    <w:p>
      <w:pPr>
        <w:spacing w:after="0" w:line="24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tab/>
        <w:t>Properties</w:t>
      </w:r>
    </w:p>
    <w:p>
      <w:pPr>
        <w:spacing w:after="0" w:line="177"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The Company's manufacturing, maintenance and service operations are conducted in multi-building complexes, containing an aggregate of approximately 1,452,000 square feet in Forest City, Iowa. The Company also owns 698,000 square feet of warehouse facilities located in Forest City. The Company leases approximately 235,000 square feet of its unoccupied manufacturing facilities in Forest City to others. The Company also owns a manufacturing facility (74,000 square feet) in Hampton, Iowa. The Company leases a storage facility (25,000 square feet) in Hampton, Iowa and a manufacturing facility (17,200 square feet) in Lorimor, Iowa. Leases on the above facilities expire at various dates, the earliest of which is March 31, 1998. In fiscal 1989, the Company purchased a 308,000 square foot shopping mall on 30 acres in Temple, Texas. At August 31, 1996, the Company had leased a majority of the mall to various retail stores. In fiscal 1993, Winnebago Industries Europe GmbH purchased a distribution and service facility in Kirkel, Germany. The facility has approximately 16,700 square feet and is located on approximately six acres of land. The Company also owns a 14,400 square foot facility in Forest City which is leased to Cycle-Sat. The Company's facilities in Forest City are located on approximately 784 acres of land, all owned by the Company.</w:t>
      </w:r>
    </w:p>
    <w:p>
      <w:pPr>
        <w:spacing w:after="0" w:line="96" w:lineRule="exact"/>
        <w:rPr>
          <w:sz w:val="20"/>
          <w:szCs w:val="20"/>
          <w:color w:val="auto"/>
        </w:rPr>
      </w:pPr>
    </w:p>
    <w:p>
      <w:pPr>
        <w:ind w:right="3099"/>
        <w:spacing w:after="0" w:line="268" w:lineRule="auto"/>
        <w:rPr>
          <w:sz w:val="20"/>
          <w:szCs w:val="20"/>
          <w:color w:val="auto"/>
        </w:rPr>
      </w:pPr>
      <w:r>
        <w:rPr>
          <w:rFonts w:ascii="Courier New" w:cs="Courier New" w:eastAsia="Courier New" w:hAnsi="Courier New"/>
          <w:sz w:val="15"/>
          <w:szCs w:val="15"/>
          <w:color w:val="auto"/>
        </w:rPr>
        <w:t>Most of the Company's buildings are of steel or steel and concrete construction and are fire resistant with high-pressure sprinkler systems, dust collector systems, automatic fire doors and alarm systems. The Company believes that its facilities and equipment are well maintained, in excellent condition, suitable for the purposes for which they are intended and adequate to meet the Company's needs for the foreseeable future.</w:t>
      </w:r>
    </w:p>
    <w:p>
      <w:pPr>
        <w:spacing w:after="0" w:line="24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tab/>
        <w:t>Legal Proceedings</w:t>
      </w:r>
    </w:p>
    <w:p>
      <w:pPr>
        <w:spacing w:after="0" w:line="177" w:lineRule="exact"/>
        <w:rPr>
          <w:sz w:val="20"/>
          <w:szCs w:val="20"/>
          <w:color w:val="auto"/>
        </w:rPr>
      </w:pPr>
    </w:p>
    <w:p>
      <w:pPr>
        <w:ind w:right="3019"/>
        <w:spacing w:after="0" w:line="258" w:lineRule="auto"/>
        <w:rPr>
          <w:sz w:val="20"/>
          <w:szCs w:val="20"/>
          <w:color w:val="auto"/>
        </w:rPr>
      </w:pPr>
      <w:r>
        <w:rPr>
          <w:rFonts w:ascii="Courier New" w:cs="Courier New" w:eastAsia="Courier New" w:hAnsi="Courier New"/>
          <w:sz w:val="15"/>
          <w:szCs w:val="15"/>
          <w:color w:val="auto"/>
        </w:rPr>
        <w:t>The Company is involved in various legal proceedings which are ordinary routine litigation incident to its business, many of which are covered in whole or in part by insurance. Counsel for the Company based on his present knowledge of pending legal proceedings and after consultation with trial counsel, has advised the Company that, while the outcome of such litigation is uncertain, he is of the opinion that it is unlikely that these proceedings will result in any recovery which will materially exceed the Company's reserve for estimated losses. On the basis of such advice, Management is of the opinion that the pending legal proceedings will not have any material adverse effect on the Company's financial position, results of operations or liquidity.</w:t>
      </w:r>
    </w:p>
    <w:p>
      <w:pPr>
        <w:sectPr>
          <w:pgSz w:w="11900" w:h="16838" w:orient="portrait"/>
          <w:cols w:equalWidth="0" w:num="1">
            <w:col w:w="10219"/>
          </w:cols>
          <w:pgMar w:left="240" w:top="287" w:right="1440" w:bottom="0" w:gutter="0" w:footer="0" w:header="0"/>
        </w:sectPr>
      </w:pPr>
    </w:p>
    <w:bookmarkStart w:id="5" w:name="page6"/>
    <w:bookmarkEnd w:id="5"/>
    <w:p>
      <w:pPr>
        <w:spacing w:after="0" w:line="5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40" w:type="dxa"/>
            <w:vAlign w:val="bottom"/>
          </w:tcPr>
          <w:p>
            <w:pPr>
              <w:ind w:left="980"/>
              <w:spacing w:after="0"/>
              <w:rPr>
                <w:sz w:val="20"/>
                <w:szCs w:val="20"/>
                <w:color w:val="auto"/>
              </w:rPr>
            </w:pPr>
            <w:r>
              <w:rPr>
                <w:rFonts w:ascii="Courier New" w:cs="Courier New" w:eastAsia="Courier New" w:hAnsi="Courier New"/>
                <w:sz w:val="15"/>
                <w:szCs w:val="15"/>
                <w:color w:val="auto"/>
              </w:rPr>
              <w:t>NAME</w:t>
            </w:r>
          </w:p>
        </w:tc>
        <w:tc>
          <w:tcPr>
            <w:tcW w:w="1520" w:type="dxa"/>
            <w:vAlign w:val="bottom"/>
          </w:tcPr>
          <w:p>
            <w:pPr>
              <w:spacing w:after="0"/>
              <w:rPr>
                <w:sz w:val="15"/>
                <w:szCs w:val="15"/>
                <w:color w:val="auto"/>
              </w:rPr>
            </w:pP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OFFICE (YEAR FIRST ELECTED AN OFFICER)</w:t>
            </w:r>
          </w:p>
        </w:tc>
      </w:tr>
      <w:tr>
        <w:trPr>
          <w:trHeight w:val="255"/>
        </w:trPr>
        <w:tc>
          <w:tcPr>
            <w:tcW w:w="2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8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w:t>
            </w:r>
          </w:p>
        </w:tc>
      </w:tr>
      <w:tr>
        <w:trPr>
          <w:trHeight w:val="265"/>
        </w:trPr>
        <w:tc>
          <w:tcPr>
            <w:tcW w:w="2340" w:type="dxa"/>
            <w:vAlign w:val="bottom"/>
          </w:tcPr>
          <w:p>
            <w:pPr>
              <w:spacing w:after="0"/>
              <w:rPr>
                <w:sz w:val="20"/>
                <w:szCs w:val="20"/>
                <w:color w:val="auto"/>
              </w:rPr>
            </w:pPr>
            <w:r>
              <w:rPr>
                <w:rFonts w:ascii="Courier New" w:cs="Courier New" w:eastAsia="Courier New" w:hAnsi="Courier New"/>
                <w:sz w:val="15"/>
                <w:szCs w:val="15"/>
                <w:color w:val="auto"/>
              </w:rPr>
              <w:t>Fred G. Dohrmann +</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w w:val="97"/>
              </w:rPr>
              <w:t>Chairman of the</w:t>
            </w:r>
          </w:p>
        </w:tc>
        <w:tc>
          <w:tcPr>
            <w:tcW w:w="4340" w:type="dxa"/>
            <w:vAlign w:val="bottom"/>
          </w:tcPr>
          <w:p>
            <w:pPr>
              <w:ind w:left="100"/>
              <w:spacing w:after="0"/>
              <w:rPr>
                <w:sz w:val="20"/>
                <w:szCs w:val="20"/>
                <w:color w:val="auto"/>
              </w:rPr>
            </w:pPr>
            <w:r>
              <w:rPr>
                <w:rFonts w:ascii="Courier New" w:cs="Courier New" w:eastAsia="Courier New" w:hAnsi="Courier New"/>
                <w:sz w:val="15"/>
                <w:szCs w:val="15"/>
                <w:color w:val="auto"/>
              </w:rPr>
              <w:t>Board &amp; Chief Executive Officer (1989)</w:t>
            </w: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Bruce D. Hertzke</w:t>
            </w:r>
          </w:p>
        </w:tc>
        <w:tc>
          <w:tcPr>
            <w:tcW w:w="58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President &amp; Chief Operating Officer (1989)</w:t>
            </w: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Edwin F. Barker</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w w:val="97"/>
              </w:rPr>
              <w:t>Vice President,</w:t>
            </w:r>
          </w:p>
        </w:tc>
        <w:tc>
          <w:tcPr>
            <w:tcW w:w="4340" w:type="dxa"/>
            <w:vAlign w:val="bottom"/>
          </w:tcPr>
          <w:p>
            <w:pPr>
              <w:ind w:left="100"/>
              <w:spacing w:after="0"/>
              <w:rPr>
                <w:sz w:val="20"/>
                <w:szCs w:val="20"/>
                <w:color w:val="auto"/>
              </w:rPr>
            </w:pPr>
            <w:r>
              <w:rPr>
                <w:rFonts w:ascii="Courier New" w:cs="Courier New" w:eastAsia="Courier New" w:hAnsi="Courier New"/>
                <w:sz w:val="15"/>
                <w:szCs w:val="15"/>
                <w:color w:val="auto"/>
              </w:rPr>
              <w:t>Controller &amp; Chief Financial Officer (1980)</w:t>
            </w: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Raymond M. Beebe</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w w:val="97"/>
              </w:rPr>
              <w:t>Vice President,</w:t>
            </w:r>
          </w:p>
        </w:tc>
        <w:tc>
          <w:tcPr>
            <w:tcW w:w="4340" w:type="dxa"/>
            <w:vAlign w:val="bottom"/>
          </w:tcPr>
          <w:p>
            <w:pPr>
              <w:ind w:left="100"/>
              <w:spacing w:after="0"/>
              <w:rPr>
                <w:sz w:val="20"/>
                <w:szCs w:val="20"/>
                <w:color w:val="auto"/>
              </w:rPr>
            </w:pPr>
            <w:r>
              <w:rPr>
                <w:rFonts w:ascii="Courier New" w:cs="Courier New" w:eastAsia="Courier New" w:hAnsi="Courier New"/>
                <w:sz w:val="15"/>
                <w:szCs w:val="15"/>
                <w:color w:val="auto"/>
              </w:rPr>
              <w:t>General Counsel &amp; Secretary (1974)</w:t>
            </w: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Paul D. Hanson</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w w:val="97"/>
              </w:rPr>
              <w:t>Vice President,</w:t>
            </w:r>
          </w:p>
        </w:tc>
        <w:tc>
          <w:tcPr>
            <w:tcW w:w="4340" w:type="dxa"/>
            <w:vAlign w:val="bottom"/>
          </w:tcPr>
          <w:p>
            <w:pPr>
              <w:ind w:left="100"/>
              <w:spacing w:after="0"/>
              <w:rPr>
                <w:sz w:val="20"/>
                <w:szCs w:val="20"/>
                <w:color w:val="auto"/>
              </w:rPr>
            </w:pPr>
            <w:r>
              <w:rPr>
                <w:rFonts w:ascii="Courier New" w:cs="Courier New" w:eastAsia="Courier New" w:hAnsi="Courier New"/>
                <w:sz w:val="15"/>
                <w:szCs w:val="15"/>
                <w:color w:val="auto"/>
              </w:rPr>
              <w:t>Strategic Planning (1993)</w:t>
            </w: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James P. Jaskoviak</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w w:val="97"/>
              </w:rPr>
              <w:t>Vice President,</w:t>
            </w:r>
          </w:p>
        </w:tc>
        <w:tc>
          <w:tcPr>
            <w:tcW w:w="4340" w:type="dxa"/>
            <w:vAlign w:val="bottom"/>
          </w:tcPr>
          <w:p>
            <w:pPr>
              <w:ind w:left="100"/>
              <w:spacing w:after="0"/>
              <w:rPr>
                <w:sz w:val="20"/>
                <w:szCs w:val="20"/>
                <w:color w:val="auto"/>
              </w:rPr>
            </w:pPr>
            <w:r>
              <w:rPr>
                <w:rFonts w:ascii="Courier New" w:cs="Courier New" w:eastAsia="Courier New" w:hAnsi="Courier New"/>
                <w:sz w:val="15"/>
                <w:szCs w:val="15"/>
                <w:color w:val="auto"/>
              </w:rPr>
              <w:t>Sales and Marketing (1994)</w:t>
            </w:r>
          </w:p>
        </w:tc>
      </w:tr>
      <w:tr>
        <w:trPr>
          <w:trHeight w:val="255"/>
        </w:trPr>
        <w:tc>
          <w:tcPr>
            <w:tcW w:w="2340" w:type="dxa"/>
            <w:vAlign w:val="bottom"/>
          </w:tcPr>
          <w:p>
            <w:pPr>
              <w:spacing w:after="0"/>
              <w:rPr>
                <w:sz w:val="20"/>
                <w:szCs w:val="20"/>
                <w:color w:val="auto"/>
              </w:rPr>
            </w:pPr>
            <w:r>
              <w:rPr>
                <w:rFonts w:ascii="Courier New" w:cs="Courier New" w:eastAsia="Courier New" w:hAnsi="Courier New"/>
                <w:sz w:val="15"/>
                <w:szCs w:val="15"/>
                <w:color w:val="auto"/>
              </w:rPr>
              <w:t>Robert J. Olson</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w w:val="97"/>
              </w:rPr>
              <w:t>Vice President,</w:t>
            </w:r>
          </w:p>
        </w:tc>
        <w:tc>
          <w:tcPr>
            <w:tcW w:w="4340" w:type="dxa"/>
            <w:vAlign w:val="bottom"/>
          </w:tcPr>
          <w:p>
            <w:pPr>
              <w:ind w:left="100"/>
              <w:spacing w:after="0"/>
              <w:rPr>
                <w:sz w:val="20"/>
                <w:szCs w:val="20"/>
                <w:color w:val="auto"/>
              </w:rPr>
            </w:pPr>
            <w:r>
              <w:rPr>
                <w:rFonts w:ascii="Courier New" w:cs="Courier New" w:eastAsia="Courier New" w:hAnsi="Courier New"/>
                <w:sz w:val="15"/>
                <w:szCs w:val="15"/>
                <w:color w:val="auto"/>
              </w:rPr>
              <w:t>Manufacturing (1996)</w:t>
            </w:r>
          </w:p>
        </w:tc>
      </w:tr>
    </w:tbl>
    <w:p>
      <w:pPr>
        <w:spacing w:after="0" w:line="265" w:lineRule="exact"/>
        <w:rPr>
          <w:sz w:val="20"/>
          <w:szCs w:val="20"/>
          <w:color w:val="auto"/>
        </w:rPr>
      </w:pPr>
    </w:p>
    <w:p>
      <w:pPr>
        <w:ind w:left="1080" w:hanging="276"/>
        <w:spacing w:after="0"/>
        <w:tabs>
          <w:tab w:leader="none" w:pos="10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w:t>
      </w:r>
    </w:p>
    <w:p>
      <w:pPr>
        <w:spacing w:after="0" w:line="177" w:lineRule="exact"/>
        <w:rPr>
          <w:sz w:val="20"/>
          <w:szCs w:val="20"/>
          <w:color w:val="auto"/>
        </w:rPr>
      </w:pPr>
    </w:p>
    <w:p>
      <w:pPr>
        <w:ind w:right="1180"/>
        <w:spacing w:after="0" w:line="305" w:lineRule="auto"/>
        <w:rPr>
          <w:sz w:val="20"/>
          <w:szCs w:val="20"/>
          <w:color w:val="auto"/>
        </w:rPr>
      </w:pPr>
      <w:r>
        <w:rPr>
          <w:rFonts w:ascii="Courier New" w:cs="Courier New" w:eastAsia="Courier New" w:hAnsi="Courier New"/>
          <w:sz w:val="15"/>
          <w:szCs w:val="15"/>
          <w:color w:val="auto"/>
        </w:rPr>
        <w:t>Officers are elected annually by the Board of Directors. All of the foregoing officers have been employed by the Company as officers or in other responsible positions for at least the last five years.</w:t>
      </w:r>
    </w:p>
    <w:p>
      <w:pPr>
        <w:spacing w:after="0" w:line="219"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PART II</w:t>
      </w:r>
    </w:p>
    <w:p>
      <w:pPr>
        <w:spacing w:after="0" w:line="177" w:lineRule="exact"/>
        <w:rPr>
          <w:sz w:val="20"/>
          <w:szCs w:val="20"/>
          <w:color w:val="auto"/>
        </w:rPr>
      </w:pPr>
    </w:p>
    <w:p>
      <w:pPr>
        <w:ind w:left="800" w:right="1540" w:hanging="810"/>
        <w:spacing w:after="0" w:line="365" w:lineRule="auto"/>
        <w:tabs>
          <w:tab w:leader="none" w:pos="780" w:val="left"/>
        </w:tabs>
        <w:rPr>
          <w:sz w:val="20"/>
          <w:szCs w:val="20"/>
          <w:color w:val="auto"/>
        </w:rPr>
      </w:pPr>
      <w:r>
        <w:rPr>
          <w:rFonts w:ascii="Courier New" w:cs="Courier New" w:eastAsia="Courier New" w:hAnsi="Courier New"/>
          <w:sz w:val="15"/>
          <w:szCs w:val="15"/>
          <w:color w:val="auto"/>
        </w:rPr>
        <w:t>ITEM 5.</w:t>
        <w:tab/>
        <w:t>Market for the Registrant's Common Equity and Related Stockholder Matters</w:t>
      </w:r>
    </w:p>
    <w:p>
      <w:pPr>
        <w:spacing w:after="0" w:line="3" w:lineRule="exact"/>
        <w:rPr>
          <w:sz w:val="20"/>
          <w:szCs w:val="20"/>
          <w:color w:val="auto"/>
        </w:rPr>
      </w:pPr>
    </w:p>
    <w:p>
      <w:pPr>
        <w:ind w:right="1080"/>
        <w:spacing w:after="0" w:line="262" w:lineRule="auto"/>
        <w:rPr>
          <w:sz w:val="20"/>
          <w:szCs w:val="20"/>
          <w:color w:val="auto"/>
        </w:rPr>
      </w:pPr>
      <w:r>
        <w:rPr>
          <w:rFonts w:ascii="Courier New" w:cs="Courier New" w:eastAsia="Courier New" w:hAnsi="Courier New"/>
          <w:sz w:val="15"/>
          <w:szCs w:val="15"/>
          <w:color w:val="auto"/>
        </w:rPr>
        <w:t>Reference is made to information concerning the market for the Company's common stock, cash dividends and related stockholder matters on page 32 of the Company's Annual Report to Shareholders for the year ended August 31, 1996, which information is incorporated by reference herein. On October 17, 1996, the Board of Directors declared a cash dividend of $.10 per common share payable January 6, 1997 to shareholders of record on December 6, 1996. The Company paid dividends of $.30 per common share during fiscal year 1995 and did not pay any dividends during fiscal 1994.</w:t>
      </w:r>
    </w:p>
    <w:p>
      <w:pPr>
        <w:spacing w:after="0" w:line="25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tab/>
        <w:t>Selected Financial Data</w:t>
      </w:r>
    </w:p>
    <w:p>
      <w:pPr>
        <w:spacing w:after="0" w:line="177" w:lineRule="exact"/>
        <w:rPr>
          <w:sz w:val="20"/>
          <w:szCs w:val="20"/>
          <w:color w:val="auto"/>
        </w:rPr>
      </w:pPr>
    </w:p>
    <w:p>
      <w:pPr>
        <w:ind w:right="1620"/>
        <w:spacing w:after="0" w:line="285" w:lineRule="auto"/>
        <w:rPr>
          <w:sz w:val="20"/>
          <w:szCs w:val="20"/>
          <w:color w:val="auto"/>
        </w:rPr>
      </w:pPr>
      <w:r>
        <w:rPr>
          <w:rFonts w:ascii="Courier New" w:cs="Courier New" w:eastAsia="Courier New" w:hAnsi="Courier New"/>
          <w:sz w:val="15"/>
          <w:szCs w:val="15"/>
          <w:color w:val="auto"/>
        </w:rPr>
        <w:t>Reference is made to the information included under the caption "Selected Financial Data" on pages 30 and 31 of the Company's Annual Report to Shareholders for the year ended August 31, 1996, which information is incorporated by reference herein.</w:t>
      </w:r>
    </w:p>
    <w:p>
      <w:pPr>
        <w:spacing w:after="0" w:line="233" w:lineRule="exact"/>
        <w:rPr>
          <w:sz w:val="20"/>
          <w:szCs w:val="20"/>
          <w:color w:val="auto"/>
        </w:rPr>
      </w:pPr>
    </w:p>
    <w:p>
      <w:pPr>
        <w:ind w:left="800" w:right="1000" w:hanging="810"/>
        <w:spacing w:after="0" w:line="365" w:lineRule="auto"/>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w:t>
      </w:r>
    </w:p>
    <w:p>
      <w:pPr>
        <w:spacing w:after="0" w:line="3" w:lineRule="exact"/>
        <w:rPr>
          <w:sz w:val="20"/>
          <w:szCs w:val="20"/>
          <w:color w:val="auto"/>
        </w:rPr>
      </w:pPr>
    </w:p>
    <w:p>
      <w:pPr>
        <w:ind w:right="1080"/>
        <w:spacing w:after="0" w:line="285" w:lineRule="auto"/>
        <w:rPr>
          <w:sz w:val="20"/>
          <w:szCs w:val="20"/>
          <w:color w:val="auto"/>
        </w:rPr>
      </w:pPr>
      <w:r>
        <w:rPr>
          <w:rFonts w:ascii="Courier New" w:cs="Courier New" w:eastAsia="Courier New" w:hAnsi="Courier New"/>
          <w:sz w:val="15"/>
          <w:szCs w:val="15"/>
          <w:color w:val="auto"/>
        </w:rPr>
        <w:t>Reference is made to the information under the caption "Management's Discussion and Analysis of Financial Condition and Results of Operations" on pages 26 through 29 of the Company's Annual Report to Shareholders for the year ended August 31, 1996, which information is incorporated by reference herein.</w:t>
      </w:r>
    </w:p>
    <w:p>
      <w:pPr>
        <w:spacing w:after="0" w:line="233"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5"/>
          <w:szCs w:val="15"/>
          <w:color w:val="auto"/>
        </w:rPr>
        <w:t>Financial Statements and Supplementary Data</w:t>
      </w:r>
    </w:p>
    <w:p>
      <w:pPr>
        <w:spacing w:after="0" w:line="177" w:lineRule="exact"/>
        <w:rPr>
          <w:sz w:val="20"/>
          <w:szCs w:val="20"/>
          <w:color w:val="auto"/>
        </w:rPr>
      </w:pPr>
    </w:p>
    <w:p>
      <w:pPr>
        <w:ind w:right="1000"/>
        <w:spacing w:after="0" w:line="274" w:lineRule="auto"/>
        <w:rPr>
          <w:sz w:val="20"/>
          <w:szCs w:val="20"/>
          <w:color w:val="auto"/>
        </w:rPr>
      </w:pPr>
      <w:r>
        <w:rPr>
          <w:rFonts w:ascii="Courier New" w:cs="Courier New" w:eastAsia="Courier New" w:hAnsi="Courier New"/>
          <w:sz w:val="15"/>
          <w:szCs w:val="15"/>
          <w:color w:val="auto"/>
        </w:rPr>
        <w:t>The consolidated financial statements of the Company which appear on pages 8 through 23 and the report of the independent accountants which appears on page 24, and the supplementary data under "Interim Financial Information (Unaudited)" on page 25 of the Company's Annual Report to Shareholders for the year ended August 31, 1996, are incorporated by reference herein.</w:t>
      </w:r>
    </w:p>
    <w:p>
      <w:pPr>
        <w:spacing w:after="0" w:line="244" w:lineRule="exact"/>
        <w:rPr>
          <w:sz w:val="20"/>
          <w:szCs w:val="20"/>
          <w:color w:val="auto"/>
        </w:rPr>
      </w:pPr>
    </w:p>
    <w:p>
      <w:pPr>
        <w:ind w:left="800" w:right="1720" w:hanging="810"/>
        <w:spacing w:after="0" w:line="365" w:lineRule="auto"/>
        <w:tabs>
          <w:tab w:leader="none" w:pos="78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III</w:t>
      </w:r>
    </w:p>
    <w:p>
      <w:pPr>
        <w:spacing w:after="0" w:line="35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7" w:lineRule="exact"/>
        <w:rPr>
          <w:sz w:val="20"/>
          <w:szCs w:val="20"/>
          <w:color w:val="auto"/>
        </w:rPr>
      </w:pPr>
    </w:p>
    <w:p>
      <w:pPr>
        <w:ind w:right="1080"/>
        <w:spacing w:after="0" w:line="274" w:lineRule="auto"/>
        <w:rPr>
          <w:sz w:val="20"/>
          <w:szCs w:val="20"/>
          <w:color w:val="auto"/>
        </w:rPr>
      </w:pPr>
      <w:r>
        <w:rPr>
          <w:rFonts w:ascii="Courier New" w:cs="Courier New" w:eastAsia="Courier New" w:hAnsi="Courier New"/>
          <w:sz w:val="15"/>
          <w:szCs w:val="15"/>
          <w:color w:val="auto"/>
        </w:rPr>
        <w:t>Reference is made to the table entitled Executive Officers of the Registrant in Part One of this report and to the information included under the caption "Election of Directors" in the Company's Proxy Statement for the Annual Meeting of Shareholders scheduled to be held December 18, 1996, which information is incorporated by reference herein.</w:t>
      </w:r>
    </w:p>
    <w:p>
      <w:pPr>
        <w:spacing w:after="0" w:line="70" w:lineRule="exact"/>
        <w:rPr>
          <w:sz w:val="20"/>
          <w:szCs w:val="20"/>
          <w:color w:val="auto"/>
        </w:rPr>
      </w:pPr>
    </w:p>
    <w:p>
      <w:pPr>
        <w:ind w:right="1000"/>
        <w:spacing w:after="0" w:line="280" w:lineRule="auto"/>
        <w:rPr>
          <w:sz w:val="20"/>
          <w:szCs w:val="20"/>
          <w:color w:val="auto"/>
        </w:rPr>
      </w:pPr>
      <w:r>
        <w:rPr>
          <w:rFonts w:ascii="Courier New" w:cs="Courier New" w:eastAsia="Courier New" w:hAnsi="Courier New"/>
          <w:sz w:val="14"/>
          <w:szCs w:val="14"/>
          <w:color w:val="auto"/>
        </w:rPr>
        <w:t>Section 16(a) of the Securities Exchange Act of 1934 requires the Company's officers and directors and persons who own more than 10 percent of the Company's common stock (collectively "REPORTING PERSONS") to file reports of ownership and changes in ownership with the Securities and Exchange Commission (the "SEC") and the New York Stock Exchange. Reporting Persons are required by the SEC regulations to furnish the Company with copies of all Section 16(a) forms they file. Based solely on its review of the copies of such forms received or written representations from certain Reporting Persons that no Forms 5 were required for those persons, the Company believes that, during fiscal year 1996, all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64</w:t>
      </w:r>
    </w:p>
    <w:p>
      <w:pPr>
        <w:spacing w:after="0" w:line="3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45</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49</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54</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50</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44</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45</w:t>
      </w:r>
    </w:p>
    <w:p>
      <w:pPr>
        <w:sectPr>
          <w:pgSz w:w="11900" w:h="16890" w:orient="portrait"/>
          <w:cols w:equalWidth="0" w:num="2">
            <w:col w:w="8200" w:space="440"/>
            <w:col w:w="1579"/>
          </w:cols>
          <w:pgMar w:left="240" w:top="113" w:right="1440" w:bottom="0" w:gutter="0" w:footer="0" w:header="0"/>
        </w:sectPr>
      </w:pPr>
    </w:p>
    <w:bookmarkStart w:id="6" w:name="page7"/>
    <w:bookmarkEnd w:id="6"/>
    <w:p>
      <w:pPr>
        <w:ind w:left="8"/>
        <w:spacing w:after="0"/>
        <w:rPr>
          <w:sz w:val="20"/>
          <w:szCs w:val="20"/>
          <w:color w:val="auto"/>
        </w:rPr>
      </w:pPr>
      <w:r>
        <w:rPr>
          <w:rFonts w:ascii="Courier New" w:cs="Courier New" w:eastAsia="Courier New" w:hAnsi="Courier New"/>
          <w:sz w:val="15"/>
          <w:szCs w:val="15"/>
          <w:color w:val="auto"/>
        </w:rPr>
        <w:t>Reporting Persons complied with all applicable filing requirements.</w:t>
      </w:r>
    </w:p>
    <w:p>
      <w:pPr>
        <w:spacing w:after="0" w:line="350"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7" w:lineRule="exact"/>
        <w:rPr>
          <w:sz w:val="20"/>
          <w:szCs w:val="20"/>
          <w:color w:val="auto"/>
        </w:rPr>
      </w:pPr>
    </w:p>
    <w:p>
      <w:pPr>
        <w:ind w:left="8" w:right="3559"/>
        <w:spacing w:after="0" w:line="285" w:lineRule="auto"/>
        <w:rPr>
          <w:sz w:val="20"/>
          <w:szCs w:val="20"/>
          <w:color w:val="auto"/>
        </w:rPr>
      </w:pPr>
      <w:r>
        <w:rPr>
          <w:rFonts w:ascii="Courier New" w:cs="Courier New" w:eastAsia="Courier New" w:hAnsi="Courier New"/>
          <w:sz w:val="15"/>
          <w:szCs w:val="15"/>
          <w:color w:val="auto"/>
        </w:rPr>
        <w:t>Reference is made to the information included under the caption "Executive Compensation" in the Company's Proxy Statement for the Annual Meeting of Shareholders scheduled to be held December 18, 1996, which information is incorporated by reference herein.</w:t>
      </w:r>
    </w:p>
    <w:p>
      <w:pPr>
        <w:spacing w:after="0" w:line="233"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7" w:lineRule="exact"/>
        <w:rPr>
          <w:sz w:val="20"/>
          <w:szCs w:val="20"/>
          <w:color w:val="auto"/>
        </w:rPr>
      </w:pPr>
    </w:p>
    <w:p>
      <w:pPr>
        <w:ind w:left="8" w:right="3099"/>
        <w:spacing w:after="0" w:line="285" w:lineRule="auto"/>
        <w:rPr>
          <w:sz w:val="20"/>
          <w:szCs w:val="20"/>
          <w:color w:val="auto"/>
        </w:rPr>
      </w:pPr>
      <w:r>
        <w:rPr>
          <w:rFonts w:ascii="Courier New" w:cs="Courier New" w:eastAsia="Courier New" w:hAnsi="Courier New"/>
          <w:sz w:val="15"/>
          <w:szCs w:val="15"/>
          <w:color w:val="auto"/>
        </w:rPr>
        <w:t>Reference is made to the share ownership information included under the caption "Voting Securities and Principal Holders Thereof" in the Company's Proxy Statement for the Annual Meeting of Shareholders scheduled to be held December 18, 1996, which information is incorporated by reference herein.</w:t>
      </w:r>
    </w:p>
    <w:p>
      <w:pPr>
        <w:spacing w:after="0" w:line="233"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7" w:lineRule="exact"/>
        <w:rPr>
          <w:sz w:val="20"/>
          <w:szCs w:val="20"/>
          <w:color w:val="auto"/>
        </w:rPr>
      </w:pPr>
    </w:p>
    <w:p>
      <w:pPr>
        <w:ind w:left="8" w:right="3279"/>
        <w:spacing w:after="0" w:line="285" w:lineRule="auto"/>
        <w:rPr>
          <w:sz w:val="20"/>
          <w:szCs w:val="20"/>
          <w:color w:val="auto"/>
        </w:rPr>
      </w:pPr>
      <w:r>
        <w:rPr>
          <w:rFonts w:ascii="Courier New" w:cs="Courier New" w:eastAsia="Courier New" w:hAnsi="Courier New"/>
          <w:sz w:val="15"/>
          <w:szCs w:val="15"/>
          <w:color w:val="auto"/>
        </w:rPr>
        <w:t>Reference is made to the information included under the caption "Certain Transactions with Management" in the Company's Proxy Statement for the Annual Meeting of Shareholders scheduled to be held December 18, 1996, which information is incorporated by reference herein.</w:t>
      </w:r>
    </w:p>
    <w:p>
      <w:pPr>
        <w:spacing w:after="0" w:line="233"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PART IV</w:t>
      </w:r>
    </w:p>
    <w:p>
      <w:pPr>
        <w:spacing w:after="0" w:line="350"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ITEM 14.</w:t>
        <w:tab/>
        <w:t>Exhibits, Financial Statement Schedules and Reports on Form 8-K</w:t>
      </w:r>
    </w:p>
    <w:p>
      <w:pPr>
        <w:spacing w:after="0" w:line="177" w:lineRule="exact"/>
        <w:rPr>
          <w:sz w:val="20"/>
          <w:szCs w:val="20"/>
          <w:color w:val="auto"/>
        </w:rPr>
      </w:pPr>
    </w:p>
    <w:p>
      <w:pPr>
        <w:ind w:left="808" w:right="3099" w:hanging="799"/>
        <w:spacing w:after="0" w:line="305" w:lineRule="auto"/>
        <w:tabs>
          <w:tab w:leader="none" w:pos="787"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5"/>
          <w:szCs w:val="15"/>
          <w:color w:val="auto"/>
        </w:rPr>
        <w:t>The consolidated financial statements of the Company are incorporated by reference in ITEM 8 and an index to financial statements appears on page 13 of this report.</w:t>
      </w:r>
    </w:p>
    <w:p>
      <w:pPr>
        <w:spacing w:after="0" w:line="46" w:lineRule="exact"/>
        <w:rPr>
          <w:sz w:val="20"/>
          <w:szCs w:val="20"/>
          <w:color w:val="auto"/>
        </w:rPr>
      </w:pPr>
    </w:p>
    <w:p>
      <w:pPr>
        <w:ind w:left="808" w:right="3199" w:hanging="537"/>
        <w:spacing w:after="0" w:line="264" w:lineRule="auto"/>
        <w:tabs>
          <w:tab w:leader="none" w:pos="80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Financial Statement Schedules Winnebago Industries, Inc. and Subsidiaries</w:t>
      </w:r>
    </w:p>
    <w:p>
      <w:pPr>
        <w:spacing w:after="0" w:line="1" w:lineRule="exact"/>
        <w:rPr>
          <w:sz w:val="20"/>
          <w:szCs w:val="20"/>
          <w:color w:val="auto"/>
        </w:rPr>
      </w:pPr>
    </w:p>
    <w:tbl>
      <w:tblPr>
        <w:tblLayout w:type="fixed"/>
        <w:tblInd w:w="908" w:type="dxa"/>
        <w:tblCellMar>
          <w:top w:w="0" w:type="dxa"/>
          <w:left w:w="0" w:type="dxa"/>
          <w:bottom w:w="0" w:type="dxa"/>
          <w:right w:w="0" w:type="dxa"/>
        </w:tblCellMar>
      </w:tblPr>
      <w:tr>
        <w:trPr>
          <w:trHeight w:val="255"/>
        </w:trPr>
        <w:tc>
          <w:tcPr>
            <w:tcW w:w="5720" w:type="dxa"/>
            <w:vAlign w:val="bottom"/>
            <w:gridSpan w:val="2"/>
            <w:vMerge w:val="restart"/>
          </w:tcPr>
          <w:p>
            <w:pPr>
              <w:ind w:left="540"/>
              <w:spacing w:after="0"/>
              <w:rPr>
                <w:sz w:val="20"/>
                <w:szCs w:val="20"/>
                <w:color w:val="auto"/>
              </w:rPr>
            </w:pPr>
            <w:r>
              <w:rPr>
                <w:rFonts w:ascii="Courier New" w:cs="Courier New" w:eastAsia="Courier New" w:hAnsi="Courier New"/>
                <w:sz w:val="15"/>
                <w:szCs w:val="15"/>
                <w:color w:val="auto"/>
              </w:rPr>
              <w:t>Report of Independent Public Accountants on Supplemental</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64"/>
        </w:trPr>
        <w:tc>
          <w:tcPr>
            <w:tcW w:w="5720" w:type="dxa"/>
            <w:vAlign w:val="bottom"/>
            <w:gridSpan w:val="2"/>
            <w:vMerge w:val="continue"/>
          </w:tcPr>
          <w:p>
            <w:pPr>
              <w:spacing w:after="0"/>
              <w:rPr>
                <w:sz w:val="5"/>
                <w:szCs w:val="5"/>
                <w:color w:val="auto"/>
              </w:rPr>
            </w:pP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73"/>
        </w:trPr>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Financial</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Schedule</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w w:val="97"/>
              </w:rPr>
              <w:t>II.   Valuation</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and Qualifying Accounts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808" w:right="3099"/>
        <w:spacing w:after="0" w:line="285" w:lineRule="auto"/>
        <w:rPr>
          <w:sz w:val="20"/>
          <w:szCs w:val="20"/>
          <w:color w:val="auto"/>
        </w:rPr>
      </w:pPr>
      <w:r>
        <w:rPr>
          <w:rFonts w:ascii="Courier New" w:cs="Courier New" w:eastAsia="Courier New" w:hAnsi="Courier New"/>
          <w:sz w:val="15"/>
          <w:szCs w:val="15"/>
          <w:color w:val="auto"/>
        </w:rPr>
        <w:t>All schedules, other than Schedule II, are omitted because of the absence of the conditions under which they are required or because the information required is shown in the consolidated financial statements or the notes thereto.</w:t>
      </w:r>
    </w:p>
    <w:p>
      <w:pPr>
        <w:spacing w:after="0" w:line="60" w:lineRule="exact"/>
        <w:rPr>
          <w:sz w:val="20"/>
          <w:szCs w:val="20"/>
          <w:color w:val="auto"/>
        </w:rPr>
      </w:pPr>
    </w:p>
    <w:p>
      <w:pPr>
        <w:ind w:left="448" w:hanging="448"/>
        <w:spacing w:after="0"/>
        <w:tabs>
          <w:tab w:leader="none" w:pos="4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Exhibits</w:t>
      </w:r>
    </w:p>
    <w:p>
      <w:pPr>
        <w:spacing w:after="0" w:line="177"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See Exhibit Index on page 16.</w:t>
      </w:r>
    </w:p>
    <w:p>
      <w:pPr>
        <w:spacing w:after="0" w:line="177" w:lineRule="exact"/>
        <w:rPr>
          <w:sz w:val="20"/>
          <w:szCs w:val="20"/>
          <w:color w:val="auto"/>
        </w:rPr>
      </w:pPr>
    </w:p>
    <w:p>
      <w:pPr>
        <w:ind w:left="808" w:hanging="808"/>
        <w:spacing w:after="0"/>
        <w:tabs>
          <w:tab w:leader="none" w:pos="80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6" w:lineRule="exact"/>
        <w:rPr>
          <w:rFonts w:ascii="Courier New" w:cs="Courier New" w:eastAsia="Courier New" w:hAnsi="Courier New"/>
          <w:sz w:val="15"/>
          <w:szCs w:val="15"/>
          <w:color w:val="auto"/>
        </w:rPr>
      </w:pPr>
    </w:p>
    <w:p>
      <w:pPr>
        <w:ind w:left="808" w:right="3199"/>
        <w:spacing w:after="0" w:line="3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have been filed during the last quarter of the period covered by this report.</w:t>
      </w:r>
    </w:p>
    <w:p>
      <w:pPr>
        <w:spacing w:after="0" w:line="177"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UNDERTAKING</w:t>
      </w:r>
    </w:p>
    <w:p>
      <w:pPr>
        <w:spacing w:after="0" w:line="177" w:lineRule="exact"/>
        <w:rPr>
          <w:sz w:val="20"/>
          <w:szCs w:val="20"/>
          <w:color w:val="auto"/>
        </w:rPr>
      </w:pPr>
    </w:p>
    <w:p>
      <w:pPr>
        <w:ind w:left="8" w:right="3019"/>
        <w:spacing w:after="0" w:line="262" w:lineRule="auto"/>
        <w:rPr>
          <w:sz w:val="20"/>
          <w:szCs w:val="20"/>
          <w:color w:val="auto"/>
        </w:rPr>
      </w:pPr>
      <w:r>
        <w:rPr>
          <w:rFonts w:ascii="Courier New" w:cs="Courier New" w:eastAsia="Courier New" w:hAnsi="Courier New"/>
          <w:sz w:val="15"/>
          <w:szCs w:val="15"/>
          <w:color w:val="auto"/>
        </w:rPr>
        <w:t>For the purposes of complying with the amendments to the rules governing Form S-8 (effective July 13, 1990) under the Securities Act of 1933, the undersigned registrant hereby undertakes as follows, which undertaking shall be incorporated by reference into registrant's Registration Statements on Form S-8 Nos. 2-40316 (which became effective on or about June 10, 1971), 2-73221 (which became effective on or about August 5, 1981), 2-82109 (which became effective on or about March 15, 1983), 33-21757 (which became effective on or about May 31, 1988), and 33-59930 (which became effective on or about March 24, 1993):</w:t>
      </w:r>
    </w:p>
    <w:p>
      <w:pPr>
        <w:spacing w:after="0" w:line="76" w:lineRule="exact"/>
        <w:rPr>
          <w:sz w:val="20"/>
          <w:szCs w:val="20"/>
          <w:color w:val="auto"/>
        </w:rPr>
      </w:pPr>
    </w:p>
    <w:p>
      <w:pPr>
        <w:ind w:left="8" w:right="3019"/>
        <w:spacing w:after="0" w:line="253"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61"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SIGNATURES</w:t>
      </w:r>
    </w:p>
    <w:p>
      <w:pPr>
        <w:spacing w:after="0" w:line="177" w:lineRule="exact"/>
        <w:rPr>
          <w:sz w:val="20"/>
          <w:szCs w:val="20"/>
          <w:color w:val="auto"/>
        </w:rPr>
      </w:pPr>
    </w:p>
    <w:p>
      <w:pPr>
        <w:ind w:left="8" w:right="3199"/>
        <w:spacing w:after="0" w:line="30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4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WINNEBAGO INDUSTRIES, INC.</w:t>
      </w:r>
    </w:p>
    <w:p>
      <w:pPr>
        <w:sectPr>
          <w:pgSz w:w="11900" w:h="16838" w:orient="portrait"/>
          <w:cols w:equalWidth="0" w:num="1">
            <w:col w:w="10227"/>
          </w:cols>
          <w:pgMar w:left="232" w:top="113" w:right="1440" w:bottom="39" w:gutter="0" w:footer="0" w:header="0"/>
        </w:sectPr>
      </w:pPr>
    </w:p>
    <w:bookmarkStart w:id="7" w:name="page8"/>
    <w:bookmarkEnd w:id="7"/>
    <w:p>
      <w:pPr>
        <w:spacing w:after="0" w:line="3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By /s/ Fred G. Dohrmann</w:t>
      </w:r>
    </w:p>
    <w:p>
      <w:pPr>
        <w:spacing w:after="0" w:line="3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Chairman of the Board</w:t>
      </w:r>
    </w:p>
    <w:p>
      <w:pPr>
        <w:spacing w:after="0" w:line="322" w:lineRule="exact"/>
        <w:rPr>
          <w:sz w:val="20"/>
          <w:szCs w:val="20"/>
          <w:color w:val="auto"/>
        </w:rPr>
      </w:pPr>
    </w:p>
    <w:p>
      <w:pPr>
        <w:ind w:left="8"/>
        <w:spacing w:after="0"/>
        <w:tabs>
          <w:tab w:leader="none" w:pos="607" w:val="left"/>
        </w:tabs>
        <w:rPr>
          <w:sz w:val="20"/>
          <w:szCs w:val="20"/>
          <w:color w:val="auto"/>
        </w:rPr>
      </w:pPr>
      <w:r>
        <w:rPr>
          <w:rFonts w:ascii="Courier New" w:cs="Courier New" w:eastAsia="Courier New" w:hAnsi="Courier New"/>
          <w:sz w:val="15"/>
          <w:szCs w:val="15"/>
          <w:color w:val="auto"/>
        </w:rPr>
        <w:t>Date:</w:t>
        <w:tab/>
        <w:t>November 18, 1996</w:t>
      </w:r>
    </w:p>
    <w:p>
      <w:pPr>
        <w:spacing w:after="0" w:line="177" w:lineRule="exact"/>
        <w:rPr>
          <w:sz w:val="20"/>
          <w:szCs w:val="20"/>
          <w:color w:val="auto"/>
        </w:rPr>
      </w:pPr>
    </w:p>
    <w:p>
      <w:pPr>
        <w:jc w:val="both"/>
        <w:ind w:left="8" w:right="3019"/>
        <w:spacing w:after="0" w:line="30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on, November 18, 1996, by the following persons on behalf of the Registrant and in the capacities indicated.</w:t>
      </w:r>
    </w:p>
    <w:p>
      <w:pPr>
        <w:spacing w:after="0" w:line="219"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3780" w:type="dxa"/>
            <w:vAlign w:val="bottom"/>
          </w:tcPr>
          <w:p>
            <w:pPr>
              <w:ind w:left="1160"/>
              <w:spacing w:after="0"/>
              <w:rPr>
                <w:sz w:val="20"/>
                <w:szCs w:val="20"/>
                <w:color w:val="auto"/>
              </w:rPr>
            </w:pPr>
            <w:r>
              <w:rPr>
                <w:rFonts w:ascii="Courier New" w:cs="Courier New" w:eastAsia="Courier New" w:hAnsi="Courier New"/>
                <w:sz w:val="15"/>
                <w:szCs w:val="15"/>
                <w:color w:val="auto"/>
              </w:rPr>
              <w:t>Signature</w:t>
            </w:r>
          </w:p>
        </w:tc>
        <w:tc>
          <w:tcPr>
            <w:tcW w:w="2380" w:type="dxa"/>
            <w:vAlign w:val="bottom"/>
          </w:tcPr>
          <w:p>
            <w:pPr>
              <w:ind w:left="1360"/>
              <w:spacing w:after="0"/>
              <w:rPr>
                <w:sz w:val="20"/>
                <w:szCs w:val="20"/>
                <w:color w:val="auto"/>
              </w:rPr>
            </w:pPr>
            <w:r>
              <w:rPr>
                <w:rFonts w:ascii="Courier New" w:cs="Courier New" w:eastAsia="Courier New" w:hAnsi="Courier New"/>
                <w:sz w:val="15"/>
                <w:szCs w:val="15"/>
                <w:color w:val="auto"/>
              </w:rPr>
              <w:t>Capacity</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780" w:type="dxa"/>
            <w:vAlign w:val="bottom"/>
          </w:tcPr>
          <w:p>
            <w:pPr>
              <w:ind w:left="1160"/>
              <w:spacing w:after="0"/>
              <w:rPr>
                <w:sz w:val="20"/>
                <w:szCs w:val="20"/>
                <w:color w:val="auto"/>
              </w:rPr>
            </w:pPr>
            <w:r>
              <w:rPr>
                <w:rFonts w:ascii="Courier New" w:cs="Courier New" w:eastAsia="Courier New" w:hAnsi="Courier New"/>
                <w:sz w:val="15"/>
                <w:szCs w:val="15"/>
                <w:color w:val="auto"/>
              </w:rPr>
              <w:t>---------</w:t>
            </w:r>
          </w:p>
        </w:tc>
        <w:tc>
          <w:tcPr>
            <w:tcW w:w="2380" w:type="dxa"/>
            <w:vAlign w:val="bottom"/>
          </w:tcPr>
          <w:p>
            <w:pPr>
              <w:ind w:left="136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3780" w:type="dxa"/>
            <w:vAlign w:val="bottom"/>
          </w:tcPr>
          <w:p>
            <w:pPr>
              <w:spacing w:after="0"/>
              <w:rPr>
                <w:sz w:val="20"/>
                <w:szCs w:val="20"/>
                <w:color w:val="auto"/>
              </w:rPr>
            </w:pPr>
            <w:r>
              <w:rPr>
                <w:rFonts w:ascii="Courier New" w:cs="Courier New" w:eastAsia="Courier New" w:hAnsi="Courier New"/>
                <w:sz w:val="15"/>
                <w:szCs w:val="15"/>
                <w:color w:val="auto"/>
              </w:rPr>
              <w:t>/s/ Fred G. Dohrmann</w:t>
            </w:r>
          </w:p>
        </w:tc>
        <w:tc>
          <w:tcPr>
            <w:tcW w:w="3600" w:type="dxa"/>
            <w:vAlign w:val="bottom"/>
            <w:gridSpan w:val="2"/>
            <w:vMerge w:val="restart"/>
          </w:tcPr>
          <w:p>
            <w:pPr>
              <w:ind w:left="180"/>
              <w:spacing w:after="0"/>
              <w:rPr>
                <w:sz w:val="20"/>
                <w:szCs w:val="20"/>
                <w:color w:val="auto"/>
              </w:rPr>
            </w:pPr>
            <w:r>
              <w:rPr>
                <w:rFonts w:ascii="Courier New" w:cs="Courier New" w:eastAsia="Courier New" w:hAnsi="Courier New"/>
                <w:sz w:val="15"/>
                <w:szCs w:val="15"/>
                <w:color w:val="auto"/>
                <w:w w:val="99"/>
              </w:rPr>
              <w:t>Chairman of the Board, Chief Executive</w:t>
            </w:r>
          </w:p>
        </w:tc>
        <w:tc>
          <w:tcPr>
            <w:tcW w:w="0" w:type="dxa"/>
            <w:vAlign w:val="bottom"/>
          </w:tcPr>
          <w:p>
            <w:pPr>
              <w:spacing w:after="0"/>
              <w:rPr>
                <w:sz w:val="1"/>
                <w:szCs w:val="1"/>
                <w:color w:val="auto"/>
              </w:rPr>
            </w:pPr>
          </w:p>
        </w:tc>
      </w:tr>
      <w:tr>
        <w:trPr>
          <w:trHeight w:val="173"/>
        </w:trPr>
        <w:tc>
          <w:tcPr>
            <w:tcW w:w="3780" w:type="dxa"/>
            <w:vAlign w:val="bottom"/>
            <w:vMerge w:val="restart"/>
          </w:tcPr>
          <w:p>
            <w:pPr>
              <w:spacing w:after="0"/>
              <w:rPr>
                <w:sz w:val="20"/>
                <w:szCs w:val="20"/>
                <w:color w:val="auto"/>
              </w:rPr>
            </w:pPr>
            <w:r>
              <w:rPr>
                <w:rFonts w:ascii="Courier New" w:cs="Courier New" w:eastAsia="Courier New" w:hAnsi="Courier New"/>
                <w:sz w:val="15"/>
                <w:szCs w:val="15"/>
                <w:color w:val="auto"/>
                <w:w w:val="75"/>
              </w:rPr>
              <w:t>- -----------------------------------</w:t>
            </w:r>
            <w:r>
              <w:rPr>
                <w:rFonts w:ascii="Courier New" w:cs="Courier New" w:eastAsia="Courier New" w:hAnsi="Courier New"/>
                <w:sz w:val="30"/>
                <w:szCs w:val="30"/>
                <w:color w:val="auto"/>
                <w:w w:val="75"/>
                <w:vertAlign w:val="subscript"/>
              </w:rPr>
              <w:t>FredG.Dohrmann</w:t>
            </w:r>
          </w:p>
        </w:tc>
        <w:tc>
          <w:tcPr>
            <w:tcW w:w="3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780" w:type="dxa"/>
            <w:vAlign w:val="bottom"/>
            <w:vMerge w:val="continue"/>
          </w:tcPr>
          <w:p>
            <w:pPr>
              <w:spacing w:after="0"/>
              <w:rPr>
                <w:sz w:val="23"/>
                <w:szCs w:val="23"/>
                <w:color w:val="auto"/>
              </w:rPr>
            </w:pP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Officer and Director</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3780" w:type="dxa"/>
            <w:vAlign w:val="bottom"/>
          </w:tcPr>
          <w:p>
            <w:pPr>
              <w:spacing w:after="0"/>
              <w:rPr>
                <w:sz w:val="20"/>
                <w:szCs w:val="20"/>
                <w:color w:val="auto"/>
              </w:rPr>
            </w:pPr>
            <w:r>
              <w:rPr>
                <w:rFonts w:ascii="Courier New" w:cs="Courier New" w:eastAsia="Courier New" w:hAnsi="Courier New"/>
                <w:sz w:val="15"/>
                <w:szCs w:val="15"/>
                <w:color w:val="auto"/>
              </w:rPr>
              <w:t>/s/ Edwin F. Barker</w:t>
            </w:r>
          </w:p>
        </w:tc>
        <w:tc>
          <w:tcPr>
            <w:tcW w:w="3600" w:type="dxa"/>
            <w:vAlign w:val="bottom"/>
            <w:gridSpan w:val="2"/>
            <w:vMerge w:val="restart"/>
          </w:tcPr>
          <w:p>
            <w:pPr>
              <w:ind w:left="180"/>
              <w:spacing w:after="0"/>
              <w:rPr>
                <w:sz w:val="20"/>
                <w:szCs w:val="20"/>
                <w:color w:val="auto"/>
              </w:rPr>
            </w:pPr>
            <w:r>
              <w:rPr>
                <w:rFonts w:ascii="Courier New" w:cs="Courier New" w:eastAsia="Courier New" w:hAnsi="Courier New"/>
                <w:sz w:val="15"/>
                <w:szCs w:val="15"/>
                <w:color w:val="auto"/>
              </w:rPr>
              <w:t>Vice President, Controller and Chief</w:t>
            </w:r>
          </w:p>
        </w:tc>
        <w:tc>
          <w:tcPr>
            <w:tcW w:w="0" w:type="dxa"/>
            <w:vAlign w:val="bottom"/>
          </w:tcPr>
          <w:p>
            <w:pPr>
              <w:spacing w:after="0"/>
              <w:rPr>
                <w:sz w:val="1"/>
                <w:szCs w:val="1"/>
                <w:color w:val="auto"/>
              </w:rPr>
            </w:pPr>
          </w:p>
        </w:tc>
      </w:tr>
      <w:tr>
        <w:trPr>
          <w:trHeight w:val="173"/>
        </w:trPr>
        <w:tc>
          <w:tcPr>
            <w:tcW w:w="3780" w:type="dxa"/>
            <w:vAlign w:val="bottom"/>
            <w:vMerge w:val="restart"/>
          </w:tcPr>
          <w:p>
            <w:pPr>
              <w:spacing w:after="0"/>
              <w:rPr>
                <w:sz w:val="20"/>
                <w:szCs w:val="20"/>
                <w:color w:val="auto"/>
              </w:rPr>
            </w:pPr>
            <w:r>
              <w:rPr>
                <w:rFonts w:ascii="Courier New" w:cs="Courier New" w:eastAsia="Courier New" w:hAnsi="Courier New"/>
                <w:sz w:val="15"/>
                <w:szCs w:val="15"/>
                <w:color w:val="auto"/>
                <w:w w:val="76"/>
              </w:rPr>
              <w:t>- -----------------------------------</w:t>
            </w:r>
            <w:r>
              <w:rPr>
                <w:rFonts w:ascii="Courier New" w:cs="Courier New" w:eastAsia="Courier New" w:hAnsi="Courier New"/>
                <w:sz w:val="30"/>
                <w:szCs w:val="30"/>
                <w:color w:val="auto"/>
                <w:w w:val="76"/>
                <w:vertAlign w:val="subscript"/>
              </w:rPr>
              <w:t>EdwinF.Barker</w:t>
            </w:r>
          </w:p>
        </w:tc>
        <w:tc>
          <w:tcPr>
            <w:tcW w:w="3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780" w:type="dxa"/>
            <w:vAlign w:val="bottom"/>
            <w:vMerge w:val="continue"/>
          </w:tcPr>
          <w:p>
            <w:pPr>
              <w:spacing w:after="0"/>
              <w:rPr>
                <w:sz w:val="23"/>
                <w:szCs w:val="23"/>
                <w:color w:val="auto"/>
              </w:rPr>
            </w:pP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Financial Officer</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3780" w:type="dxa"/>
            <w:vAlign w:val="bottom"/>
          </w:tcPr>
          <w:p>
            <w:pPr>
              <w:spacing w:after="0"/>
              <w:rPr>
                <w:sz w:val="20"/>
                <w:szCs w:val="20"/>
                <w:color w:val="auto"/>
              </w:rPr>
            </w:pPr>
            <w:r>
              <w:rPr>
                <w:rFonts w:ascii="Courier New" w:cs="Courier New" w:eastAsia="Courier New" w:hAnsi="Courier New"/>
                <w:sz w:val="15"/>
                <w:szCs w:val="15"/>
                <w:color w:val="auto"/>
              </w:rPr>
              <w:t>/s/ Gerald E. Boman</w:t>
            </w:r>
          </w:p>
        </w:tc>
        <w:tc>
          <w:tcPr>
            <w:tcW w:w="2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380" w:type="dxa"/>
            <w:vAlign w:val="bottom"/>
            <w:vMerge w:val="restart"/>
          </w:tcPr>
          <w:p>
            <w:pPr>
              <w:spacing w:after="0"/>
              <w:rPr>
                <w:sz w:val="20"/>
                <w:szCs w:val="20"/>
                <w:color w:val="auto"/>
              </w:rPr>
            </w:pPr>
            <w:r>
              <w:rPr>
                <w:rFonts w:ascii="Courier New" w:cs="Courier New" w:eastAsia="Courier New" w:hAnsi="Courier New"/>
                <w:sz w:val="15"/>
                <w:szCs w:val="15"/>
                <w:color w:val="auto"/>
              </w:rPr>
              <w:t>Director</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780" w:type="dxa"/>
            <w:vAlign w:val="bottom"/>
          </w:tcPr>
          <w:p>
            <w:pPr>
              <w:ind w:left="620"/>
              <w:spacing w:after="0"/>
              <w:rPr>
                <w:sz w:val="20"/>
                <w:szCs w:val="20"/>
                <w:color w:val="auto"/>
              </w:rPr>
            </w:pPr>
            <w:r>
              <w:rPr>
                <w:rFonts w:ascii="Courier New" w:cs="Courier New" w:eastAsia="Courier New" w:hAnsi="Courier New"/>
                <w:sz w:val="15"/>
                <w:szCs w:val="15"/>
                <w:color w:val="auto"/>
              </w:rPr>
              <w:t>Gerald E. Boman</w:t>
            </w:r>
          </w:p>
        </w:tc>
        <w:tc>
          <w:tcPr>
            <w:tcW w:w="2380" w:type="dxa"/>
            <w:vAlign w:val="bottom"/>
            <w:vMerge w:val="continue"/>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780" w:type="dxa"/>
            <w:vAlign w:val="bottom"/>
          </w:tcPr>
          <w:p>
            <w:pPr>
              <w:spacing w:after="0"/>
              <w:rPr>
                <w:sz w:val="20"/>
                <w:szCs w:val="20"/>
                <w:color w:val="auto"/>
              </w:rPr>
            </w:pPr>
            <w:r>
              <w:rPr>
                <w:rFonts w:ascii="Courier New" w:cs="Courier New" w:eastAsia="Courier New" w:hAnsi="Courier New"/>
                <w:sz w:val="15"/>
                <w:szCs w:val="15"/>
                <w:color w:val="auto"/>
              </w:rPr>
              <w:t>/s/ David G. Croonquist</w:t>
            </w:r>
          </w:p>
        </w:tc>
        <w:tc>
          <w:tcPr>
            <w:tcW w:w="2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380" w:type="dxa"/>
            <w:vAlign w:val="bottom"/>
            <w:vMerge w:val="restart"/>
          </w:tcPr>
          <w:p>
            <w:pPr>
              <w:spacing w:after="0"/>
              <w:rPr>
                <w:sz w:val="20"/>
                <w:szCs w:val="20"/>
                <w:color w:val="auto"/>
              </w:rPr>
            </w:pPr>
            <w:r>
              <w:rPr>
                <w:rFonts w:ascii="Courier New" w:cs="Courier New" w:eastAsia="Courier New" w:hAnsi="Courier New"/>
                <w:sz w:val="15"/>
                <w:szCs w:val="15"/>
                <w:color w:val="auto"/>
              </w:rPr>
              <w:t>Director</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780" w:type="dxa"/>
            <w:vAlign w:val="bottom"/>
          </w:tcPr>
          <w:p>
            <w:pPr>
              <w:ind w:left="620"/>
              <w:spacing w:after="0"/>
              <w:rPr>
                <w:sz w:val="20"/>
                <w:szCs w:val="20"/>
                <w:color w:val="auto"/>
              </w:rPr>
            </w:pPr>
            <w:r>
              <w:rPr>
                <w:rFonts w:ascii="Courier New" w:cs="Courier New" w:eastAsia="Courier New" w:hAnsi="Courier New"/>
                <w:sz w:val="15"/>
                <w:szCs w:val="15"/>
                <w:color w:val="auto"/>
              </w:rPr>
              <w:t>David G. Croonquist</w:t>
            </w:r>
          </w:p>
        </w:tc>
        <w:tc>
          <w:tcPr>
            <w:tcW w:w="2380" w:type="dxa"/>
            <w:vAlign w:val="bottom"/>
            <w:vMerge w:val="continue"/>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780" w:type="dxa"/>
            <w:vAlign w:val="bottom"/>
          </w:tcPr>
          <w:p>
            <w:pPr>
              <w:spacing w:after="0"/>
              <w:rPr>
                <w:sz w:val="20"/>
                <w:szCs w:val="20"/>
                <w:color w:val="auto"/>
              </w:rPr>
            </w:pPr>
            <w:r>
              <w:rPr>
                <w:rFonts w:ascii="Courier New" w:cs="Courier New" w:eastAsia="Courier New" w:hAnsi="Courier New"/>
                <w:sz w:val="15"/>
                <w:szCs w:val="15"/>
                <w:color w:val="auto"/>
              </w:rPr>
              <w:t>/s/ Keith D. Elwick</w:t>
            </w:r>
          </w:p>
        </w:tc>
        <w:tc>
          <w:tcPr>
            <w:tcW w:w="2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380" w:type="dxa"/>
            <w:vAlign w:val="bottom"/>
            <w:vMerge w:val="restart"/>
          </w:tcPr>
          <w:p>
            <w:pPr>
              <w:spacing w:after="0"/>
              <w:rPr>
                <w:sz w:val="20"/>
                <w:szCs w:val="20"/>
                <w:color w:val="auto"/>
              </w:rPr>
            </w:pPr>
            <w:r>
              <w:rPr>
                <w:rFonts w:ascii="Courier New" w:cs="Courier New" w:eastAsia="Courier New" w:hAnsi="Courier New"/>
                <w:sz w:val="15"/>
                <w:szCs w:val="15"/>
                <w:color w:val="auto"/>
              </w:rPr>
              <w:t>Director</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780" w:type="dxa"/>
            <w:vAlign w:val="bottom"/>
          </w:tcPr>
          <w:p>
            <w:pPr>
              <w:ind w:left="620"/>
              <w:spacing w:after="0"/>
              <w:rPr>
                <w:sz w:val="20"/>
                <w:szCs w:val="20"/>
                <w:color w:val="auto"/>
              </w:rPr>
            </w:pPr>
            <w:r>
              <w:rPr>
                <w:rFonts w:ascii="Courier New" w:cs="Courier New" w:eastAsia="Courier New" w:hAnsi="Courier New"/>
                <w:sz w:val="15"/>
                <w:szCs w:val="15"/>
                <w:color w:val="auto"/>
              </w:rPr>
              <w:t>Keith D. Elwick</w:t>
            </w:r>
          </w:p>
        </w:tc>
        <w:tc>
          <w:tcPr>
            <w:tcW w:w="2380" w:type="dxa"/>
            <w:vAlign w:val="bottom"/>
            <w:vMerge w:val="continue"/>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780" w:type="dxa"/>
            <w:vAlign w:val="bottom"/>
          </w:tcPr>
          <w:p>
            <w:pPr>
              <w:spacing w:after="0"/>
              <w:rPr>
                <w:sz w:val="20"/>
                <w:szCs w:val="20"/>
                <w:color w:val="auto"/>
              </w:rPr>
            </w:pPr>
            <w:r>
              <w:rPr>
                <w:rFonts w:ascii="Courier New" w:cs="Courier New" w:eastAsia="Courier New" w:hAnsi="Courier New"/>
                <w:sz w:val="15"/>
                <w:szCs w:val="15"/>
                <w:color w:val="auto"/>
              </w:rPr>
              <w:t>/s/ John V. Hanson</w:t>
            </w:r>
          </w:p>
        </w:tc>
        <w:tc>
          <w:tcPr>
            <w:tcW w:w="2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380" w:type="dxa"/>
            <w:vAlign w:val="bottom"/>
            <w:vMerge w:val="restart"/>
          </w:tcPr>
          <w:p>
            <w:pPr>
              <w:spacing w:after="0"/>
              <w:rPr>
                <w:sz w:val="20"/>
                <w:szCs w:val="20"/>
                <w:color w:val="auto"/>
              </w:rPr>
            </w:pPr>
            <w:r>
              <w:rPr>
                <w:rFonts w:ascii="Courier New" w:cs="Courier New" w:eastAsia="Courier New" w:hAnsi="Courier New"/>
                <w:sz w:val="15"/>
                <w:szCs w:val="15"/>
                <w:color w:val="auto"/>
              </w:rPr>
              <w:t>Director</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780" w:type="dxa"/>
            <w:vAlign w:val="bottom"/>
          </w:tcPr>
          <w:p>
            <w:pPr>
              <w:ind w:left="620"/>
              <w:spacing w:after="0"/>
              <w:rPr>
                <w:sz w:val="20"/>
                <w:szCs w:val="20"/>
                <w:color w:val="auto"/>
              </w:rPr>
            </w:pPr>
            <w:r>
              <w:rPr>
                <w:rFonts w:ascii="Courier New" w:cs="Courier New" w:eastAsia="Courier New" w:hAnsi="Courier New"/>
                <w:sz w:val="15"/>
                <w:szCs w:val="15"/>
                <w:color w:val="auto"/>
              </w:rPr>
              <w:t>John V. Hanson</w:t>
            </w:r>
          </w:p>
        </w:tc>
        <w:tc>
          <w:tcPr>
            <w:tcW w:w="2380" w:type="dxa"/>
            <w:vAlign w:val="bottom"/>
            <w:vMerge w:val="continue"/>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780" w:type="dxa"/>
            <w:vAlign w:val="bottom"/>
          </w:tcPr>
          <w:p>
            <w:pPr>
              <w:spacing w:after="0"/>
              <w:rPr>
                <w:sz w:val="20"/>
                <w:szCs w:val="20"/>
                <w:color w:val="auto"/>
              </w:rPr>
            </w:pPr>
            <w:r>
              <w:rPr>
                <w:rFonts w:ascii="Courier New" w:cs="Courier New" w:eastAsia="Courier New" w:hAnsi="Courier New"/>
                <w:sz w:val="15"/>
                <w:szCs w:val="15"/>
                <w:color w:val="auto"/>
              </w:rPr>
              <w:t>/s/ Donald W. Olson</w:t>
            </w:r>
          </w:p>
        </w:tc>
        <w:tc>
          <w:tcPr>
            <w:tcW w:w="2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380" w:type="dxa"/>
            <w:vAlign w:val="bottom"/>
            <w:vMerge w:val="restart"/>
          </w:tcPr>
          <w:p>
            <w:pPr>
              <w:spacing w:after="0"/>
              <w:rPr>
                <w:sz w:val="20"/>
                <w:szCs w:val="20"/>
                <w:color w:val="auto"/>
              </w:rPr>
            </w:pPr>
            <w:r>
              <w:rPr>
                <w:rFonts w:ascii="Courier New" w:cs="Courier New" w:eastAsia="Courier New" w:hAnsi="Courier New"/>
                <w:sz w:val="15"/>
                <w:szCs w:val="15"/>
                <w:color w:val="auto"/>
              </w:rPr>
              <w:t>Director</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780" w:type="dxa"/>
            <w:vAlign w:val="bottom"/>
          </w:tcPr>
          <w:p>
            <w:pPr>
              <w:ind w:left="620"/>
              <w:spacing w:after="0"/>
              <w:rPr>
                <w:sz w:val="20"/>
                <w:szCs w:val="20"/>
                <w:color w:val="auto"/>
              </w:rPr>
            </w:pPr>
            <w:r>
              <w:rPr>
                <w:rFonts w:ascii="Courier New" w:cs="Courier New" w:eastAsia="Courier New" w:hAnsi="Courier New"/>
                <w:sz w:val="15"/>
                <w:szCs w:val="15"/>
                <w:color w:val="auto"/>
              </w:rPr>
              <w:t>Donald W. Olson</w:t>
            </w:r>
          </w:p>
        </w:tc>
        <w:tc>
          <w:tcPr>
            <w:tcW w:w="2380" w:type="dxa"/>
            <w:vAlign w:val="bottom"/>
            <w:vMerge w:val="continue"/>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780" w:type="dxa"/>
            <w:vAlign w:val="bottom"/>
          </w:tcPr>
          <w:p>
            <w:pPr>
              <w:spacing w:after="0"/>
              <w:rPr>
                <w:sz w:val="20"/>
                <w:szCs w:val="20"/>
                <w:color w:val="auto"/>
              </w:rPr>
            </w:pPr>
            <w:r>
              <w:rPr>
                <w:rFonts w:ascii="Courier New" w:cs="Courier New" w:eastAsia="Courier New" w:hAnsi="Courier New"/>
                <w:sz w:val="15"/>
                <w:szCs w:val="15"/>
                <w:color w:val="auto"/>
              </w:rPr>
              <w:t>/s/ Joseph M. Shuster</w:t>
            </w:r>
          </w:p>
        </w:tc>
        <w:tc>
          <w:tcPr>
            <w:tcW w:w="2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380" w:type="dxa"/>
            <w:vAlign w:val="bottom"/>
            <w:vMerge w:val="restart"/>
          </w:tcPr>
          <w:p>
            <w:pPr>
              <w:spacing w:after="0"/>
              <w:rPr>
                <w:sz w:val="20"/>
                <w:szCs w:val="20"/>
                <w:color w:val="auto"/>
              </w:rPr>
            </w:pPr>
            <w:r>
              <w:rPr>
                <w:rFonts w:ascii="Courier New" w:cs="Courier New" w:eastAsia="Courier New" w:hAnsi="Courier New"/>
                <w:sz w:val="15"/>
                <w:szCs w:val="15"/>
                <w:color w:val="auto"/>
              </w:rPr>
              <w:t>Director</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780" w:type="dxa"/>
            <w:vAlign w:val="bottom"/>
          </w:tcPr>
          <w:p>
            <w:pPr>
              <w:ind w:left="620"/>
              <w:spacing w:after="0"/>
              <w:rPr>
                <w:sz w:val="20"/>
                <w:szCs w:val="20"/>
                <w:color w:val="auto"/>
              </w:rPr>
            </w:pPr>
            <w:r>
              <w:rPr>
                <w:rFonts w:ascii="Courier New" w:cs="Courier New" w:eastAsia="Courier New" w:hAnsi="Courier New"/>
                <w:sz w:val="15"/>
                <w:szCs w:val="15"/>
                <w:color w:val="auto"/>
              </w:rPr>
              <w:t>Joseph M. Shuster</w:t>
            </w:r>
          </w:p>
        </w:tc>
        <w:tc>
          <w:tcPr>
            <w:tcW w:w="2380" w:type="dxa"/>
            <w:vAlign w:val="bottom"/>
            <w:vMerge w:val="continue"/>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780" w:type="dxa"/>
            <w:vAlign w:val="bottom"/>
          </w:tcPr>
          <w:p>
            <w:pPr>
              <w:spacing w:after="0"/>
              <w:rPr>
                <w:sz w:val="20"/>
                <w:szCs w:val="20"/>
                <w:color w:val="auto"/>
              </w:rPr>
            </w:pPr>
            <w:r>
              <w:rPr>
                <w:rFonts w:ascii="Courier New" w:cs="Courier New" w:eastAsia="Courier New" w:hAnsi="Courier New"/>
                <w:sz w:val="15"/>
                <w:szCs w:val="15"/>
                <w:color w:val="auto"/>
              </w:rPr>
              <w:t>/s/ Frederick M. Zimmerman</w:t>
            </w:r>
          </w:p>
        </w:tc>
        <w:tc>
          <w:tcPr>
            <w:tcW w:w="2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380" w:type="dxa"/>
            <w:vAlign w:val="bottom"/>
            <w:vMerge w:val="restart"/>
          </w:tcPr>
          <w:p>
            <w:pPr>
              <w:spacing w:after="0"/>
              <w:rPr>
                <w:sz w:val="20"/>
                <w:szCs w:val="20"/>
                <w:color w:val="auto"/>
              </w:rPr>
            </w:pPr>
            <w:r>
              <w:rPr>
                <w:rFonts w:ascii="Courier New" w:cs="Courier New" w:eastAsia="Courier New" w:hAnsi="Courier New"/>
                <w:sz w:val="15"/>
                <w:szCs w:val="15"/>
                <w:color w:val="auto"/>
              </w:rPr>
              <w:t>Director</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780" w:type="dxa"/>
            <w:vAlign w:val="bottom"/>
          </w:tcPr>
          <w:p>
            <w:pPr>
              <w:ind w:left="620"/>
              <w:spacing w:after="0"/>
              <w:rPr>
                <w:sz w:val="20"/>
                <w:szCs w:val="20"/>
                <w:color w:val="auto"/>
              </w:rPr>
            </w:pPr>
            <w:r>
              <w:rPr>
                <w:rFonts w:ascii="Courier New" w:cs="Courier New" w:eastAsia="Courier New" w:hAnsi="Courier New"/>
                <w:sz w:val="15"/>
                <w:szCs w:val="15"/>
                <w:color w:val="auto"/>
              </w:rPr>
              <w:t>Frederick M. Zimmerman</w:t>
            </w:r>
          </w:p>
        </w:tc>
        <w:tc>
          <w:tcPr>
            <w:tcW w:w="2380" w:type="dxa"/>
            <w:vAlign w:val="bottom"/>
            <w:vMerge w:val="continue"/>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780" w:type="dxa"/>
            <w:vAlign w:val="bottom"/>
          </w:tcPr>
          <w:p>
            <w:pPr>
              <w:spacing w:after="0"/>
              <w:rPr>
                <w:sz w:val="20"/>
                <w:szCs w:val="20"/>
                <w:color w:val="auto"/>
              </w:rPr>
            </w:pPr>
            <w:r>
              <w:rPr>
                <w:rFonts w:ascii="Courier New" w:cs="Courier New" w:eastAsia="Courier New" w:hAnsi="Courier New"/>
                <w:sz w:val="15"/>
                <w:szCs w:val="15"/>
                <w:color w:val="auto"/>
              </w:rPr>
              <w:t>/s/ Francis L. Zrostlik</w:t>
            </w:r>
          </w:p>
        </w:tc>
        <w:tc>
          <w:tcPr>
            <w:tcW w:w="2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380" w:type="dxa"/>
            <w:vAlign w:val="bottom"/>
            <w:vMerge w:val="restart"/>
          </w:tcPr>
          <w:p>
            <w:pPr>
              <w:spacing w:after="0"/>
              <w:rPr>
                <w:sz w:val="20"/>
                <w:szCs w:val="20"/>
                <w:color w:val="auto"/>
              </w:rPr>
            </w:pPr>
            <w:r>
              <w:rPr>
                <w:rFonts w:ascii="Courier New" w:cs="Courier New" w:eastAsia="Courier New" w:hAnsi="Courier New"/>
                <w:sz w:val="15"/>
                <w:szCs w:val="15"/>
                <w:color w:val="auto"/>
              </w:rPr>
              <w:t>Director</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780" w:type="dxa"/>
            <w:vAlign w:val="bottom"/>
          </w:tcPr>
          <w:p>
            <w:pPr>
              <w:ind w:left="620"/>
              <w:spacing w:after="0"/>
              <w:rPr>
                <w:sz w:val="20"/>
                <w:szCs w:val="20"/>
                <w:color w:val="auto"/>
              </w:rPr>
            </w:pPr>
            <w:r>
              <w:rPr>
                <w:rFonts w:ascii="Courier New" w:cs="Courier New" w:eastAsia="Courier New" w:hAnsi="Courier New"/>
                <w:sz w:val="15"/>
                <w:szCs w:val="15"/>
                <w:color w:val="auto"/>
              </w:rPr>
              <w:t>Francis L. Zrostlik</w:t>
            </w:r>
          </w:p>
        </w:tc>
        <w:tc>
          <w:tcPr>
            <w:tcW w:w="2380" w:type="dxa"/>
            <w:vAlign w:val="bottom"/>
            <w:vMerge w:val="continue"/>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94"/>
        </w:trPr>
        <w:tc>
          <w:tcPr>
            <w:tcW w:w="6160" w:type="dxa"/>
            <w:vAlign w:val="bottom"/>
            <w:gridSpan w:val="2"/>
          </w:tcPr>
          <w:p>
            <w:pPr>
              <w:ind w:left="1700"/>
              <w:spacing w:after="0"/>
              <w:rPr>
                <w:sz w:val="20"/>
                <w:szCs w:val="20"/>
                <w:color w:val="auto"/>
              </w:rPr>
            </w:pPr>
            <w:r>
              <w:rPr>
                <w:rFonts w:ascii="Courier New" w:cs="Courier New" w:eastAsia="Courier New" w:hAnsi="Courier New"/>
                <w:sz w:val="15"/>
                <w:szCs w:val="15"/>
                <w:color w:val="auto"/>
              </w:rPr>
              <w:t>INDEX TO CONSOLIDATED FINANCIAL STATEMENTS</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WINNEBAGO INDUSTRIES, INC. AND SUBSIDIARIES</w:t>
            </w:r>
          </w:p>
        </w:tc>
        <w:tc>
          <w:tcPr>
            <w:tcW w:w="1220" w:type="dxa"/>
            <w:vAlign w:val="bottom"/>
          </w:tcPr>
          <w:p>
            <w:pPr>
              <w:ind w:left="320"/>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255"/>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2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Independent Auditors' Report</w:t>
            </w:r>
          </w:p>
        </w:tc>
        <w:tc>
          <w:tcPr>
            <w:tcW w:w="2380" w:type="dxa"/>
            <w:vAlign w:val="bottom"/>
          </w:tcPr>
          <w:p>
            <w:pPr>
              <w:spacing w:after="0"/>
              <w:rPr>
                <w:sz w:val="23"/>
                <w:szCs w:val="23"/>
                <w:color w:val="auto"/>
              </w:rPr>
            </w:pPr>
          </w:p>
        </w:tc>
        <w:tc>
          <w:tcPr>
            <w:tcW w:w="1220" w:type="dxa"/>
            <w:vAlign w:val="bottom"/>
          </w:tcPr>
          <w:p>
            <w:pPr>
              <w:ind w:left="500"/>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Consolidated Balance Sheets</w:t>
            </w:r>
          </w:p>
        </w:tc>
        <w:tc>
          <w:tcPr>
            <w:tcW w:w="2380" w:type="dxa"/>
            <w:vAlign w:val="bottom"/>
          </w:tcPr>
          <w:p>
            <w:pPr>
              <w:spacing w:after="0"/>
              <w:rPr>
                <w:sz w:val="15"/>
                <w:szCs w:val="15"/>
                <w:color w:val="auto"/>
              </w:rPr>
            </w:pP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8 - 9</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w:t>
            </w:r>
          </w:p>
        </w:tc>
        <w:tc>
          <w:tcPr>
            <w:tcW w:w="2380" w:type="dxa"/>
            <w:vAlign w:val="bottom"/>
          </w:tcPr>
          <w:p>
            <w:pPr>
              <w:spacing w:after="0"/>
              <w:rPr>
                <w:sz w:val="15"/>
                <w:szCs w:val="15"/>
                <w:color w:val="auto"/>
              </w:rPr>
            </w:pPr>
          </w:p>
        </w:tc>
        <w:tc>
          <w:tcPr>
            <w:tcW w:w="1220" w:type="dxa"/>
            <w:vAlign w:val="bottom"/>
          </w:tcPr>
          <w:p>
            <w:pPr>
              <w:ind w:left="500"/>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3"/>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 Changes in Stockholders' Equity</w:t>
            </w:r>
          </w:p>
        </w:tc>
        <w:tc>
          <w:tcPr>
            <w:tcW w:w="1220" w:type="dxa"/>
            <w:vAlign w:val="bottom"/>
          </w:tcPr>
          <w:p>
            <w:pPr>
              <w:ind w:left="500"/>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2380" w:type="dxa"/>
            <w:vAlign w:val="bottom"/>
          </w:tcPr>
          <w:p>
            <w:pPr>
              <w:spacing w:after="0"/>
              <w:rPr>
                <w:sz w:val="15"/>
                <w:szCs w:val="15"/>
                <w:color w:val="auto"/>
              </w:rPr>
            </w:pPr>
          </w:p>
        </w:tc>
        <w:tc>
          <w:tcPr>
            <w:tcW w:w="1220" w:type="dxa"/>
            <w:vAlign w:val="bottom"/>
          </w:tcPr>
          <w:p>
            <w:pPr>
              <w:ind w:left="500"/>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255"/>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Notes to Consolidated Financial Statements</w:t>
            </w:r>
          </w:p>
        </w:tc>
        <w:tc>
          <w:tcPr>
            <w:tcW w:w="2380" w:type="dxa"/>
            <w:vAlign w:val="bottom"/>
          </w:tcPr>
          <w:p>
            <w:pPr>
              <w:spacing w:after="0"/>
              <w:rPr>
                <w:sz w:val="22"/>
                <w:szCs w:val="22"/>
                <w:color w:val="auto"/>
              </w:rPr>
            </w:pP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13 - 23</w:t>
            </w: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left="448" w:right="3919" w:hanging="448"/>
        <w:spacing w:after="0" w:line="305" w:lineRule="auto"/>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Refers to respective pages in the Company's 1996 Annual Report to Shareholders, a copy of which is attached hereto, which pages are incorporated herein by reference.</w:t>
      </w:r>
    </w:p>
    <w:p>
      <w:pPr>
        <w:spacing w:after="0" w:line="39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INDEPENDENT AUDITORS' REPORT</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Board of Directors and Shareholders</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Winnebago Industries, Inc.</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Forest City, Iowa</w:t>
      </w:r>
    </w:p>
    <w:p>
      <w:pPr>
        <w:spacing w:after="0" w:line="322" w:lineRule="exact"/>
        <w:rPr>
          <w:sz w:val="20"/>
          <w:szCs w:val="20"/>
          <w:color w:val="auto"/>
        </w:rPr>
      </w:pPr>
    </w:p>
    <w:p>
      <w:pPr>
        <w:ind w:left="8" w:right="3099"/>
        <w:spacing w:after="0" w:line="258" w:lineRule="auto"/>
        <w:rPr>
          <w:sz w:val="20"/>
          <w:szCs w:val="20"/>
          <w:color w:val="auto"/>
        </w:rPr>
      </w:pPr>
      <w:r>
        <w:rPr>
          <w:rFonts w:ascii="Courier New" w:cs="Courier New" w:eastAsia="Courier New" w:hAnsi="Courier New"/>
          <w:sz w:val="15"/>
          <w:szCs w:val="15"/>
          <w:color w:val="auto"/>
        </w:rPr>
        <w:t>We have audited the consolidated financial statements of Winnebago Industries, Inc. and subsidiaries (the Company) as of August 31, 1996 and August 26, 1995 and for each of the three years in the period ended August 31, 1996 and have issued our report thereon dated October 17, 1996, which includes an explanatory paragraph regarding the Company's change in its method of accounting for postretirement health care and other benefits during the year ended August 27, 1994. Such consolidated financial statements and report are included in your fiscal 1996 Annual Report to Shareholders and are incorporated herein by reference. Our audits also included the consolidated financial statement schedule of Winnebago Industries, Inc. and subsidiaries, as listed in Item</w:t>
      </w:r>
    </w:p>
    <w:p>
      <w:pPr>
        <w:sectPr>
          <w:pgSz w:w="11900" w:h="16878" w:orient="portrait"/>
          <w:cols w:equalWidth="0" w:num="1">
            <w:col w:w="10227"/>
          </w:cols>
          <w:pgMar w:left="232" w:top="113" w:right="1440" w:bottom="0" w:gutter="0" w:footer="0" w:header="0"/>
        </w:sectPr>
      </w:pPr>
    </w:p>
    <w:bookmarkStart w:id="8" w:name="page9"/>
    <w:bookmarkEnd w:id="8"/>
    <w:p>
      <w:pPr>
        <w:spacing w:after="0" w:line="50" w:lineRule="exact"/>
        <w:rPr>
          <w:sz w:val="20"/>
          <w:szCs w:val="20"/>
          <w:color w:val="auto"/>
        </w:rPr>
      </w:pPr>
    </w:p>
    <w:p>
      <w:pPr>
        <w:ind w:left="8" w:right="3340"/>
        <w:spacing w:after="0" w:line="268" w:lineRule="auto"/>
        <w:rPr>
          <w:sz w:val="20"/>
          <w:szCs w:val="20"/>
          <w:color w:val="auto"/>
        </w:rPr>
      </w:pPr>
      <w:r>
        <w:rPr>
          <w:rFonts w:ascii="Courier New" w:cs="Courier New" w:eastAsia="Courier New" w:hAnsi="Courier New"/>
          <w:sz w:val="15"/>
          <w:szCs w:val="15"/>
          <w:color w:val="auto"/>
        </w:rPr>
        <w:t>14(a)2.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22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Deloitte &amp; Touche LLP</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Minneapolis, Minnesota</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October 17,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8" w:type="dxa"/>
        <w:tblCellMar>
          <w:top w:w="0" w:type="dxa"/>
          <w:left w:w="0" w:type="dxa"/>
          <w:bottom w:w="0" w:type="dxa"/>
          <w:right w:w="0" w:type="dxa"/>
        </w:tblCellMar>
      </w:tblPr>
      <w:tr>
        <w:trPr>
          <w:trHeight w:val="255"/>
        </w:trPr>
        <w:tc>
          <w:tcPr>
            <w:tcW w:w="5680" w:type="dxa"/>
            <w:vAlign w:val="bottom"/>
            <w:gridSpan w:val="4"/>
          </w:tcPr>
          <w:p>
            <w:pPr>
              <w:ind w:left="1700"/>
              <w:spacing w:after="0"/>
              <w:rPr>
                <w:sz w:val="20"/>
                <w:szCs w:val="20"/>
                <w:color w:val="auto"/>
              </w:rPr>
            </w:pPr>
            <w:r>
              <w:rPr>
                <w:rFonts w:ascii="Courier New" w:cs="Courier New" w:eastAsia="Courier New" w:hAnsi="Courier New"/>
                <w:sz w:val="15"/>
                <w:szCs w:val="15"/>
                <w:color w:val="auto"/>
              </w:rPr>
              <w:t>WINNEBAGO INDUSTRIES, INC. AND SUBSIDIARIES</w:t>
            </w:r>
          </w:p>
        </w:tc>
        <w:tc>
          <w:tcPr>
            <w:tcW w:w="1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7"/>
        </w:trPr>
        <w:tc>
          <w:tcPr>
            <w:tcW w:w="2780" w:type="dxa"/>
            <w:vAlign w:val="bottom"/>
          </w:tcPr>
          <w:p>
            <w:pPr>
              <w:ind w:left="1440"/>
              <w:spacing w:after="0"/>
              <w:rPr>
                <w:sz w:val="20"/>
                <w:szCs w:val="20"/>
                <w:color w:val="auto"/>
              </w:rPr>
            </w:pPr>
            <w:r>
              <w:rPr>
                <w:rFonts w:ascii="Courier New" w:cs="Courier New" w:eastAsia="Courier New" w:hAnsi="Courier New"/>
                <w:sz w:val="15"/>
                <w:szCs w:val="15"/>
                <w:color w:val="auto"/>
              </w:rPr>
              <w:t>SCHEDULE II --</w:t>
            </w:r>
          </w:p>
        </w:tc>
        <w:tc>
          <w:tcPr>
            <w:tcW w:w="4060" w:type="dxa"/>
            <w:vAlign w:val="bottom"/>
            <w:gridSpan w:val="4"/>
          </w:tcPr>
          <w:p>
            <w:pPr>
              <w:jc w:val="right"/>
              <w:ind w:right="1005"/>
              <w:spacing w:after="0"/>
              <w:rPr>
                <w:sz w:val="20"/>
                <w:szCs w:val="20"/>
                <w:color w:val="auto"/>
              </w:rPr>
            </w:pPr>
            <w:r>
              <w:rPr>
                <w:rFonts w:ascii="Courier New" w:cs="Courier New" w:eastAsia="Courier New" w:hAnsi="Courier New"/>
                <w:sz w:val="15"/>
                <w:szCs w:val="15"/>
                <w:color w:val="auto"/>
                <w:w w:val="99"/>
              </w:rPr>
              <w:t>VALUATION AND QUALIFYING ACCOUNTS</w:t>
            </w: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(Dollars in thousands)</w:t>
            </w: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780" w:type="dxa"/>
            <w:vAlign w:val="bottom"/>
            <w:vMerge w:val="restart"/>
          </w:tcPr>
          <w:p>
            <w:pPr>
              <w:ind w:left="1080"/>
              <w:spacing w:after="0"/>
              <w:rPr>
                <w:sz w:val="20"/>
                <w:szCs w:val="20"/>
                <w:color w:val="auto"/>
              </w:rPr>
            </w:pPr>
            <w:r>
              <w:rPr>
                <w:rFonts w:ascii="Courier New" w:cs="Courier New" w:eastAsia="Courier New" w:hAnsi="Courier New"/>
                <w:sz w:val="15"/>
                <w:szCs w:val="15"/>
                <w:color w:val="auto"/>
              </w:rPr>
              <w:t>COLUMN</w:t>
            </w:r>
          </w:p>
        </w:tc>
        <w:tc>
          <w:tcPr>
            <w:tcW w:w="7760" w:type="dxa"/>
            <w:vAlign w:val="bottom"/>
            <w:gridSpan w:val="7"/>
          </w:tcPr>
          <w:p>
            <w:pPr>
              <w:ind w:left="46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3"/>
        </w:trPr>
        <w:tc>
          <w:tcPr>
            <w:tcW w:w="2780" w:type="dxa"/>
            <w:vAlign w:val="bottom"/>
            <w:vMerge w:val="continue"/>
          </w:tcPr>
          <w:p>
            <w:pPr>
              <w:spacing w:after="0"/>
              <w:rPr>
                <w:sz w:val="15"/>
                <w:szCs w:val="15"/>
                <w:color w:val="auto"/>
              </w:rPr>
            </w:pPr>
          </w:p>
        </w:tc>
        <w:tc>
          <w:tcPr>
            <w:tcW w:w="1580" w:type="dxa"/>
            <w:vAlign w:val="bottom"/>
          </w:tcPr>
          <w:p>
            <w:pPr>
              <w:ind w:left="640"/>
              <w:spacing w:after="0"/>
              <w:rPr>
                <w:sz w:val="20"/>
                <w:szCs w:val="20"/>
                <w:color w:val="auto"/>
              </w:rPr>
            </w:pPr>
            <w:r>
              <w:rPr>
                <w:rFonts w:ascii="Courier New" w:cs="Courier New" w:eastAsia="Courier New" w:hAnsi="Courier New"/>
                <w:sz w:val="15"/>
                <w:szCs w:val="15"/>
                <w:color w:val="auto"/>
              </w:rPr>
              <w:t>COLUMN</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COLUMN</w:t>
            </w:r>
          </w:p>
        </w:tc>
        <w:tc>
          <w:tcPr>
            <w:tcW w:w="1160" w:type="dxa"/>
            <w:vAlign w:val="bottom"/>
          </w:tcPr>
          <w:p>
            <w:pPr>
              <w:spacing w:after="0"/>
              <w:rPr>
                <w:sz w:val="15"/>
                <w:szCs w:val="15"/>
                <w:color w:val="auto"/>
              </w:rPr>
            </w:pPr>
          </w:p>
        </w:tc>
        <w:tc>
          <w:tcPr>
            <w:tcW w:w="14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COLUMN</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COLUMN</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COLUMN</w:t>
            </w:r>
          </w:p>
        </w:tc>
        <w:tc>
          <w:tcPr>
            <w:tcW w:w="0" w:type="dxa"/>
            <w:vAlign w:val="bottom"/>
          </w:tcPr>
          <w:p>
            <w:pPr>
              <w:spacing w:after="0"/>
              <w:rPr>
                <w:sz w:val="1"/>
                <w:szCs w:val="1"/>
                <w:color w:val="auto"/>
              </w:rPr>
            </w:pPr>
          </w:p>
        </w:tc>
      </w:tr>
      <w:tr>
        <w:trPr>
          <w:trHeight w:val="173"/>
        </w:trPr>
        <w:tc>
          <w:tcPr>
            <w:tcW w:w="2780" w:type="dxa"/>
            <w:vAlign w:val="bottom"/>
          </w:tcPr>
          <w:p>
            <w:pPr>
              <w:ind w:left="1260"/>
              <w:spacing w:after="0"/>
              <w:rPr>
                <w:sz w:val="20"/>
                <w:szCs w:val="20"/>
                <w:color w:val="auto"/>
              </w:rPr>
            </w:pPr>
            <w:r>
              <w:rPr>
                <w:rFonts w:ascii="Courier New" w:cs="Courier New" w:eastAsia="Courier New" w:hAnsi="Courier New"/>
                <w:sz w:val="15"/>
                <w:szCs w:val="15"/>
                <w:color w:val="auto"/>
              </w:rPr>
              <w:t>A</w:t>
            </w: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B</w:t>
            </w:r>
          </w:p>
        </w:tc>
        <w:tc>
          <w:tcPr>
            <w:tcW w:w="240" w:type="dxa"/>
            <w:vAlign w:val="bottom"/>
          </w:tcPr>
          <w:p>
            <w:pPr>
              <w:spacing w:after="0"/>
              <w:rPr>
                <w:sz w:val="15"/>
                <w:szCs w:val="15"/>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w:t>
            </w:r>
          </w:p>
        </w:tc>
        <w:tc>
          <w:tcPr>
            <w:tcW w:w="1160" w:type="dxa"/>
            <w:vAlign w:val="bottom"/>
          </w:tcPr>
          <w:p>
            <w:pPr>
              <w:spacing w:after="0"/>
              <w:rPr>
                <w:sz w:val="15"/>
                <w:szCs w:val="15"/>
                <w:color w:val="auto"/>
              </w:rPr>
            </w:pPr>
          </w:p>
        </w:tc>
        <w:tc>
          <w:tcPr>
            <w:tcW w:w="1400" w:type="dxa"/>
            <w:vAlign w:val="bottom"/>
          </w:tcPr>
          <w:p>
            <w:pPr>
              <w:ind w:left="540"/>
              <w:spacing w:after="0"/>
              <w:rPr>
                <w:sz w:val="20"/>
                <w:szCs w:val="20"/>
                <w:color w:val="auto"/>
              </w:rPr>
            </w:pPr>
            <w:r>
              <w:rPr>
                <w:rFonts w:ascii="Courier New" w:cs="Courier New" w:eastAsia="Courier New" w:hAnsi="Courier New"/>
                <w:sz w:val="15"/>
                <w:szCs w:val="15"/>
                <w:color w:val="auto"/>
              </w:rPr>
              <w:t>D</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E</w:t>
            </w: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F</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58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2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158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BALANCE AT</w:t>
            </w:r>
          </w:p>
        </w:tc>
        <w:tc>
          <w:tcPr>
            <w:tcW w:w="240" w:type="dxa"/>
            <w:vAlign w:val="bottom"/>
          </w:tcPr>
          <w:p>
            <w:pPr>
              <w:spacing w:after="0"/>
              <w:rPr>
                <w:sz w:val="15"/>
                <w:szCs w:val="15"/>
                <w:color w:val="auto"/>
              </w:rPr>
            </w:pPr>
          </w:p>
        </w:tc>
        <w:tc>
          <w:tcPr>
            <w:tcW w:w="224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ADDITIONS</w:t>
            </w:r>
          </w:p>
        </w:tc>
        <w:tc>
          <w:tcPr>
            <w:tcW w:w="140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DEDUCTIONS</w:t>
            </w:r>
          </w:p>
        </w:tc>
        <w:tc>
          <w:tcPr>
            <w:tcW w:w="1120" w:type="dxa"/>
            <w:vAlign w:val="bottom"/>
          </w:tcPr>
          <w:p>
            <w:pPr>
              <w:spacing w:after="0"/>
              <w:rPr>
                <w:sz w:val="15"/>
                <w:szCs w:val="15"/>
                <w:color w:val="auto"/>
              </w:rPr>
            </w:pPr>
          </w:p>
        </w:tc>
        <w:tc>
          <w:tcPr>
            <w:tcW w:w="11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BALANCE</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320" w:type="dxa"/>
            <w:vAlign w:val="bottom"/>
            <w:gridSpan w:val="2"/>
          </w:tcPr>
          <w:p>
            <w:pPr>
              <w:jc w:val="center"/>
              <w:ind w:right="225"/>
              <w:spacing w:after="0"/>
              <w:rPr>
                <w:sz w:val="20"/>
                <w:szCs w:val="20"/>
                <w:color w:val="auto"/>
              </w:rPr>
            </w:pPr>
            <w:r>
              <w:rPr>
                <w:rFonts w:ascii="Courier New" w:cs="Courier New" w:eastAsia="Courier New" w:hAnsi="Courier New"/>
                <w:sz w:val="15"/>
                <w:szCs w:val="15"/>
                <w:color w:val="auto"/>
                <w:w w:val="99"/>
              </w:rPr>
              <w:t>CHARGED TO</w:t>
            </w: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BAD DEBTS</w:t>
            </w:r>
          </w:p>
        </w:tc>
        <w:tc>
          <w:tcPr>
            <w:tcW w:w="14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8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PERIOD AND DESCRIPTION</w:t>
            </w:r>
          </w:p>
        </w:tc>
        <w:tc>
          <w:tcPr>
            <w:tcW w:w="1580" w:type="dxa"/>
            <w:vAlign w:val="bottom"/>
          </w:tcPr>
          <w:p>
            <w:pPr>
              <w:ind w:left="460"/>
              <w:spacing w:after="0"/>
              <w:rPr>
                <w:sz w:val="20"/>
                <w:szCs w:val="20"/>
                <w:color w:val="auto"/>
              </w:rPr>
            </w:pPr>
            <w:r>
              <w:rPr>
                <w:rFonts w:ascii="Courier New" w:cs="Courier New" w:eastAsia="Courier New" w:hAnsi="Courier New"/>
                <w:sz w:val="15"/>
                <w:szCs w:val="15"/>
                <w:color w:val="auto"/>
              </w:rPr>
              <w:t>BEGINNING</w:t>
            </w:r>
          </w:p>
        </w:tc>
        <w:tc>
          <w:tcPr>
            <w:tcW w:w="1320" w:type="dxa"/>
            <w:vAlign w:val="bottom"/>
            <w:gridSpan w:val="2"/>
          </w:tcPr>
          <w:p>
            <w:pPr>
              <w:jc w:val="center"/>
              <w:ind w:right="245"/>
              <w:spacing w:after="0"/>
              <w:rPr>
                <w:sz w:val="20"/>
                <w:szCs w:val="20"/>
                <w:color w:val="auto"/>
              </w:rPr>
            </w:pPr>
            <w:r>
              <w:rPr>
                <w:rFonts w:ascii="Courier New" w:cs="Courier New" w:eastAsia="Courier New" w:hAnsi="Courier New"/>
                <w:sz w:val="15"/>
                <w:szCs w:val="15"/>
                <w:color w:val="auto"/>
                <w:w w:val="99"/>
              </w:rPr>
              <w:t>COST AND</w:t>
            </w: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RECOVERIES</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CHARGEOFFS</w:t>
            </w:r>
          </w:p>
        </w:tc>
        <w:tc>
          <w:tcPr>
            <w:tcW w:w="112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OTHER*</w:t>
            </w:r>
          </w:p>
        </w:tc>
        <w:tc>
          <w:tcPr>
            <w:tcW w:w="11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AT END OF</w:t>
            </w:r>
          </w:p>
        </w:tc>
        <w:tc>
          <w:tcPr>
            <w:tcW w:w="0" w:type="dxa"/>
            <w:vAlign w:val="bottom"/>
          </w:tcPr>
          <w:p>
            <w:pPr>
              <w:spacing w:after="0"/>
              <w:rPr>
                <w:sz w:val="1"/>
                <w:szCs w:val="1"/>
                <w:color w:val="auto"/>
              </w:rPr>
            </w:pPr>
          </w:p>
        </w:tc>
      </w:tr>
      <w:tr>
        <w:trPr>
          <w:trHeight w:val="173"/>
        </w:trPr>
        <w:tc>
          <w:tcPr>
            <w:tcW w:w="2780" w:type="dxa"/>
            <w:vAlign w:val="bottom"/>
            <w:vMerge w:val="continue"/>
          </w:tcPr>
          <w:p>
            <w:pPr>
              <w:spacing w:after="0"/>
              <w:rPr>
                <w:sz w:val="15"/>
                <w:szCs w:val="15"/>
                <w:color w:val="auto"/>
              </w:rPr>
            </w:pPr>
          </w:p>
        </w:tc>
        <w:tc>
          <w:tcPr>
            <w:tcW w:w="1580" w:type="dxa"/>
            <w:vAlign w:val="bottom"/>
          </w:tcPr>
          <w:p>
            <w:pPr>
              <w:ind w:left="460"/>
              <w:spacing w:after="0"/>
              <w:rPr>
                <w:sz w:val="20"/>
                <w:szCs w:val="20"/>
                <w:color w:val="auto"/>
              </w:rPr>
            </w:pPr>
            <w:r>
              <w:rPr>
                <w:rFonts w:ascii="Courier New" w:cs="Courier New" w:eastAsia="Courier New" w:hAnsi="Courier New"/>
                <w:sz w:val="15"/>
                <w:szCs w:val="15"/>
                <w:color w:val="auto"/>
              </w:rPr>
              <w:t>OF PERIOD</w:t>
            </w:r>
          </w:p>
        </w:tc>
        <w:tc>
          <w:tcPr>
            <w:tcW w:w="1320" w:type="dxa"/>
            <w:vAlign w:val="bottom"/>
            <w:gridSpan w:val="2"/>
          </w:tcPr>
          <w:p>
            <w:pPr>
              <w:jc w:val="center"/>
              <w:ind w:right="245"/>
              <w:spacing w:after="0"/>
              <w:rPr>
                <w:sz w:val="20"/>
                <w:szCs w:val="20"/>
                <w:color w:val="auto"/>
              </w:rPr>
            </w:pPr>
            <w:r>
              <w:rPr>
                <w:rFonts w:ascii="Courier New" w:cs="Courier New" w:eastAsia="Courier New" w:hAnsi="Courier New"/>
                <w:sz w:val="15"/>
                <w:szCs w:val="15"/>
                <w:color w:val="auto"/>
                <w:w w:val="99"/>
              </w:rPr>
              <w:t>EXPENSES</w:t>
            </w:r>
          </w:p>
        </w:tc>
        <w:tc>
          <w:tcPr>
            <w:tcW w:w="11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continue"/>
          </w:tcPr>
          <w:p>
            <w:pPr>
              <w:spacing w:after="0"/>
              <w:rPr>
                <w:sz w:val="15"/>
                <w:szCs w:val="15"/>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PERIOD</w:t>
            </w:r>
          </w:p>
        </w:tc>
        <w:tc>
          <w:tcPr>
            <w:tcW w:w="0" w:type="dxa"/>
            <w:vAlign w:val="bottom"/>
          </w:tcPr>
          <w:p>
            <w:pPr>
              <w:spacing w:after="0"/>
              <w:rPr>
                <w:sz w:val="1"/>
                <w:szCs w:val="1"/>
                <w:color w:val="auto"/>
              </w:rPr>
            </w:pPr>
          </w:p>
        </w:tc>
      </w:tr>
      <w:tr>
        <w:trPr>
          <w:trHeight w:val="255"/>
        </w:trPr>
        <w:tc>
          <w:tcPr>
            <w:tcW w:w="278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58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vMerge w:val="continue"/>
          </w:tcPr>
          <w:p>
            <w:pPr>
              <w:spacing w:after="0"/>
              <w:rPr>
                <w:sz w:val="22"/>
                <w:szCs w:val="22"/>
                <w:color w:val="auto"/>
              </w:rPr>
            </w:pPr>
          </w:p>
        </w:tc>
        <w:tc>
          <w:tcPr>
            <w:tcW w:w="1400" w:type="dxa"/>
            <w:vAlign w:val="bottom"/>
            <w:vMerge w:val="continue"/>
          </w:tcPr>
          <w:p>
            <w:pPr>
              <w:spacing w:after="0"/>
              <w:rPr>
                <w:sz w:val="22"/>
                <w:szCs w:val="22"/>
                <w:color w:val="auto"/>
              </w:rPr>
            </w:pP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2780" w:type="dxa"/>
            <w:vAlign w:val="bottom"/>
          </w:tcPr>
          <w:p>
            <w:pPr>
              <w:spacing w:after="0"/>
              <w:rPr>
                <w:sz w:val="20"/>
                <w:szCs w:val="20"/>
                <w:color w:val="auto"/>
              </w:rPr>
            </w:pPr>
            <w:r>
              <w:rPr>
                <w:rFonts w:ascii="Courier New" w:cs="Courier New" w:eastAsia="Courier New" w:hAnsi="Courier New"/>
                <w:sz w:val="15"/>
                <w:szCs w:val="15"/>
                <w:color w:val="auto"/>
              </w:rPr>
              <w:t>Year Ended August 31, 1996:</w:t>
            </w:r>
          </w:p>
        </w:tc>
        <w:tc>
          <w:tcPr>
            <w:tcW w:w="1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2780" w:type="dxa"/>
            <w:vAlign w:val="bottom"/>
          </w:tcPr>
          <w:p>
            <w:pPr>
              <w:ind w:left="440"/>
              <w:spacing w:after="0"/>
              <w:rPr>
                <w:sz w:val="20"/>
                <w:szCs w:val="20"/>
                <w:color w:val="auto"/>
              </w:rPr>
            </w:pPr>
            <w:r>
              <w:rPr>
                <w:rFonts w:ascii="Courier New" w:cs="Courier New" w:eastAsia="Courier New" w:hAnsi="Courier New"/>
                <w:sz w:val="15"/>
                <w:szCs w:val="15"/>
                <w:color w:val="auto"/>
              </w:rPr>
              <w:t>Allowance for doubtful</w:t>
            </w:r>
          </w:p>
        </w:tc>
        <w:tc>
          <w:tcPr>
            <w:tcW w:w="158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$ 1,128</w:t>
            </w: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359</w:t>
            </w:r>
          </w:p>
        </w:tc>
        <w:tc>
          <w:tcPr>
            <w:tcW w:w="116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  --</w:t>
            </w:r>
          </w:p>
        </w:tc>
        <w:tc>
          <w:tcPr>
            <w:tcW w:w="140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  (329)</w:t>
            </w:r>
          </w:p>
        </w:tc>
        <w:tc>
          <w:tcPr>
            <w:tcW w:w="112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  (456)</w:t>
            </w:r>
          </w:p>
        </w:tc>
        <w:tc>
          <w:tcPr>
            <w:tcW w:w="11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   702</w:t>
            </w:r>
          </w:p>
        </w:tc>
        <w:tc>
          <w:tcPr>
            <w:tcW w:w="0" w:type="dxa"/>
            <w:vAlign w:val="bottom"/>
          </w:tcPr>
          <w:p>
            <w:pPr>
              <w:spacing w:after="0"/>
              <w:rPr>
                <w:sz w:val="1"/>
                <w:szCs w:val="1"/>
                <w:color w:val="auto"/>
              </w:rPr>
            </w:pPr>
          </w:p>
        </w:tc>
      </w:tr>
      <w:tr>
        <w:trPr>
          <w:trHeight w:val="173"/>
        </w:trPr>
        <w:tc>
          <w:tcPr>
            <w:tcW w:w="2780" w:type="dxa"/>
            <w:vAlign w:val="bottom"/>
          </w:tcPr>
          <w:p>
            <w:pPr>
              <w:ind w:left="900"/>
              <w:spacing w:after="0"/>
              <w:rPr>
                <w:sz w:val="20"/>
                <w:szCs w:val="20"/>
                <w:color w:val="auto"/>
              </w:rPr>
            </w:pPr>
            <w:r>
              <w:rPr>
                <w:rFonts w:ascii="Courier New" w:cs="Courier New" w:eastAsia="Courier New" w:hAnsi="Courier New"/>
                <w:sz w:val="15"/>
                <w:szCs w:val="15"/>
                <w:color w:val="auto"/>
              </w:rPr>
              <w:t>accounts receivable</w:t>
            </w:r>
          </w:p>
        </w:tc>
        <w:tc>
          <w:tcPr>
            <w:tcW w:w="15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80" w:type="dxa"/>
            <w:vAlign w:val="bottom"/>
          </w:tcPr>
          <w:p>
            <w:pPr>
              <w:ind w:left="440"/>
              <w:spacing w:after="0"/>
              <w:rPr>
                <w:sz w:val="20"/>
                <w:szCs w:val="20"/>
                <w:color w:val="auto"/>
              </w:rPr>
            </w:pPr>
            <w:r>
              <w:rPr>
                <w:rFonts w:ascii="Courier New" w:cs="Courier New" w:eastAsia="Courier New" w:hAnsi="Courier New"/>
                <w:sz w:val="15"/>
                <w:szCs w:val="15"/>
                <w:color w:val="auto"/>
              </w:rPr>
              <w:t>Allowance for doubtful</w:t>
            </w:r>
          </w:p>
        </w:tc>
        <w:tc>
          <w:tcPr>
            <w:tcW w:w="158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255</w:t>
            </w:r>
          </w:p>
        </w:tc>
        <w:tc>
          <w:tcPr>
            <w:tcW w:w="240" w:type="dxa"/>
            <w:vAlign w:val="bottom"/>
          </w:tcPr>
          <w:p>
            <w:pPr>
              <w:spacing w:after="0"/>
              <w:rPr>
                <w:sz w:val="15"/>
                <w:szCs w:val="15"/>
                <w:color w:val="auto"/>
              </w:rPr>
            </w:pPr>
          </w:p>
        </w:tc>
        <w:tc>
          <w:tcPr>
            <w:tcW w:w="1080" w:type="dxa"/>
            <w:vAlign w:val="bottom"/>
            <w:vMerge w:val="restart"/>
          </w:tcPr>
          <w:p>
            <w:pPr>
              <w:jc w:val="right"/>
              <w:ind w:right="385"/>
              <w:spacing w:after="0"/>
              <w:rPr>
                <w:sz w:val="20"/>
                <w:szCs w:val="20"/>
                <w:color w:val="auto"/>
              </w:rPr>
            </w:pPr>
            <w:r>
              <w:rPr>
                <w:rFonts w:ascii="Courier New" w:cs="Courier New" w:eastAsia="Courier New" w:hAnsi="Courier New"/>
                <w:sz w:val="15"/>
                <w:szCs w:val="15"/>
                <w:color w:val="auto"/>
              </w:rPr>
              <w:t>(70)</w:t>
            </w:r>
          </w:p>
        </w:tc>
        <w:tc>
          <w:tcPr>
            <w:tcW w:w="116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29</w:t>
            </w:r>
          </w:p>
        </w:tc>
        <w:tc>
          <w:tcPr>
            <w:tcW w:w="140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17</w:t>
            </w:r>
          </w:p>
        </w:tc>
        <w:tc>
          <w:tcPr>
            <w:tcW w:w="112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197</w:t>
            </w:r>
          </w:p>
        </w:tc>
        <w:tc>
          <w:tcPr>
            <w:tcW w:w="0" w:type="dxa"/>
            <w:vAlign w:val="bottom"/>
          </w:tcPr>
          <w:p>
            <w:pPr>
              <w:spacing w:after="0"/>
              <w:rPr>
                <w:sz w:val="1"/>
                <w:szCs w:val="1"/>
                <w:color w:val="auto"/>
              </w:rPr>
            </w:pPr>
          </w:p>
        </w:tc>
      </w:tr>
      <w:tr>
        <w:trPr>
          <w:trHeight w:val="173"/>
        </w:trPr>
        <w:tc>
          <w:tcPr>
            <w:tcW w:w="2780" w:type="dxa"/>
            <w:vAlign w:val="bottom"/>
          </w:tcPr>
          <w:p>
            <w:pPr>
              <w:ind w:left="900"/>
              <w:spacing w:after="0"/>
              <w:rPr>
                <w:sz w:val="20"/>
                <w:szCs w:val="20"/>
                <w:color w:val="auto"/>
              </w:rPr>
            </w:pPr>
            <w:r>
              <w:rPr>
                <w:rFonts w:ascii="Courier New" w:cs="Courier New" w:eastAsia="Courier New" w:hAnsi="Courier New"/>
                <w:sz w:val="15"/>
                <w:szCs w:val="15"/>
                <w:color w:val="auto"/>
              </w:rPr>
              <w:t>dealer receivables</w:t>
            </w:r>
          </w:p>
        </w:tc>
        <w:tc>
          <w:tcPr>
            <w:tcW w:w="15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80" w:type="dxa"/>
            <w:vAlign w:val="bottom"/>
          </w:tcPr>
          <w:p>
            <w:pPr>
              <w:ind w:left="440"/>
              <w:spacing w:after="0"/>
              <w:rPr>
                <w:sz w:val="20"/>
                <w:szCs w:val="20"/>
                <w:color w:val="auto"/>
              </w:rPr>
            </w:pPr>
            <w:r>
              <w:rPr>
                <w:rFonts w:ascii="Courier New" w:cs="Courier New" w:eastAsia="Courier New" w:hAnsi="Courier New"/>
                <w:sz w:val="15"/>
                <w:szCs w:val="15"/>
                <w:color w:val="auto"/>
              </w:rPr>
              <w:t>Allowance for excess and</w:t>
            </w:r>
          </w:p>
        </w:tc>
        <w:tc>
          <w:tcPr>
            <w:tcW w:w="158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669</w:t>
            </w:r>
          </w:p>
        </w:tc>
        <w:tc>
          <w:tcPr>
            <w:tcW w:w="240" w:type="dxa"/>
            <w:vAlign w:val="bottom"/>
          </w:tcPr>
          <w:p>
            <w:pPr>
              <w:spacing w:after="0"/>
              <w:rPr>
                <w:sz w:val="15"/>
                <w:szCs w:val="15"/>
                <w:color w:val="auto"/>
              </w:rPr>
            </w:pPr>
          </w:p>
        </w:tc>
        <w:tc>
          <w:tcPr>
            <w:tcW w:w="108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1,301</w:t>
            </w:r>
          </w:p>
        </w:tc>
        <w:tc>
          <w:tcPr>
            <w:tcW w:w="116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1,401</w:t>
            </w:r>
          </w:p>
        </w:tc>
        <w:tc>
          <w:tcPr>
            <w:tcW w:w="112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569</w:t>
            </w:r>
          </w:p>
        </w:tc>
        <w:tc>
          <w:tcPr>
            <w:tcW w:w="0" w:type="dxa"/>
            <w:vAlign w:val="bottom"/>
          </w:tcPr>
          <w:p>
            <w:pPr>
              <w:spacing w:after="0"/>
              <w:rPr>
                <w:sz w:val="1"/>
                <w:szCs w:val="1"/>
                <w:color w:val="auto"/>
              </w:rPr>
            </w:pPr>
          </w:p>
        </w:tc>
      </w:tr>
      <w:tr>
        <w:trPr>
          <w:trHeight w:val="173"/>
        </w:trPr>
        <w:tc>
          <w:tcPr>
            <w:tcW w:w="2780" w:type="dxa"/>
            <w:vAlign w:val="bottom"/>
          </w:tcPr>
          <w:p>
            <w:pPr>
              <w:ind w:left="900"/>
              <w:spacing w:after="0"/>
              <w:rPr>
                <w:sz w:val="20"/>
                <w:szCs w:val="20"/>
                <w:color w:val="auto"/>
              </w:rPr>
            </w:pPr>
            <w:r>
              <w:rPr>
                <w:rFonts w:ascii="Courier New" w:cs="Courier New" w:eastAsia="Courier New" w:hAnsi="Courier New"/>
                <w:sz w:val="15"/>
                <w:szCs w:val="15"/>
                <w:color w:val="auto"/>
              </w:rPr>
              <w:t>obsolete inventory</w:t>
            </w:r>
          </w:p>
        </w:tc>
        <w:tc>
          <w:tcPr>
            <w:tcW w:w="15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80" w:type="dxa"/>
            <w:vAlign w:val="bottom"/>
          </w:tcPr>
          <w:p>
            <w:pPr>
              <w:ind w:left="440"/>
              <w:spacing w:after="0"/>
              <w:rPr>
                <w:sz w:val="20"/>
                <w:szCs w:val="20"/>
                <w:color w:val="auto"/>
              </w:rPr>
            </w:pPr>
            <w:r>
              <w:rPr>
                <w:rFonts w:ascii="Courier New" w:cs="Courier New" w:eastAsia="Courier New" w:hAnsi="Courier New"/>
                <w:sz w:val="15"/>
                <w:szCs w:val="15"/>
                <w:color w:val="auto"/>
              </w:rPr>
              <w:t>Allowance for doubtful</w:t>
            </w:r>
          </w:p>
        </w:tc>
        <w:tc>
          <w:tcPr>
            <w:tcW w:w="158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950</w:t>
            </w:r>
          </w:p>
        </w:tc>
        <w:tc>
          <w:tcPr>
            <w:tcW w:w="240" w:type="dxa"/>
            <w:vAlign w:val="bottom"/>
          </w:tcPr>
          <w:p>
            <w:pPr>
              <w:spacing w:after="0"/>
              <w:rPr>
                <w:sz w:val="15"/>
                <w:szCs w:val="15"/>
                <w:color w:val="auto"/>
              </w:rPr>
            </w:pPr>
          </w:p>
        </w:tc>
        <w:tc>
          <w:tcPr>
            <w:tcW w:w="1080" w:type="dxa"/>
            <w:vAlign w:val="bottom"/>
            <w:vMerge w:val="restart"/>
          </w:tcPr>
          <w:p>
            <w:pPr>
              <w:jc w:val="right"/>
              <w:ind w:right="385"/>
              <w:spacing w:after="0"/>
              <w:rPr>
                <w:sz w:val="20"/>
                <w:szCs w:val="20"/>
                <w:color w:val="auto"/>
              </w:rPr>
            </w:pPr>
            <w:r>
              <w:rPr>
                <w:rFonts w:ascii="Courier New" w:cs="Courier New" w:eastAsia="Courier New" w:hAnsi="Courier New"/>
                <w:sz w:val="15"/>
                <w:szCs w:val="15"/>
                <w:color w:val="auto"/>
              </w:rPr>
              <w:t>(324)</w:t>
            </w:r>
          </w:p>
        </w:tc>
        <w:tc>
          <w:tcPr>
            <w:tcW w:w="116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(285)</w:t>
            </w:r>
          </w:p>
        </w:tc>
        <w:tc>
          <w:tcPr>
            <w:tcW w:w="112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456</w:t>
            </w:r>
          </w:p>
        </w:tc>
        <w:tc>
          <w:tcPr>
            <w:tcW w:w="11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797</w:t>
            </w:r>
          </w:p>
        </w:tc>
        <w:tc>
          <w:tcPr>
            <w:tcW w:w="0" w:type="dxa"/>
            <w:vAlign w:val="bottom"/>
          </w:tcPr>
          <w:p>
            <w:pPr>
              <w:spacing w:after="0"/>
              <w:rPr>
                <w:sz w:val="1"/>
                <w:szCs w:val="1"/>
                <w:color w:val="auto"/>
              </w:rPr>
            </w:pPr>
          </w:p>
        </w:tc>
      </w:tr>
      <w:tr>
        <w:trPr>
          <w:trHeight w:val="255"/>
        </w:trPr>
        <w:tc>
          <w:tcPr>
            <w:tcW w:w="2780" w:type="dxa"/>
            <w:vAlign w:val="bottom"/>
          </w:tcPr>
          <w:p>
            <w:pPr>
              <w:ind w:left="900"/>
              <w:spacing w:after="0"/>
              <w:rPr>
                <w:sz w:val="20"/>
                <w:szCs w:val="20"/>
                <w:color w:val="auto"/>
              </w:rPr>
            </w:pPr>
            <w:r>
              <w:rPr>
                <w:rFonts w:ascii="Courier New" w:cs="Courier New" w:eastAsia="Courier New" w:hAnsi="Courier New"/>
                <w:sz w:val="15"/>
                <w:szCs w:val="15"/>
                <w:color w:val="auto"/>
              </w:rPr>
              <w:t>notes receivable</w:t>
            </w:r>
          </w:p>
        </w:tc>
        <w:tc>
          <w:tcPr>
            <w:tcW w:w="158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40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1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2780" w:type="dxa"/>
            <w:vAlign w:val="bottom"/>
          </w:tcPr>
          <w:p>
            <w:pPr>
              <w:spacing w:after="0"/>
              <w:rPr>
                <w:sz w:val="20"/>
                <w:szCs w:val="20"/>
                <w:color w:val="auto"/>
              </w:rPr>
            </w:pPr>
            <w:r>
              <w:rPr>
                <w:rFonts w:ascii="Courier New" w:cs="Courier New" w:eastAsia="Courier New" w:hAnsi="Courier New"/>
                <w:sz w:val="15"/>
                <w:szCs w:val="15"/>
                <w:color w:val="auto"/>
              </w:rPr>
              <w:t>Year Ended August 26, 1995:</w:t>
            </w: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780" w:type="dxa"/>
            <w:vAlign w:val="bottom"/>
          </w:tcPr>
          <w:p>
            <w:pPr>
              <w:ind w:left="440"/>
              <w:spacing w:after="0"/>
              <w:rPr>
                <w:sz w:val="20"/>
                <w:szCs w:val="20"/>
                <w:color w:val="auto"/>
              </w:rPr>
            </w:pPr>
            <w:r>
              <w:rPr>
                <w:rFonts w:ascii="Courier New" w:cs="Courier New" w:eastAsia="Courier New" w:hAnsi="Courier New"/>
                <w:sz w:val="15"/>
                <w:szCs w:val="15"/>
                <w:color w:val="auto"/>
              </w:rPr>
              <w:t>Allowance for doubtful</w:t>
            </w:r>
          </w:p>
        </w:tc>
        <w:tc>
          <w:tcPr>
            <w:tcW w:w="158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1,472</w:t>
            </w:r>
          </w:p>
        </w:tc>
        <w:tc>
          <w:tcPr>
            <w:tcW w:w="240" w:type="dxa"/>
            <w:vAlign w:val="bottom"/>
          </w:tcPr>
          <w:p>
            <w:pPr>
              <w:spacing w:after="0"/>
              <w:rPr>
                <w:sz w:val="15"/>
                <w:szCs w:val="15"/>
                <w:color w:val="auto"/>
              </w:rPr>
            </w:pPr>
          </w:p>
        </w:tc>
        <w:tc>
          <w:tcPr>
            <w:tcW w:w="1080" w:type="dxa"/>
            <w:vAlign w:val="bottom"/>
            <w:vMerge w:val="restart"/>
          </w:tcPr>
          <w:p>
            <w:pPr>
              <w:jc w:val="right"/>
              <w:ind w:right="385"/>
              <w:spacing w:after="0"/>
              <w:rPr>
                <w:sz w:val="20"/>
                <w:szCs w:val="20"/>
                <w:color w:val="auto"/>
              </w:rPr>
            </w:pPr>
            <w:r>
              <w:rPr>
                <w:rFonts w:ascii="Courier New" w:cs="Courier New" w:eastAsia="Courier New" w:hAnsi="Courier New"/>
                <w:sz w:val="15"/>
                <w:szCs w:val="15"/>
                <w:color w:val="auto"/>
              </w:rPr>
              <w:t>(228)</w:t>
            </w:r>
          </w:p>
        </w:tc>
        <w:tc>
          <w:tcPr>
            <w:tcW w:w="116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19</w:t>
            </w:r>
          </w:p>
        </w:tc>
        <w:tc>
          <w:tcPr>
            <w:tcW w:w="140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135</w:t>
            </w:r>
          </w:p>
        </w:tc>
        <w:tc>
          <w:tcPr>
            <w:tcW w:w="112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1,128</w:t>
            </w:r>
          </w:p>
        </w:tc>
        <w:tc>
          <w:tcPr>
            <w:tcW w:w="0" w:type="dxa"/>
            <w:vAlign w:val="bottom"/>
          </w:tcPr>
          <w:p>
            <w:pPr>
              <w:spacing w:after="0"/>
              <w:rPr>
                <w:sz w:val="1"/>
                <w:szCs w:val="1"/>
                <w:color w:val="auto"/>
              </w:rPr>
            </w:pPr>
          </w:p>
        </w:tc>
      </w:tr>
      <w:tr>
        <w:trPr>
          <w:trHeight w:val="173"/>
        </w:trPr>
        <w:tc>
          <w:tcPr>
            <w:tcW w:w="2780" w:type="dxa"/>
            <w:vAlign w:val="bottom"/>
          </w:tcPr>
          <w:p>
            <w:pPr>
              <w:ind w:left="900"/>
              <w:spacing w:after="0"/>
              <w:rPr>
                <w:sz w:val="20"/>
                <w:szCs w:val="20"/>
                <w:color w:val="auto"/>
              </w:rPr>
            </w:pPr>
            <w:r>
              <w:rPr>
                <w:rFonts w:ascii="Courier New" w:cs="Courier New" w:eastAsia="Courier New" w:hAnsi="Courier New"/>
                <w:sz w:val="15"/>
                <w:szCs w:val="15"/>
                <w:color w:val="auto"/>
              </w:rPr>
              <w:t>accounts receivable</w:t>
            </w:r>
          </w:p>
        </w:tc>
        <w:tc>
          <w:tcPr>
            <w:tcW w:w="15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80" w:type="dxa"/>
            <w:vAlign w:val="bottom"/>
          </w:tcPr>
          <w:p>
            <w:pPr>
              <w:ind w:left="440"/>
              <w:spacing w:after="0"/>
              <w:rPr>
                <w:sz w:val="20"/>
                <w:szCs w:val="20"/>
                <w:color w:val="auto"/>
              </w:rPr>
            </w:pPr>
            <w:r>
              <w:rPr>
                <w:rFonts w:ascii="Courier New" w:cs="Courier New" w:eastAsia="Courier New" w:hAnsi="Courier New"/>
                <w:sz w:val="15"/>
                <w:szCs w:val="15"/>
                <w:color w:val="auto"/>
              </w:rPr>
              <w:t>Allowance for doubtful</w:t>
            </w:r>
          </w:p>
        </w:tc>
        <w:tc>
          <w:tcPr>
            <w:tcW w:w="158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279</w:t>
            </w:r>
          </w:p>
        </w:tc>
        <w:tc>
          <w:tcPr>
            <w:tcW w:w="240" w:type="dxa"/>
            <w:vAlign w:val="bottom"/>
          </w:tcPr>
          <w:p>
            <w:pPr>
              <w:spacing w:after="0"/>
              <w:rPr>
                <w:sz w:val="15"/>
                <w:szCs w:val="15"/>
                <w:color w:val="auto"/>
              </w:rPr>
            </w:pPr>
          </w:p>
        </w:tc>
        <w:tc>
          <w:tcPr>
            <w:tcW w:w="108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47</w:t>
            </w:r>
          </w:p>
        </w:tc>
        <w:tc>
          <w:tcPr>
            <w:tcW w:w="116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11</w:t>
            </w:r>
          </w:p>
        </w:tc>
        <w:tc>
          <w:tcPr>
            <w:tcW w:w="140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82</w:t>
            </w:r>
          </w:p>
        </w:tc>
        <w:tc>
          <w:tcPr>
            <w:tcW w:w="112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255</w:t>
            </w:r>
          </w:p>
        </w:tc>
        <w:tc>
          <w:tcPr>
            <w:tcW w:w="0" w:type="dxa"/>
            <w:vAlign w:val="bottom"/>
          </w:tcPr>
          <w:p>
            <w:pPr>
              <w:spacing w:after="0"/>
              <w:rPr>
                <w:sz w:val="1"/>
                <w:szCs w:val="1"/>
                <w:color w:val="auto"/>
              </w:rPr>
            </w:pPr>
          </w:p>
        </w:tc>
      </w:tr>
      <w:tr>
        <w:trPr>
          <w:trHeight w:val="173"/>
        </w:trPr>
        <w:tc>
          <w:tcPr>
            <w:tcW w:w="2780" w:type="dxa"/>
            <w:vAlign w:val="bottom"/>
          </w:tcPr>
          <w:p>
            <w:pPr>
              <w:ind w:left="720"/>
              <w:spacing w:after="0"/>
              <w:rPr>
                <w:sz w:val="20"/>
                <w:szCs w:val="20"/>
                <w:color w:val="auto"/>
              </w:rPr>
            </w:pPr>
            <w:r>
              <w:rPr>
                <w:rFonts w:ascii="Courier New" w:cs="Courier New" w:eastAsia="Courier New" w:hAnsi="Courier New"/>
                <w:sz w:val="15"/>
                <w:szCs w:val="15"/>
                <w:color w:val="auto"/>
              </w:rPr>
              <w:t>dealer receivables</w:t>
            </w:r>
          </w:p>
        </w:tc>
        <w:tc>
          <w:tcPr>
            <w:tcW w:w="15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80" w:type="dxa"/>
            <w:vAlign w:val="bottom"/>
          </w:tcPr>
          <w:p>
            <w:pPr>
              <w:ind w:left="440"/>
              <w:spacing w:after="0"/>
              <w:rPr>
                <w:sz w:val="20"/>
                <w:szCs w:val="20"/>
                <w:color w:val="auto"/>
              </w:rPr>
            </w:pPr>
            <w:r>
              <w:rPr>
                <w:rFonts w:ascii="Courier New" w:cs="Courier New" w:eastAsia="Courier New" w:hAnsi="Courier New"/>
                <w:sz w:val="15"/>
                <w:szCs w:val="15"/>
                <w:color w:val="auto"/>
              </w:rPr>
              <w:t>Allowance for excess and</w:t>
            </w:r>
          </w:p>
        </w:tc>
        <w:tc>
          <w:tcPr>
            <w:tcW w:w="158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1,370</w:t>
            </w:r>
          </w:p>
        </w:tc>
        <w:tc>
          <w:tcPr>
            <w:tcW w:w="240" w:type="dxa"/>
            <w:vAlign w:val="bottom"/>
          </w:tcPr>
          <w:p>
            <w:pPr>
              <w:spacing w:after="0"/>
              <w:rPr>
                <w:sz w:val="15"/>
                <w:szCs w:val="15"/>
                <w:color w:val="auto"/>
              </w:rPr>
            </w:pPr>
          </w:p>
        </w:tc>
        <w:tc>
          <w:tcPr>
            <w:tcW w:w="108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1,425</w:t>
            </w:r>
          </w:p>
        </w:tc>
        <w:tc>
          <w:tcPr>
            <w:tcW w:w="116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2,126</w:t>
            </w:r>
          </w:p>
        </w:tc>
        <w:tc>
          <w:tcPr>
            <w:tcW w:w="112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669</w:t>
            </w:r>
          </w:p>
        </w:tc>
        <w:tc>
          <w:tcPr>
            <w:tcW w:w="0" w:type="dxa"/>
            <w:vAlign w:val="bottom"/>
          </w:tcPr>
          <w:p>
            <w:pPr>
              <w:spacing w:after="0"/>
              <w:rPr>
                <w:sz w:val="1"/>
                <w:szCs w:val="1"/>
                <w:color w:val="auto"/>
              </w:rPr>
            </w:pPr>
          </w:p>
        </w:tc>
      </w:tr>
      <w:tr>
        <w:trPr>
          <w:trHeight w:val="173"/>
        </w:trPr>
        <w:tc>
          <w:tcPr>
            <w:tcW w:w="2780" w:type="dxa"/>
            <w:vAlign w:val="bottom"/>
          </w:tcPr>
          <w:p>
            <w:pPr>
              <w:ind w:left="900"/>
              <w:spacing w:after="0"/>
              <w:rPr>
                <w:sz w:val="20"/>
                <w:szCs w:val="20"/>
                <w:color w:val="auto"/>
              </w:rPr>
            </w:pPr>
            <w:r>
              <w:rPr>
                <w:rFonts w:ascii="Courier New" w:cs="Courier New" w:eastAsia="Courier New" w:hAnsi="Courier New"/>
                <w:sz w:val="15"/>
                <w:szCs w:val="15"/>
                <w:color w:val="auto"/>
              </w:rPr>
              <w:t>obsolete inventory</w:t>
            </w:r>
          </w:p>
        </w:tc>
        <w:tc>
          <w:tcPr>
            <w:tcW w:w="15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80" w:type="dxa"/>
            <w:vAlign w:val="bottom"/>
          </w:tcPr>
          <w:p>
            <w:pPr>
              <w:ind w:left="440"/>
              <w:spacing w:after="0"/>
              <w:rPr>
                <w:sz w:val="20"/>
                <w:szCs w:val="20"/>
                <w:color w:val="auto"/>
              </w:rPr>
            </w:pPr>
            <w:r>
              <w:rPr>
                <w:rFonts w:ascii="Courier New" w:cs="Courier New" w:eastAsia="Courier New" w:hAnsi="Courier New"/>
                <w:sz w:val="15"/>
                <w:szCs w:val="15"/>
                <w:color w:val="auto"/>
              </w:rPr>
              <w:t>Allowance for doubtful</w:t>
            </w:r>
          </w:p>
        </w:tc>
        <w:tc>
          <w:tcPr>
            <w:tcW w:w="158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2,024</w:t>
            </w:r>
          </w:p>
        </w:tc>
        <w:tc>
          <w:tcPr>
            <w:tcW w:w="240" w:type="dxa"/>
            <w:vAlign w:val="bottom"/>
          </w:tcPr>
          <w:p>
            <w:pPr>
              <w:spacing w:after="0"/>
              <w:rPr>
                <w:sz w:val="15"/>
                <w:szCs w:val="15"/>
                <w:color w:val="auto"/>
              </w:rPr>
            </w:pPr>
          </w:p>
        </w:tc>
        <w:tc>
          <w:tcPr>
            <w:tcW w:w="1080" w:type="dxa"/>
            <w:vAlign w:val="bottom"/>
            <w:vMerge w:val="restart"/>
          </w:tcPr>
          <w:p>
            <w:pPr>
              <w:jc w:val="center"/>
              <w:ind w:right="465"/>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1,074</w:t>
            </w:r>
          </w:p>
        </w:tc>
        <w:tc>
          <w:tcPr>
            <w:tcW w:w="112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950</w:t>
            </w:r>
          </w:p>
        </w:tc>
        <w:tc>
          <w:tcPr>
            <w:tcW w:w="0" w:type="dxa"/>
            <w:vAlign w:val="bottom"/>
          </w:tcPr>
          <w:p>
            <w:pPr>
              <w:spacing w:after="0"/>
              <w:rPr>
                <w:sz w:val="1"/>
                <w:szCs w:val="1"/>
                <w:color w:val="auto"/>
              </w:rPr>
            </w:pPr>
          </w:p>
        </w:tc>
      </w:tr>
      <w:tr>
        <w:trPr>
          <w:trHeight w:val="255"/>
        </w:trPr>
        <w:tc>
          <w:tcPr>
            <w:tcW w:w="2780" w:type="dxa"/>
            <w:vAlign w:val="bottom"/>
          </w:tcPr>
          <w:p>
            <w:pPr>
              <w:ind w:left="900"/>
              <w:spacing w:after="0"/>
              <w:rPr>
                <w:sz w:val="20"/>
                <w:szCs w:val="20"/>
                <w:color w:val="auto"/>
              </w:rPr>
            </w:pPr>
            <w:r>
              <w:rPr>
                <w:rFonts w:ascii="Courier New" w:cs="Courier New" w:eastAsia="Courier New" w:hAnsi="Courier New"/>
                <w:sz w:val="15"/>
                <w:szCs w:val="15"/>
                <w:color w:val="auto"/>
              </w:rPr>
              <w:t>notes receivable</w:t>
            </w:r>
          </w:p>
        </w:tc>
        <w:tc>
          <w:tcPr>
            <w:tcW w:w="158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40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1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780" w:type="dxa"/>
            <w:vAlign w:val="bottom"/>
          </w:tcPr>
          <w:p>
            <w:pPr>
              <w:spacing w:after="0"/>
              <w:rPr>
                <w:sz w:val="20"/>
                <w:szCs w:val="20"/>
                <w:color w:val="auto"/>
              </w:rPr>
            </w:pPr>
            <w:r>
              <w:rPr>
                <w:rFonts w:ascii="Courier New" w:cs="Courier New" w:eastAsia="Courier New" w:hAnsi="Courier New"/>
                <w:sz w:val="15"/>
                <w:szCs w:val="15"/>
                <w:color w:val="auto"/>
              </w:rPr>
              <w:t>Year Ended August 27, 1994:</w:t>
            </w:r>
          </w:p>
        </w:tc>
        <w:tc>
          <w:tcPr>
            <w:tcW w:w="1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2780" w:type="dxa"/>
            <w:vAlign w:val="bottom"/>
          </w:tcPr>
          <w:p>
            <w:pPr>
              <w:ind w:left="440"/>
              <w:spacing w:after="0"/>
              <w:rPr>
                <w:sz w:val="20"/>
                <w:szCs w:val="20"/>
                <w:color w:val="auto"/>
              </w:rPr>
            </w:pPr>
            <w:r>
              <w:rPr>
                <w:rFonts w:ascii="Courier New" w:cs="Courier New" w:eastAsia="Courier New" w:hAnsi="Courier New"/>
                <w:sz w:val="15"/>
                <w:szCs w:val="15"/>
                <w:color w:val="auto"/>
              </w:rPr>
              <w:t>Allowance for doubtful</w:t>
            </w:r>
          </w:p>
        </w:tc>
        <w:tc>
          <w:tcPr>
            <w:tcW w:w="158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2,615</w:t>
            </w:r>
          </w:p>
        </w:tc>
        <w:tc>
          <w:tcPr>
            <w:tcW w:w="240" w:type="dxa"/>
            <w:vAlign w:val="bottom"/>
          </w:tcPr>
          <w:p>
            <w:pPr>
              <w:spacing w:after="0"/>
              <w:rPr>
                <w:sz w:val="15"/>
                <w:szCs w:val="15"/>
                <w:color w:val="auto"/>
              </w:rPr>
            </w:pPr>
          </w:p>
        </w:tc>
        <w:tc>
          <w:tcPr>
            <w:tcW w:w="1080" w:type="dxa"/>
            <w:vAlign w:val="bottom"/>
            <w:vMerge w:val="restart"/>
          </w:tcPr>
          <w:p>
            <w:pPr>
              <w:jc w:val="right"/>
              <w:ind w:right="385"/>
              <w:spacing w:after="0"/>
              <w:rPr>
                <w:sz w:val="20"/>
                <w:szCs w:val="20"/>
                <w:color w:val="auto"/>
              </w:rPr>
            </w:pPr>
            <w:r>
              <w:rPr>
                <w:rFonts w:ascii="Courier New" w:cs="Courier New" w:eastAsia="Courier New" w:hAnsi="Courier New"/>
                <w:sz w:val="15"/>
                <w:szCs w:val="15"/>
                <w:color w:val="auto"/>
              </w:rPr>
              <w:t>(353)</w:t>
            </w:r>
          </w:p>
        </w:tc>
        <w:tc>
          <w:tcPr>
            <w:tcW w:w="116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240</w:t>
            </w:r>
          </w:p>
        </w:tc>
        <w:tc>
          <w:tcPr>
            <w:tcW w:w="112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(550)</w:t>
            </w:r>
          </w:p>
        </w:tc>
        <w:tc>
          <w:tcPr>
            <w:tcW w:w="11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1,472</w:t>
            </w:r>
          </w:p>
        </w:tc>
        <w:tc>
          <w:tcPr>
            <w:tcW w:w="0" w:type="dxa"/>
            <w:vAlign w:val="bottom"/>
          </w:tcPr>
          <w:p>
            <w:pPr>
              <w:spacing w:after="0"/>
              <w:rPr>
                <w:sz w:val="1"/>
                <w:szCs w:val="1"/>
                <w:color w:val="auto"/>
              </w:rPr>
            </w:pPr>
          </w:p>
        </w:tc>
      </w:tr>
      <w:tr>
        <w:trPr>
          <w:trHeight w:val="173"/>
        </w:trPr>
        <w:tc>
          <w:tcPr>
            <w:tcW w:w="2780" w:type="dxa"/>
            <w:vAlign w:val="bottom"/>
          </w:tcPr>
          <w:p>
            <w:pPr>
              <w:ind w:left="900"/>
              <w:spacing w:after="0"/>
              <w:rPr>
                <w:sz w:val="20"/>
                <w:szCs w:val="20"/>
                <w:color w:val="auto"/>
              </w:rPr>
            </w:pPr>
            <w:r>
              <w:rPr>
                <w:rFonts w:ascii="Courier New" w:cs="Courier New" w:eastAsia="Courier New" w:hAnsi="Courier New"/>
                <w:sz w:val="15"/>
                <w:szCs w:val="15"/>
                <w:color w:val="auto"/>
              </w:rPr>
              <w:t>accounts receivable</w:t>
            </w:r>
          </w:p>
        </w:tc>
        <w:tc>
          <w:tcPr>
            <w:tcW w:w="15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80" w:type="dxa"/>
            <w:vAlign w:val="bottom"/>
          </w:tcPr>
          <w:p>
            <w:pPr>
              <w:ind w:left="440"/>
              <w:spacing w:after="0"/>
              <w:rPr>
                <w:sz w:val="20"/>
                <w:szCs w:val="20"/>
                <w:color w:val="auto"/>
              </w:rPr>
            </w:pPr>
            <w:r>
              <w:rPr>
                <w:rFonts w:ascii="Courier New" w:cs="Courier New" w:eastAsia="Courier New" w:hAnsi="Courier New"/>
                <w:sz w:val="15"/>
                <w:szCs w:val="15"/>
                <w:color w:val="auto"/>
              </w:rPr>
              <w:t>Allowance for doubtful</w:t>
            </w:r>
          </w:p>
        </w:tc>
        <w:tc>
          <w:tcPr>
            <w:tcW w:w="158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290</w:t>
            </w:r>
          </w:p>
        </w:tc>
        <w:tc>
          <w:tcPr>
            <w:tcW w:w="240" w:type="dxa"/>
            <w:vAlign w:val="bottom"/>
          </w:tcPr>
          <w:p>
            <w:pPr>
              <w:spacing w:after="0"/>
              <w:rPr>
                <w:sz w:val="15"/>
                <w:szCs w:val="15"/>
                <w:color w:val="auto"/>
              </w:rPr>
            </w:pPr>
          </w:p>
        </w:tc>
        <w:tc>
          <w:tcPr>
            <w:tcW w:w="1080" w:type="dxa"/>
            <w:vAlign w:val="bottom"/>
            <w:vMerge w:val="restart"/>
          </w:tcPr>
          <w:p>
            <w:pPr>
              <w:jc w:val="right"/>
              <w:ind w:right="385"/>
              <w:spacing w:after="0"/>
              <w:rPr>
                <w:sz w:val="20"/>
                <w:szCs w:val="20"/>
                <w:color w:val="auto"/>
              </w:rPr>
            </w:pPr>
            <w:r>
              <w:rPr>
                <w:rFonts w:ascii="Courier New" w:cs="Courier New" w:eastAsia="Courier New" w:hAnsi="Courier New"/>
                <w:sz w:val="15"/>
                <w:szCs w:val="15"/>
                <w:color w:val="auto"/>
              </w:rPr>
              <w:t>(40)</w:t>
            </w:r>
          </w:p>
        </w:tc>
        <w:tc>
          <w:tcPr>
            <w:tcW w:w="116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29</w:t>
            </w:r>
          </w:p>
        </w:tc>
        <w:tc>
          <w:tcPr>
            <w:tcW w:w="140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279</w:t>
            </w:r>
          </w:p>
        </w:tc>
        <w:tc>
          <w:tcPr>
            <w:tcW w:w="0" w:type="dxa"/>
            <w:vAlign w:val="bottom"/>
          </w:tcPr>
          <w:p>
            <w:pPr>
              <w:spacing w:after="0"/>
              <w:rPr>
                <w:sz w:val="1"/>
                <w:szCs w:val="1"/>
                <w:color w:val="auto"/>
              </w:rPr>
            </w:pPr>
          </w:p>
        </w:tc>
      </w:tr>
      <w:tr>
        <w:trPr>
          <w:trHeight w:val="173"/>
        </w:trPr>
        <w:tc>
          <w:tcPr>
            <w:tcW w:w="2780" w:type="dxa"/>
            <w:vAlign w:val="bottom"/>
          </w:tcPr>
          <w:p>
            <w:pPr>
              <w:ind w:left="900"/>
              <w:spacing w:after="0"/>
              <w:rPr>
                <w:sz w:val="20"/>
                <w:szCs w:val="20"/>
                <w:color w:val="auto"/>
              </w:rPr>
            </w:pPr>
            <w:r>
              <w:rPr>
                <w:rFonts w:ascii="Courier New" w:cs="Courier New" w:eastAsia="Courier New" w:hAnsi="Courier New"/>
                <w:sz w:val="15"/>
                <w:szCs w:val="15"/>
                <w:color w:val="auto"/>
              </w:rPr>
              <w:t>dealer receivables</w:t>
            </w:r>
          </w:p>
        </w:tc>
        <w:tc>
          <w:tcPr>
            <w:tcW w:w="15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80" w:type="dxa"/>
            <w:vAlign w:val="bottom"/>
          </w:tcPr>
          <w:p>
            <w:pPr>
              <w:ind w:left="440"/>
              <w:spacing w:after="0"/>
              <w:rPr>
                <w:sz w:val="20"/>
                <w:szCs w:val="20"/>
                <w:color w:val="auto"/>
              </w:rPr>
            </w:pPr>
            <w:r>
              <w:rPr>
                <w:rFonts w:ascii="Courier New" w:cs="Courier New" w:eastAsia="Courier New" w:hAnsi="Courier New"/>
                <w:sz w:val="15"/>
                <w:szCs w:val="15"/>
                <w:color w:val="auto"/>
              </w:rPr>
              <w:t>Allowance for excess and</w:t>
            </w:r>
          </w:p>
        </w:tc>
        <w:tc>
          <w:tcPr>
            <w:tcW w:w="158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939</w:t>
            </w:r>
          </w:p>
        </w:tc>
        <w:tc>
          <w:tcPr>
            <w:tcW w:w="240" w:type="dxa"/>
            <w:vAlign w:val="bottom"/>
          </w:tcPr>
          <w:p>
            <w:pPr>
              <w:spacing w:after="0"/>
              <w:rPr>
                <w:sz w:val="15"/>
                <w:szCs w:val="15"/>
                <w:color w:val="auto"/>
              </w:rPr>
            </w:pPr>
          </w:p>
        </w:tc>
        <w:tc>
          <w:tcPr>
            <w:tcW w:w="108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1,051</w:t>
            </w:r>
          </w:p>
        </w:tc>
        <w:tc>
          <w:tcPr>
            <w:tcW w:w="116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620</w:t>
            </w:r>
          </w:p>
        </w:tc>
        <w:tc>
          <w:tcPr>
            <w:tcW w:w="112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1,370</w:t>
            </w:r>
          </w:p>
        </w:tc>
        <w:tc>
          <w:tcPr>
            <w:tcW w:w="0" w:type="dxa"/>
            <w:vAlign w:val="bottom"/>
          </w:tcPr>
          <w:p>
            <w:pPr>
              <w:spacing w:after="0"/>
              <w:rPr>
                <w:sz w:val="1"/>
                <w:szCs w:val="1"/>
                <w:color w:val="auto"/>
              </w:rPr>
            </w:pPr>
          </w:p>
        </w:tc>
      </w:tr>
      <w:tr>
        <w:trPr>
          <w:trHeight w:val="173"/>
        </w:trPr>
        <w:tc>
          <w:tcPr>
            <w:tcW w:w="2780" w:type="dxa"/>
            <w:vAlign w:val="bottom"/>
          </w:tcPr>
          <w:p>
            <w:pPr>
              <w:ind w:left="900"/>
              <w:spacing w:after="0"/>
              <w:rPr>
                <w:sz w:val="20"/>
                <w:szCs w:val="20"/>
                <w:color w:val="auto"/>
              </w:rPr>
            </w:pPr>
            <w:r>
              <w:rPr>
                <w:rFonts w:ascii="Courier New" w:cs="Courier New" w:eastAsia="Courier New" w:hAnsi="Courier New"/>
                <w:sz w:val="15"/>
                <w:szCs w:val="15"/>
                <w:color w:val="auto"/>
              </w:rPr>
              <w:t>obsolete inventory</w:t>
            </w:r>
          </w:p>
        </w:tc>
        <w:tc>
          <w:tcPr>
            <w:tcW w:w="15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80" w:type="dxa"/>
            <w:vAlign w:val="bottom"/>
          </w:tcPr>
          <w:p>
            <w:pPr>
              <w:ind w:left="440"/>
              <w:spacing w:after="0"/>
              <w:rPr>
                <w:sz w:val="20"/>
                <w:szCs w:val="20"/>
                <w:color w:val="auto"/>
              </w:rPr>
            </w:pPr>
            <w:r>
              <w:rPr>
                <w:rFonts w:ascii="Courier New" w:cs="Courier New" w:eastAsia="Courier New" w:hAnsi="Courier New"/>
                <w:sz w:val="15"/>
                <w:szCs w:val="15"/>
                <w:color w:val="auto"/>
              </w:rPr>
              <w:t>Allowance for doubtful</w:t>
            </w:r>
          </w:p>
        </w:tc>
        <w:tc>
          <w:tcPr>
            <w:tcW w:w="158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1,362</w:t>
            </w:r>
          </w:p>
        </w:tc>
        <w:tc>
          <w:tcPr>
            <w:tcW w:w="240" w:type="dxa"/>
            <w:vAlign w:val="bottom"/>
          </w:tcPr>
          <w:p>
            <w:pPr>
              <w:spacing w:after="0"/>
              <w:rPr>
                <w:sz w:val="15"/>
                <w:szCs w:val="15"/>
                <w:color w:val="auto"/>
              </w:rPr>
            </w:pPr>
          </w:p>
        </w:tc>
        <w:tc>
          <w:tcPr>
            <w:tcW w:w="108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122</w:t>
            </w:r>
          </w:p>
        </w:tc>
        <w:tc>
          <w:tcPr>
            <w:tcW w:w="116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210</w:t>
            </w:r>
          </w:p>
        </w:tc>
        <w:tc>
          <w:tcPr>
            <w:tcW w:w="140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220</w:t>
            </w:r>
          </w:p>
        </w:tc>
        <w:tc>
          <w:tcPr>
            <w:tcW w:w="112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550</w:t>
            </w:r>
          </w:p>
        </w:tc>
        <w:tc>
          <w:tcPr>
            <w:tcW w:w="11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2,024</w:t>
            </w:r>
          </w:p>
        </w:tc>
        <w:tc>
          <w:tcPr>
            <w:tcW w:w="0" w:type="dxa"/>
            <w:vAlign w:val="bottom"/>
          </w:tcPr>
          <w:p>
            <w:pPr>
              <w:spacing w:after="0"/>
              <w:rPr>
                <w:sz w:val="1"/>
                <w:szCs w:val="1"/>
                <w:color w:val="auto"/>
              </w:rPr>
            </w:pPr>
          </w:p>
        </w:tc>
      </w:tr>
      <w:tr>
        <w:trPr>
          <w:trHeight w:val="255"/>
        </w:trPr>
        <w:tc>
          <w:tcPr>
            <w:tcW w:w="2780" w:type="dxa"/>
            <w:vAlign w:val="bottom"/>
          </w:tcPr>
          <w:p>
            <w:pPr>
              <w:ind w:left="900"/>
              <w:spacing w:after="0"/>
              <w:rPr>
                <w:sz w:val="20"/>
                <w:szCs w:val="20"/>
                <w:color w:val="auto"/>
              </w:rPr>
            </w:pPr>
            <w:r>
              <w:rPr>
                <w:rFonts w:ascii="Courier New" w:cs="Courier New" w:eastAsia="Courier New" w:hAnsi="Courier New"/>
                <w:sz w:val="15"/>
                <w:szCs w:val="15"/>
                <w:color w:val="auto"/>
              </w:rPr>
              <w:t>notes receivable</w:t>
            </w:r>
          </w:p>
        </w:tc>
        <w:tc>
          <w:tcPr>
            <w:tcW w:w="158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40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1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368" w:right="3420" w:hanging="368"/>
        <w:spacing w:after="0" w:line="365" w:lineRule="auto"/>
        <w:tabs>
          <w:tab w:leader="none" w:pos="3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transfers of reserves from doubtful dealer receivables to doubtful accounts and from doubtful accounts to long-term notes receivable.</w:t>
      </w:r>
    </w:p>
    <w:p>
      <w:pPr>
        <w:spacing w:after="0" w:line="177"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EXHIBIT INDEX</w:t>
      </w:r>
    </w:p>
    <w:p>
      <w:pPr>
        <w:spacing w:after="0" w:line="350" w:lineRule="exact"/>
        <w:rPr>
          <w:sz w:val="20"/>
          <w:szCs w:val="20"/>
          <w:color w:val="auto"/>
        </w:rPr>
      </w:pPr>
    </w:p>
    <w:p>
      <w:pPr>
        <w:ind w:left="628" w:right="3340" w:hanging="539"/>
        <w:spacing w:after="0" w:line="305" w:lineRule="auto"/>
        <w:tabs>
          <w:tab w:leader="none" w:pos="607" w:val="left"/>
        </w:tabs>
        <w:rPr>
          <w:sz w:val="20"/>
          <w:szCs w:val="20"/>
          <w:color w:val="auto"/>
        </w:rPr>
      </w:pPr>
      <w:r>
        <w:rPr>
          <w:rFonts w:ascii="Courier New" w:cs="Courier New" w:eastAsia="Courier New" w:hAnsi="Courier New"/>
          <w:sz w:val="15"/>
          <w:szCs w:val="15"/>
          <w:color w:val="auto"/>
        </w:rPr>
        <w:t>3a.</w:t>
        <w:tab/>
        <w:t>Articles of Incorporation previously filed with the Registrant's Annual Report on Form 10-K for the fiscal year ended August 27, 1988 (Commission File Number 1-6403), and incorporated by reference herein.</w:t>
      </w:r>
    </w:p>
    <w:p>
      <w:pPr>
        <w:spacing w:after="0" w:line="46" w:lineRule="exact"/>
        <w:rPr>
          <w:sz w:val="20"/>
          <w:szCs w:val="20"/>
          <w:color w:val="auto"/>
        </w:rPr>
      </w:pPr>
    </w:p>
    <w:p>
      <w:pPr>
        <w:ind w:left="88"/>
        <w:spacing w:after="0"/>
        <w:tabs>
          <w:tab w:leader="none" w:pos="607" w:val="left"/>
        </w:tabs>
        <w:rPr>
          <w:sz w:val="20"/>
          <w:szCs w:val="20"/>
          <w:color w:val="auto"/>
        </w:rPr>
      </w:pPr>
      <w:r>
        <w:rPr>
          <w:rFonts w:ascii="Courier New" w:cs="Courier New" w:eastAsia="Courier New" w:hAnsi="Courier New"/>
          <w:sz w:val="15"/>
          <w:szCs w:val="15"/>
          <w:color w:val="auto"/>
        </w:rPr>
        <w:t>3b.</w:t>
        <w:tab/>
        <w:t>Amended Bylaws of the Registrant.</w:t>
      </w:r>
    </w:p>
    <w:p>
      <w:pPr>
        <w:spacing w:after="0" w:line="177" w:lineRule="exact"/>
        <w:rPr>
          <w:sz w:val="20"/>
          <w:szCs w:val="20"/>
          <w:color w:val="auto"/>
        </w:rPr>
      </w:pPr>
    </w:p>
    <w:p>
      <w:pPr>
        <w:ind w:left="628" w:right="3420" w:hanging="539"/>
        <w:spacing w:after="0" w:line="274" w:lineRule="auto"/>
        <w:tabs>
          <w:tab w:leader="none" w:pos="607" w:val="left"/>
        </w:tabs>
        <w:rPr>
          <w:sz w:val="20"/>
          <w:szCs w:val="20"/>
          <w:color w:val="auto"/>
        </w:rPr>
      </w:pPr>
      <w:r>
        <w:rPr>
          <w:rFonts w:ascii="Courier New" w:cs="Courier New" w:eastAsia="Courier New" w:hAnsi="Courier New"/>
          <w:sz w:val="15"/>
          <w:szCs w:val="15"/>
          <w:color w:val="auto"/>
        </w:rPr>
        <w:t>4a.</w:t>
        <w:tab/>
        <w:t>Restated Inventory Floor Plan Financing Agreement between Winnebago Industries, Inc. and NationsCredit Corporation previously filed with the Registrant's Annual Report on Form 10-K for the fiscal year ended August 27, 1994 (Commission File Number 1-6403), and incorporated by reference herein and the First Amendment dated October 31, 1995 thereto.</w:t>
      </w:r>
    </w:p>
    <w:p>
      <w:pPr>
        <w:spacing w:after="0" w:line="70" w:lineRule="exact"/>
        <w:rPr>
          <w:sz w:val="20"/>
          <w:szCs w:val="20"/>
          <w:color w:val="auto"/>
        </w:rPr>
      </w:pPr>
    </w:p>
    <w:p>
      <w:pPr>
        <w:ind w:left="628" w:right="3340" w:hanging="539"/>
        <w:spacing w:after="0" w:line="274" w:lineRule="auto"/>
        <w:tabs>
          <w:tab w:leader="none" w:pos="607" w:val="left"/>
        </w:tabs>
        <w:rPr>
          <w:sz w:val="20"/>
          <w:szCs w:val="20"/>
          <w:color w:val="auto"/>
        </w:rPr>
      </w:pPr>
      <w:r>
        <w:rPr>
          <w:rFonts w:ascii="Courier New" w:cs="Courier New" w:eastAsia="Courier New" w:hAnsi="Courier New"/>
          <w:sz w:val="15"/>
          <w:szCs w:val="15"/>
          <w:color w:val="auto"/>
        </w:rPr>
        <w:t>4b.</w:t>
        <w:tab/>
        <w:t>Restated Financing and Security Agreement dated July 6, 1995 between Winnebago Industries, Inc. and NationsCredit Commercial Corporation previously filed with the Registrant's Annual Report on Form 10-K for the fiscal year ended August 26, 1995 (Commission File Number 1-6403), and incorporated by reference herein.</w:t>
      </w:r>
    </w:p>
    <w:p>
      <w:pPr>
        <w:spacing w:after="0" w:line="70" w:lineRule="exact"/>
        <w:rPr>
          <w:sz w:val="20"/>
          <w:szCs w:val="20"/>
          <w:color w:val="auto"/>
        </w:rPr>
      </w:pPr>
    </w:p>
    <w:p>
      <w:pPr>
        <w:ind w:left="628" w:right="3340" w:hanging="539"/>
        <w:spacing w:after="0" w:line="274" w:lineRule="auto"/>
        <w:tabs>
          <w:tab w:leader="none" w:pos="607" w:val="left"/>
        </w:tabs>
        <w:rPr>
          <w:sz w:val="20"/>
          <w:szCs w:val="20"/>
          <w:color w:val="auto"/>
        </w:rPr>
      </w:pPr>
      <w:r>
        <w:rPr>
          <w:rFonts w:ascii="Courier New" w:cs="Courier New" w:eastAsia="Courier New" w:hAnsi="Courier New"/>
          <w:sz w:val="15"/>
          <w:szCs w:val="15"/>
          <w:color w:val="auto"/>
        </w:rPr>
        <w:t>4c.</w:t>
        <w:tab/>
        <w:t>Line of Credit Agreement dated February 24, 1994, among Winnebago Industries, Inc., Cycle-Sat and Firstar Bank Cedar Rapids previously filed with the Registrant's quarterly report on Form 10-Q for the quarter ended February 26, 1994 (Commission File Number 1-6403), an amendment thereto previously filed with the Registrant's Quarterly Report on Form</w:t>
      </w:r>
    </w:p>
    <w:p>
      <w:pPr>
        <w:sectPr>
          <w:pgSz w:w="11900" w:h="16888" w:orient="portrait"/>
          <w:cols w:equalWidth="0" w:num="1">
            <w:col w:w="10548"/>
          </w:cols>
          <w:pgMar w:left="232" w:top="113" w:right="1119" w:bottom="0" w:gutter="0" w:footer="0" w:header="0"/>
        </w:sectPr>
      </w:pPr>
    </w:p>
    <w:bookmarkStart w:id="9" w:name="page10"/>
    <w:bookmarkEnd w:id="9"/>
    <w:p>
      <w:pPr>
        <w:ind w:left="628"/>
        <w:spacing w:after="0"/>
        <w:rPr>
          <w:sz w:val="20"/>
          <w:szCs w:val="20"/>
          <w:color w:val="auto"/>
        </w:rPr>
      </w:pPr>
      <w:r>
        <w:rPr>
          <w:rFonts w:ascii="Courier New" w:cs="Courier New" w:eastAsia="Courier New" w:hAnsi="Courier New"/>
          <w:sz w:val="15"/>
          <w:szCs w:val="15"/>
          <w:color w:val="auto"/>
        </w:rPr>
        <w:t>10-Q for the quarter ended February 25, 1995 (Commission File Number</w:t>
      </w:r>
    </w:p>
    <w:p>
      <w:pPr>
        <w:spacing w:after="0" w:line="31" w:lineRule="exact"/>
        <w:rPr>
          <w:sz w:val="20"/>
          <w:szCs w:val="20"/>
          <w:color w:val="auto"/>
        </w:rPr>
      </w:pPr>
    </w:p>
    <w:p>
      <w:pPr>
        <w:ind w:left="628" w:right="3019"/>
        <w:spacing w:after="0" w:line="285" w:lineRule="auto"/>
        <w:rPr>
          <w:sz w:val="20"/>
          <w:szCs w:val="20"/>
          <w:color w:val="auto"/>
        </w:rPr>
      </w:pPr>
      <w:r>
        <w:rPr>
          <w:rFonts w:ascii="Courier New" w:cs="Courier New" w:eastAsia="Courier New" w:hAnsi="Courier New"/>
          <w:sz w:val="15"/>
          <w:szCs w:val="15"/>
          <w:color w:val="auto"/>
        </w:rPr>
        <w:t>1-6403) and an amendment thereto previously filed with the Registrant's Quarterly Report on Form 10-Q for the quarter ended March 2, 1996 (Commission File Number 1-6403) and all incorporated by reference herein.</w:t>
      </w:r>
    </w:p>
    <w:p>
      <w:pPr>
        <w:spacing w:after="0" w:line="60" w:lineRule="exact"/>
        <w:rPr>
          <w:sz w:val="20"/>
          <w:szCs w:val="20"/>
          <w:color w:val="auto"/>
        </w:rPr>
      </w:pPr>
    </w:p>
    <w:p>
      <w:pPr>
        <w:ind w:left="628" w:right="3019" w:hanging="619"/>
        <w:spacing w:after="0" w:line="285" w:lineRule="auto"/>
        <w:tabs>
          <w:tab w:leader="none" w:pos="607" w:val="left"/>
        </w:tabs>
        <w:rPr>
          <w:sz w:val="20"/>
          <w:szCs w:val="20"/>
          <w:color w:val="auto"/>
        </w:rPr>
      </w:pPr>
      <w:r>
        <w:rPr>
          <w:rFonts w:ascii="Courier New" w:cs="Courier New" w:eastAsia="Courier New" w:hAnsi="Courier New"/>
          <w:sz w:val="15"/>
          <w:szCs w:val="15"/>
          <w:color w:val="auto"/>
        </w:rPr>
        <w:t>10a.</w:t>
        <w:tab/>
        <w:t>Winnebago Industries, Inc. Stock Option Plan for Outside Directors previously filed with the Registrant's Annual Report on Form 10-K for the fiscal year ended August 29, 1992 (Commission File Number 1-6403), and incorporated by reference herein.</w:t>
      </w:r>
    </w:p>
    <w:p>
      <w:pPr>
        <w:spacing w:after="0" w:line="60" w:lineRule="exact"/>
        <w:rPr>
          <w:sz w:val="20"/>
          <w:szCs w:val="20"/>
          <w:color w:val="auto"/>
        </w:rPr>
      </w:pPr>
    </w:p>
    <w:p>
      <w:pPr>
        <w:ind w:left="628" w:right="3019" w:hanging="619"/>
        <w:spacing w:after="0" w:line="285" w:lineRule="auto"/>
        <w:tabs>
          <w:tab w:leader="none" w:pos="607" w:val="left"/>
        </w:tabs>
        <w:rPr>
          <w:sz w:val="20"/>
          <w:szCs w:val="20"/>
          <w:color w:val="auto"/>
        </w:rPr>
      </w:pPr>
      <w:r>
        <w:rPr>
          <w:rFonts w:ascii="Courier New" w:cs="Courier New" w:eastAsia="Courier New" w:hAnsi="Courier New"/>
          <w:sz w:val="15"/>
          <w:szCs w:val="15"/>
          <w:color w:val="auto"/>
        </w:rPr>
        <w:t>10b.</w:t>
        <w:tab/>
        <w:t>Amendment to Winnebago Industries, Inc. Deferred Compensation Plan previously filed with the Registrant's Annual Report on Form 10-K for the fiscal year ended August 26, 1995 (Commission File Number 1-6403), and incorporated by reference herein.</w:t>
      </w:r>
    </w:p>
    <w:p>
      <w:pPr>
        <w:spacing w:after="0" w:line="60" w:lineRule="exact"/>
        <w:rPr>
          <w:sz w:val="20"/>
          <w:szCs w:val="20"/>
          <w:color w:val="auto"/>
        </w:rPr>
      </w:pPr>
    </w:p>
    <w:p>
      <w:pPr>
        <w:ind w:left="628" w:right="3019" w:hanging="619"/>
        <w:spacing w:after="0" w:line="285" w:lineRule="auto"/>
        <w:tabs>
          <w:tab w:leader="none" w:pos="607" w:val="left"/>
        </w:tabs>
        <w:rPr>
          <w:sz w:val="20"/>
          <w:szCs w:val="20"/>
          <w:color w:val="auto"/>
        </w:rPr>
      </w:pPr>
      <w:r>
        <w:rPr>
          <w:rFonts w:ascii="Courier New" w:cs="Courier New" w:eastAsia="Courier New" w:hAnsi="Courier New"/>
          <w:sz w:val="15"/>
          <w:szCs w:val="15"/>
          <w:color w:val="auto"/>
        </w:rPr>
        <w:t>10c.</w:t>
        <w:tab/>
        <w:t>Amendment to Winnebago Industries, Inc. Profit Sharing and Deferred Savings and Investment Plan previously filed with the Registrant's Annual Report on Form 10-K for the fiscal year ended August 26, 1995 (Commission File Number 1-6403), and incorporated by reference herein.</w:t>
      </w:r>
    </w:p>
    <w:p>
      <w:pPr>
        <w:spacing w:after="0" w:line="60" w:lineRule="exact"/>
        <w:rPr>
          <w:sz w:val="20"/>
          <w:szCs w:val="20"/>
          <w:color w:val="auto"/>
        </w:rPr>
      </w:pPr>
    </w:p>
    <w:p>
      <w:pPr>
        <w:ind w:left="628" w:right="3279" w:hanging="619"/>
        <w:spacing w:after="0" w:line="285" w:lineRule="auto"/>
        <w:tabs>
          <w:tab w:leader="none" w:pos="607" w:val="left"/>
        </w:tabs>
        <w:rPr>
          <w:sz w:val="20"/>
          <w:szCs w:val="20"/>
          <w:color w:val="auto"/>
        </w:rPr>
      </w:pPr>
      <w:r>
        <w:rPr>
          <w:rFonts w:ascii="Courier New" w:cs="Courier New" w:eastAsia="Courier New" w:hAnsi="Courier New"/>
          <w:sz w:val="15"/>
          <w:szCs w:val="15"/>
          <w:color w:val="auto"/>
        </w:rPr>
        <w:t>10d.</w:t>
        <w:tab/>
        <w:t>Winnebago Industries, Inc. Book Unit Rights Plan previously filed with the Registrant's Annual Report on Form 10-K for the fiscal year ended August 29, 1987 (Commission File Number 1-6403), and incorporated by reference herein.</w:t>
      </w:r>
    </w:p>
    <w:p>
      <w:pPr>
        <w:spacing w:after="0" w:line="60"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10e.</w:t>
            </w:r>
          </w:p>
        </w:tc>
        <w:tc>
          <w:tcPr>
            <w:tcW w:w="2080" w:type="dxa"/>
            <w:vAlign w:val="bottom"/>
          </w:tcPr>
          <w:p>
            <w:pPr>
              <w:ind w:left="140"/>
              <w:spacing w:after="0"/>
              <w:rPr>
                <w:sz w:val="20"/>
                <w:szCs w:val="20"/>
                <w:color w:val="auto"/>
              </w:rPr>
            </w:pPr>
            <w:r>
              <w:rPr>
                <w:rFonts w:ascii="Courier New" w:cs="Courier New" w:eastAsia="Courier New" w:hAnsi="Courier New"/>
                <w:sz w:val="15"/>
                <w:szCs w:val="15"/>
                <w:color w:val="auto"/>
              </w:rPr>
              <w:t>Winnebago Industries,</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Inc. 1987 Non-Qualified</w:t>
            </w:r>
          </w:p>
        </w:tc>
        <w:tc>
          <w:tcPr>
            <w:tcW w:w="2480" w:type="dxa"/>
            <w:vAlign w:val="bottom"/>
          </w:tcPr>
          <w:p>
            <w:pPr>
              <w:ind w:left="60"/>
              <w:spacing w:after="0"/>
              <w:rPr>
                <w:sz w:val="20"/>
                <w:szCs w:val="20"/>
                <w:color w:val="auto"/>
              </w:rPr>
            </w:pPr>
            <w:r>
              <w:rPr>
                <w:rFonts w:ascii="Courier New" w:cs="Courier New" w:eastAsia="Courier New" w:hAnsi="Courier New"/>
                <w:sz w:val="15"/>
                <w:szCs w:val="15"/>
                <w:color w:val="auto"/>
              </w:rPr>
              <w:t>Stock Option Plan</w:t>
            </w:r>
          </w:p>
        </w:tc>
      </w:tr>
      <w:tr>
        <w:trPr>
          <w:trHeight w:val="173"/>
        </w:trPr>
        <w:tc>
          <w:tcPr>
            <w:tcW w:w="480" w:type="dxa"/>
            <w:vAlign w:val="bottom"/>
          </w:tcPr>
          <w:p>
            <w:pPr>
              <w:spacing w:after="0"/>
              <w:rPr>
                <w:sz w:val="15"/>
                <w:szCs w:val="15"/>
                <w:color w:val="auto"/>
              </w:rPr>
            </w:pPr>
          </w:p>
        </w:tc>
        <w:tc>
          <w:tcPr>
            <w:tcW w:w="2080" w:type="dxa"/>
            <w:vAlign w:val="bottom"/>
          </w:tcPr>
          <w:p>
            <w:pPr>
              <w:ind w:left="140"/>
              <w:spacing w:after="0"/>
              <w:rPr>
                <w:sz w:val="20"/>
                <w:szCs w:val="20"/>
                <w:color w:val="auto"/>
              </w:rPr>
            </w:pPr>
            <w:r>
              <w:rPr>
                <w:rFonts w:ascii="Courier New" w:cs="Courier New" w:eastAsia="Courier New" w:hAnsi="Courier New"/>
                <w:sz w:val="15"/>
                <w:szCs w:val="15"/>
                <w:color w:val="auto"/>
              </w:rPr>
              <w:t>previously filed with</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the Registrant's Annual</w:t>
            </w:r>
          </w:p>
        </w:tc>
        <w:tc>
          <w:tcPr>
            <w:tcW w:w="2480" w:type="dxa"/>
            <w:vAlign w:val="bottom"/>
          </w:tcPr>
          <w:p>
            <w:pPr>
              <w:ind w:left="60"/>
              <w:spacing w:after="0"/>
              <w:rPr>
                <w:sz w:val="20"/>
                <w:szCs w:val="20"/>
                <w:color w:val="auto"/>
              </w:rPr>
            </w:pPr>
            <w:r>
              <w:rPr>
                <w:rFonts w:ascii="Courier New" w:cs="Courier New" w:eastAsia="Courier New" w:hAnsi="Courier New"/>
                <w:sz w:val="15"/>
                <w:szCs w:val="15"/>
                <w:color w:val="auto"/>
                <w:w w:val="98"/>
              </w:rPr>
              <w:t>Report on Form 10-K for the</w:t>
            </w:r>
          </w:p>
        </w:tc>
      </w:tr>
      <w:tr>
        <w:trPr>
          <w:trHeight w:val="173"/>
        </w:trPr>
        <w:tc>
          <w:tcPr>
            <w:tcW w:w="480" w:type="dxa"/>
            <w:vAlign w:val="bottom"/>
          </w:tcPr>
          <w:p>
            <w:pPr>
              <w:spacing w:after="0"/>
              <w:rPr>
                <w:sz w:val="15"/>
                <w:szCs w:val="15"/>
                <w:color w:val="auto"/>
              </w:rPr>
            </w:pPr>
          </w:p>
        </w:tc>
        <w:tc>
          <w:tcPr>
            <w:tcW w:w="4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fiscal year ended August 29, 1987 (Commission</w:t>
            </w:r>
          </w:p>
        </w:tc>
        <w:tc>
          <w:tcPr>
            <w:tcW w:w="2480" w:type="dxa"/>
            <w:vAlign w:val="bottom"/>
          </w:tcPr>
          <w:p>
            <w:pPr>
              <w:ind w:left="60"/>
              <w:spacing w:after="0"/>
              <w:rPr>
                <w:sz w:val="20"/>
                <w:szCs w:val="20"/>
                <w:color w:val="auto"/>
              </w:rPr>
            </w:pPr>
            <w:r>
              <w:rPr>
                <w:rFonts w:ascii="Courier New" w:cs="Courier New" w:eastAsia="Courier New" w:hAnsi="Courier New"/>
                <w:sz w:val="15"/>
                <w:szCs w:val="15"/>
                <w:color w:val="auto"/>
              </w:rPr>
              <w:t>File Number 1-6403), and</w:t>
            </w:r>
          </w:p>
        </w:tc>
      </w:tr>
      <w:tr>
        <w:trPr>
          <w:trHeight w:val="255"/>
        </w:trPr>
        <w:tc>
          <w:tcPr>
            <w:tcW w:w="480" w:type="dxa"/>
            <w:vAlign w:val="bottom"/>
          </w:tcPr>
          <w:p>
            <w:pPr>
              <w:spacing w:after="0"/>
              <w:rPr>
                <w:sz w:val="22"/>
                <w:szCs w:val="22"/>
                <w:color w:val="auto"/>
              </w:rPr>
            </w:pPr>
          </w:p>
        </w:tc>
        <w:tc>
          <w:tcPr>
            <w:tcW w:w="4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incorporated by reference herein.</w:t>
            </w:r>
          </w:p>
        </w:tc>
        <w:tc>
          <w:tcPr>
            <w:tcW w:w="2480" w:type="dxa"/>
            <w:vAlign w:val="bottom"/>
          </w:tcPr>
          <w:p>
            <w:pPr>
              <w:spacing w:after="0"/>
              <w:rPr>
                <w:sz w:val="22"/>
                <w:szCs w:val="22"/>
                <w:color w:val="auto"/>
              </w:rPr>
            </w:pPr>
          </w:p>
        </w:tc>
      </w:tr>
      <w:tr>
        <w:trPr>
          <w:trHeight w:val="347"/>
        </w:trPr>
        <w:tc>
          <w:tcPr>
            <w:tcW w:w="480" w:type="dxa"/>
            <w:vAlign w:val="bottom"/>
          </w:tcPr>
          <w:p>
            <w:pPr>
              <w:spacing w:after="0"/>
              <w:rPr>
                <w:sz w:val="20"/>
                <w:szCs w:val="20"/>
                <w:color w:val="auto"/>
              </w:rPr>
            </w:pPr>
            <w:r>
              <w:rPr>
                <w:rFonts w:ascii="Courier New" w:cs="Courier New" w:eastAsia="Courier New" w:hAnsi="Courier New"/>
                <w:sz w:val="15"/>
                <w:szCs w:val="15"/>
                <w:color w:val="auto"/>
              </w:rPr>
              <w:t>10f.</w:t>
            </w:r>
          </w:p>
        </w:tc>
        <w:tc>
          <w:tcPr>
            <w:tcW w:w="2080" w:type="dxa"/>
            <w:vAlign w:val="bottom"/>
          </w:tcPr>
          <w:p>
            <w:pPr>
              <w:ind w:left="140"/>
              <w:spacing w:after="0"/>
              <w:rPr>
                <w:sz w:val="20"/>
                <w:szCs w:val="20"/>
                <w:color w:val="auto"/>
              </w:rPr>
            </w:pPr>
            <w:r>
              <w:rPr>
                <w:rFonts w:ascii="Courier New" w:cs="Courier New" w:eastAsia="Courier New" w:hAnsi="Courier New"/>
                <w:sz w:val="15"/>
                <w:szCs w:val="15"/>
                <w:color w:val="auto"/>
              </w:rPr>
              <w:t>Winnebago Industries,</w:t>
            </w:r>
          </w:p>
        </w:tc>
        <w:tc>
          <w:tcPr>
            <w:tcW w:w="4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Inc. RV Incentive Compensation Plan.</w:t>
            </w:r>
          </w:p>
        </w:tc>
      </w:tr>
      <w:tr>
        <w:trPr>
          <w:trHeight w:val="265"/>
        </w:trPr>
        <w:tc>
          <w:tcPr>
            <w:tcW w:w="480" w:type="dxa"/>
            <w:vAlign w:val="bottom"/>
          </w:tcPr>
          <w:p>
            <w:pPr>
              <w:spacing w:after="0"/>
              <w:rPr>
                <w:sz w:val="20"/>
                <w:szCs w:val="20"/>
                <w:color w:val="auto"/>
              </w:rPr>
            </w:pPr>
            <w:r>
              <w:rPr>
                <w:rFonts w:ascii="Courier New" w:cs="Courier New" w:eastAsia="Courier New" w:hAnsi="Courier New"/>
                <w:sz w:val="15"/>
                <w:szCs w:val="15"/>
                <w:color w:val="auto"/>
              </w:rPr>
              <w:t>10g.</w:t>
            </w:r>
          </w:p>
        </w:tc>
        <w:tc>
          <w:tcPr>
            <w:tcW w:w="2080" w:type="dxa"/>
            <w:vAlign w:val="bottom"/>
          </w:tcPr>
          <w:p>
            <w:pPr>
              <w:ind w:left="140"/>
              <w:spacing w:after="0"/>
              <w:rPr>
                <w:sz w:val="20"/>
                <w:szCs w:val="20"/>
                <w:color w:val="auto"/>
              </w:rPr>
            </w:pPr>
            <w:r>
              <w:rPr>
                <w:rFonts w:ascii="Courier New" w:cs="Courier New" w:eastAsia="Courier New" w:hAnsi="Courier New"/>
                <w:sz w:val="15"/>
                <w:szCs w:val="15"/>
                <w:color w:val="auto"/>
              </w:rPr>
              <w:t>Winnebago Industries,</w:t>
            </w:r>
          </w:p>
        </w:tc>
        <w:tc>
          <w:tcPr>
            <w:tcW w:w="4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Inc. Employee's Stock Bonus Plan and Trust</w:t>
            </w:r>
          </w:p>
        </w:tc>
      </w:tr>
      <w:tr>
        <w:trPr>
          <w:trHeight w:val="255"/>
        </w:trPr>
        <w:tc>
          <w:tcPr>
            <w:tcW w:w="480" w:type="dxa"/>
            <w:vAlign w:val="bottom"/>
          </w:tcPr>
          <w:p>
            <w:pPr>
              <w:spacing w:after="0"/>
              <w:rPr>
                <w:sz w:val="22"/>
                <w:szCs w:val="22"/>
                <w:color w:val="auto"/>
              </w:rPr>
            </w:pPr>
          </w:p>
        </w:tc>
        <w:tc>
          <w:tcPr>
            <w:tcW w:w="2080" w:type="dxa"/>
            <w:vAlign w:val="bottom"/>
          </w:tcPr>
          <w:p>
            <w:pPr>
              <w:ind w:left="140"/>
              <w:spacing w:after="0"/>
              <w:rPr>
                <w:sz w:val="20"/>
                <w:szCs w:val="20"/>
                <w:color w:val="auto"/>
              </w:rPr>
            </w:pPr>
            <w:r>
              <w:rPr>
                <w:rFonts w:ascii="Courier New" w:cs="Courier New" w:eastAsia="Courier New" w:hAnsi="Courier New"/>
                <w:sz w:val="15"/>
                <w:szCs w:val="15"/>
                <w:color w:val="auto"/>
              </w:rPr>
              <w:t>Agreement.</w:t>
            </w:r>
          </w:p>
        </w:tc>
        <w:tc>
          <w:tcPr>
            <w:tcW w:w="2160" w:type="dxa"/>
            <w:vAlign w:val="bottom"/>
          </w:tcPr>
          <w:p>
            <w:pPr>
              <w:spacing w:after="0"/>
              <w:rPr>
                <w:sz w:val="22"/>
                <w:szCs w:val="22"/>
                <w:color w:val="auto"/>
              </w:rPr>
            </w:pPr>
          </w:p>
        </w:tc>
        <w:tc>
          <w:tcPr>
            <w:tcW w:w="2480" w:type="dxa"/>
            <w:vAlign w:val="bottom"/>
          </w:tcPr>
          <w:p>
            <w:pPr>
              <w:spacing w:after="0"/>
              <w:rPr>
                <w:sz w:val="22"/>
                <w:szCs w:val="22"/>
                <w:color w:val="auto"/>
              </w:rPr>
            </w:pPr>
          </w:p>
        </w:tc>
      </w:tr>
    </w:tbl>
    <w:p>
      <w:pPr>
        <w:spacing w:after="0" w:line="92" w:lineRule="exact"/>
        <w:rPr>
          <w:sz w:val="20"/>
          <w:szCs w:val="20"/>
          <w:color w:val="auto"/>
        </w:rPr>
      </w:pPr>
    </w:p>
    <w:p>
      <w:pPr>
        <w:ind w:left="628" w:right="3379" w:hanging="628"/>
        <w:spacing w:after="0" w:line="365" w:lineRule="auto"/>
        <w:tabs>
          <w:tab w:leader="none" w:pos="62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Winnebago Industries, Inc. Annual Report to Shareholders for the year ended August 31, 1996.</w:t>
      </w:r>
    </w:p>
    <w:p>
      <w:pPr>
        <w:spacing w:after="0" w:line="3" w:lineRule="exact"/>
        <w:rPr>
          <w:sz w:val="20"/>
          <w:szCs w:val="20"/>
          <w:color w:val="auto"/>
        </w:rPr>
      </w:pPr>
    </w:p>
    <w:p>
      <w:pPr>
        <w:ind w:left="628" w:hanging="628"/>
        <w:spacing w:after="0"/>
        <w:tabs>
          <w:tab w:leader="none" w:pos="62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Subsidiaries.</w:t>
      </w:r>
    </w:p>
    <w:p>
      <w:pPr>
        <w:spacing w:after="0" w:line="177" w:lineRule="exact"/>
        <w:rPr>
          <w:sz w:val="20"/>
          <w:szCs w:val="20"/>
          <w:color w:val="auto"/>
        </w:rPr>
      </w:pPr>
    </w:p>
    <w:p>
      <w:pPr>
        <w:ind w:left="628" w:hanging="628"/>
        <w:spacing w:after="0"/>
        <w:tabs>
          <w:tab w:leader="none" w:pos="62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Independent Accountants.</w:t>
      </w:r>
    </w:p>
    <w:p>
      <w:pPr>
        <w:spacing w:after="0" w:line="177" w:lineRule="exact"/>
        <w:rPr>
          <w:sz w:val="20"/>
          <w:szCs w:val="20"/>
          <w:color w:val="auto"/>
        </w:rPr>
      </w:pPr>
    </w:p>
    <w:p>
      <w:pPr>
        <w:ind w:left="8"/>
        <w:spacing w:after="0"/>
        <w:tabs>
          <w:tab w:leader="none" w:pos="607"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Financial Data Schedule.</w:t>
      </w:r>
    </w:p>
    <w:p>
      <w:pPr>
        <w:sectPr>
          <w:pgSz w:w="11900" w:h="16838" w:orient="portrait"/>
          <w:cols w:equalWidth="0" w:num="1">
            <w:col w:w="10227"/>
          </w:cols>
          <w:pgMar w:left="232" w:top="113" w:right="1440" w:bottom="1440" w:gutter="0" w:footer="0" w:header="0"/>
        </w:sectPr>
      </w:pPr>
    </w:p>
    <w:bookmarkStart w:id="10" w:name="page11"/>
    <w:bookmarkEnd w:id="10"/>
    <w:p>
      <w:pPr>
        <w:ind w:left="3320"/>
        <w:spacing w:after="0"/>
        <w:rPr>
          <w:sz w:val="20"/>
          <w:szCs w:val="20"/>
          <w:color w:val="auto"/>
        </w:rPr>
      </w:pPr>
      <w:r>
        <w:rPr>
          <w:rFonts w:ascii="Courier New" w:cs="Courier New" w:eastAsia="Courier New" w:hAnsi="Courier New"/>
          <w:sz w:val="15"/>
          <w:szCs w:val="15"/>
          <w:color w:val="auto"/>
        </w:rPr>
        <w:t>BY-LAWS</w:t>
      </w:r>
    </w:p>
    <w:p>
      <w:pPr>
        <w:spacing w:after="0" w:line="3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OF</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WINNEBAGO INDUSTRIES INC.</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AS AMENDED</w:t>
      </w:r>
    </w:p>
    <w:p>
      <w:pPr>
        <w:spacing w:after="0" w:line="32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ARTICLE I. OFFICES</w:t>
      </w:r>
    </w:p>
    <w:p>
      <w:pPr>
        <w:spacing w:after="0" w:line="177" w:lineRule="exact"/>
        <w:rPr>
          <w:sz w:val="20"/>
          <w:szCs w:val="20"/>
          <w:color w:val="auto"/>
        </w:rPr>
      </w:pPr>
    </w:p>
    <w:p>
      <w:pPr>
        <w:ind w:right="3019" w:firstLine="1352"/>
        <w:spacing w:after="0" w:line="393" w:lineRule="auto"/>
        <w:rPr>
          <w:sz w:val="20"/>
          <w:szCs w:val="20"/>
          <w:color w:val="auto"/>
        </w:rPr>
      </w:pPr>
      <w:r>
        <w:rPr>
          <w:rFonts w:ascii="Courier New" w:cs="Courier New" w:eastAsia="Courier New" w:hAnsi="Courier New"/>
          <w:sz w:val="14"/>
          <w:szCs w:val="14"/>
          <w:color w:val="auto"/>
        </w:rPr>
        <w:t>The principal office of the Corporation in the State of Iowa, shall be located in the City of Forest City, County of Winnebago, State of Iowa.</w:t>
      </w:r>
    </w:p>
    <w:p>
      <w:pPr>
        <w:spacing w:after="0" w:line="1" w:lineRule="exact"/>
        <w:rPr>
          <w:sz w:val="20"/>
          <w:szCs w:val="20"/>
          <w:color w:val="auto"/>
        </w:rPr>
      </w:pPr>
    </w:p>
    <w:p>
      <w:pPr>
        <w:ind w:right="3099" w:firstLine="1352"/>
        <w:spacing w:after="0" w:line="305" w:lineRule="auto"/>
        <w:rPr>
          <w:sz w:val="20"/>
          <w:szCs w:val="20"/>
          <w:color w:val="auto"/>
        </w:rPr>
      </w:pPr>
      <w:r>
        <w:rPr>
          <w:rFonts w:ascii="Courier New" w:cs="Courier New" w:eastAsia="Courier New" w:hAnsi="Courier New"/>
          <w:sz w:val="15"/>
          <w:szCs w:val="15"/>
          <w:color w:val="auto"/>
        </w:rPr>
        <w:t>The Corporation may have such other offices, either within or without of the State of Iowa, as the Board of Directors may designate or as the business of the Corporation may require from time to time</w:t>
      </w:r>
    </w:p>
    <w:p>
      <w:pPr>
        <w:spacing w:after="0" w:line="46"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ARTICLE II. SHAREHOLDERS</w:t>
      </w:r>
    </w:p>
    <w:p>
      <w:pPr>
        <w:spacing w:after="0" w:line="177"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Annual Meeting</w:t>
      </w:r>
    </w:p>
    <w:p>
      <w:pPr>
        <w:spacing w:after="0" w:line="177" w:lineRule="exact"/>
        <w:rPr>
          <w:sz w:val="20"/>
          <w:szCs w:val="20"/>
          <w:color w:val="auto"/>
        </w:rPr>
      </w:pPr>
    </w:p>
    <w:p>
      <w:pPr>
        <w:ind w:right="3019" w:firstLine="1352"/>
        <w:spacing w:after="0" w:line="264" w:lineRule="auto"/>
        <w:rPr>
          <w:sz w:val="20"/>
          <w:szCs w:val="20"/>
          <w:color w:val="auto"/>
        </w:rPr>
      </w:pPr>
      <w:r>
        <w:rPr>
          <w:rFonts w:ascii="Courier New" w:cs="Courier New" w:eastAsia="Courier New" w:hAnsi="Courier New"/>
          <w:sz w:val="15"/>
          <w:szCs w:val="15"/>
          <w:color w:val="auto"/>
        </w:rPr>
        <w:t>The Annual Meeting of the Shareholders shall be held on a date in the month of December of each year, commencing with the December, 1987 meeting, to be annually set by the Board of Directors with written notice thereof to be given not less than ten (10) days prior thereto by the Secretary, to be held in Forest City, Iowa, at such place as may be designated by the Board of Directors, for the purpose of electing directors and for the transaction of such other business as may come before the meeting.</w:t>
      </w:r>
    </w:p>
    <w:p>
      <w:pPr>
        <w:spacing w:after="0" w:line="79"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ARTICLE III. BOARD OF DIRECTORS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 General Powers</w:t>
      </w:r>
    </w:p>
    <w:p>
      <w:pPr>
        <w:spacing w:after="0" w:line="177" w:lineRule="exact"/>
        <w:rPr>
          <w:sz w:val="20"/>
          <w:szCs w:val="20"/>
          <w:color w:val="auto"/>
        </w:rPr>
      </w:pPr>
    </w:p>
    <w:p>
      <w:pPr>
        <w:ind w:right="3099" w:firstLine="992"/>
        <w:spacing w:after="0" w:line="365" w:lineRule="auto"/>
        <w:rPr>
          <w:sz w:val="20"/>
          <w:szCs w:val="20"/>
          <w:color w:val="auto"/>
        </w:rPr>
      </w:pPr>
      <w:r>
        <w:rPr>
          <w:rFonts w:ascii="Courier New" w:cs="Courier New" w:eastAsia="Courier New" w:hAnsi="Courier New"/>
          <w:sz w:val="15"/>
          <w:szCs w:val="15"/>
          <w:color w:val="auto"/>
        </w:rPr>
        <w:t>The business and affairs of this Corporation shall be managed by its Board of Directors.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 Number Tenure and Qualifications</w:t>
      </w:r>
    </w:p>
    <w:p>
      <w:pPr>
        <w:spacing w:after="0" w:line="177" w:lineRule="exact"/>
        <w:rPr>
          <w:sz w:val="20"/>
          <w:szCs w:val="20"/>
          <w:color w:val="auto"/>
        </w:rPr>
      </w:pPr>
    </w:p>
    <w:p>
      <w:pPr>
        <w:ind w:right="3099" w:firstLine="992"/>
        <w:spacing w:after="0" w:line="268" w:lineRule="auto"/>
        <w:rPr>
          <w:sz w:val="20"/>
          <w:szCs w:val="20"/>
          <w:color w:val="auto"/>
        </w:rPr>
      </w:pPr>
      <w:r>
        <w:rPr>
          <w:rFonts w:ascii="Courier New" w:cs="Courier New" w:eastAsia="Courier New" w:hAnsi="Courier New"/>
          <w:sz w:val="15"/>
          <w:szCs w:val="15"/>
          <w:color w:val="auto"/>
        </w:rPr>
        <w:t>The number of directors constituting the Board of Directors of the Corporation shall be eight (8) until increased or decreased by proper amendment thereto. Each director shall hold office until the next annual meeting of the shareholders and until his successor shall have been elected and qualified Directors need not be residents of the State of Iowa nor shareholders of the Corporation.</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 Regular Meetings</w:t>
      </w:r>
    </w:p>
    <w:p>
      <w:pPr>
        <w:spacing w:after="0" w:line="177" w:lineRule="exact"/>
        <w:rPr>
          <w:sz w:val="20"/>
          <w:szCs w:val="20"/>
          <w:color w:val="auto"/>
        </w:rPr>
      </w:pPr>
    </w:p>
    <w:p>
      <w:pPr>
        <w:ind w:right="3099" w:firstLine="992"/>
        <w:spacing w:after="0" w:line="268" w:lineRule="auto"/>
        <w:rPr>
          <w:sz w:val="20"/>
          <w:szCs w:val="20"/>
          <w:color w:val="auto"/>
        </w:rPr>
      </w:pPr>
      <w:r>
        <w:rPr>
          <w:rFonts w:ascii="Courier New" w:cs="Courier New" w:eastAsia="Courier New" w:hAnsi="Courier New"/>
          <w:sz w:val="15"/>
          <w:szCs w:val="15"/>
          <w:color w:val="auto"/>
        </w:rPr>
        <w:t>The regular meeting of the Board of Directors shall be held without other notice than these By-Laws, immediately after, and at the same place as, the Annual Meeting of the Shareholders. The Board of Directors may provide, by resolution, the time and place, either within or without the State of Iowa, for the holding of additional regular meetings without other notice than such resolution.</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 Special Meetings</w:t>
      </w:r>
    </w:p>
    <w:p>
      <w:pPr>
        <w:spacing w:after="0" w:line="177" w:lineRule="exact"/>
        <w:rPr>
          <w:sz w:val="20"/>
          <w:szCs w:val="20"/>
          <w:color w:val="auto"/>
        </w:rPr>
      </w:pPr>
    </w:p>
    <w:p>
      <w:pPr>
        <w:ind w:right="3019" w:firstLine="992"/>
        <w:spacing w:after="0" w:line="268" w:lineRule="auto"/>
        <w:rPr>
          <w:sz w:val="20"/>
          <w:szCs w:val="20"/>
          <w:color w:val="auto"/>
        </w:rPr>
      </w:pPr>
      <w:r>
        <w:rPr>
          <w:rFonts w:ascii="Courier New" w:cs="Courier New" w:eastAsia="Courier New" w:hAnsi="Courier New"/>
          <w:sz w:val="15"/>
          <w:szCs w:val="15"/>
          <w:color w:val="auto"/>
        </w:rPr>
        <w:t>Special meetings of the Board of Directors may be called by or at the request of the President or any one director. The persons or person authorized to call special meetings of the Board of Directors may fix the time for holding any special meetings of the Board of Directors so called, but the place shall be the same as the regular meeting place unless another place is unanimously agreed upon at the time and ratified by appropriate resolution.</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 Notice of Meetings</w:t>
      </w:r>
    </w:p>
    <w:p>
      <w:pPr>
        <w:spacing w:after="0" w:line="177" w:lineRule="exact"/>
        <w:rPr>
          <w:sz w:val="20"/>
          <w:szCs w:val="20"/>
          <w:color w:val="auto"/>
        </w:rPr>
      </w:pPr>
    </w:p>
    <w:p>
      <w:pPr>
        <w:ind w:right="3019" w:firstLine="992"/>
        <w:spacing w:after="0" w:line="254" w:lineRule="auto"/>
        <w:rPr>
          <w:sz w:val="20"/>
          <w:szCs w:val="20"/>
          <w:color w:val="auto"/>
        </w:rPr>
      </w:pPr>
      <w:r>
        <w:rPr>
          <w:rFonts w:ascii="Courier New" w:cs="Courier New" w:eastAsia="Courier New" w:hAnsi="Courier New"/>
          <w:sz w:val="15"/>
          <w:szCs w:val="15"/>
          <w:color w:val="auto"/>
        </w:rPr>
        <w:t>Notice of any special meeting of the Board of Directors shall be given at least five (5) days previously thereto by written notice delivered personally or mailed to each director at his business address, or by telegram. If mailed, such notice shall be deemed to be delivered when deposited in the United States mail so addressed, with sufficient postage thereon prepaid. If notice be given by telegram, such notice shall be deemed to be delivered when the telegram is delivered to the telegraph company; any director may waive notice of any meeting. The attendance of a director at a meeting shall constitute a waiver of notice of such meeting, except where a director attends a meeting for the expressed purpose of objecting to the transaction of any business because the meeting is not lawfully called or convened. Neither the business to be transacted at, nor the purpose of any regular or special meeting of the Board of Directors need be specified in the notice or waiver of notice of such meeting.</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 Committees</w:t>
      </w:r>
    </w:p>
    <w:p>
      <w:pPr>
        <w:spacing w:after="0" w:line="177" w:lineRule="exact"/>
        <w:rPr>
          <w:sz w:val="20"/>
          <w:szCs w:val="20"/>
          <w:color w:val="auto"/>
        </w:rPr>
      </w:pPr>
    </w:p>
    <w:p>
      <w:pPr>
        <w:ind w:right="3019" w:firstLine="992"/>
        <w:spacing w:after="0" w:line="259" w:lineRule="auto"/>
        <w:rPr>
          <w:sz w:val="20"/>
          <w:szCs w:val="20"/>
          <w:color w:val="auto"/>
        </w:rPr>
      </w:pPr>
      <w:r>
        <w:rPr>
          <w:rFonts w:ascii="Courier New" w:cs="Courier New" w:eastAsia="Courier New" w:hAnsi="Courier New"/>
          <w:sz w:val="15"/>
          <w:szCs w:val="15"/>
          <w:color w:val="auto"/>
        </w:rPr>
        <w:t>The Board of Directors may, by resolution adopted by a majority of the whole board, designate from among its members an Executive Committee and one or more other committees. Any such committee, to the extent provided in the resolution, shall have and may exercise all the authority of the Board of Directors; provided, however, that no such committee shall have such authority in reference to any matter for which such authority is specifically reserved to the full Board of Directors by the terms of the Iowa Business Corporation Act, as amended. Each such committee shall keep regular minutes of its meetings and report the same to the Board of Directors when required.</w:t>
      </w:r>
    </w:p>
    <w:p>
      <w:pPr>
        <w:spacing w:after="0" w:line="8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ARTICLE IV. OFFICERS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 Number</w:t>
      </w:r>
    </w:p>
    <w:p>
      <w:pPr>
        <w:sectPr>
          <w:pgSz w:w="11900" w:h="16838" w:orient="portrait"/>
          <w:cols w:equalWidth="0" w:num="1">
            <w:col w:w="10219"/>
          </w:cols>
          <w:pgMar w:left="240" w:top="287" w:right="1440" w:bottom="0" w:gutter="0" w:footer="0" w:header="0"/>
        </w:sectPr>
      </w:pPr>
    </w:p>
    <w:bookmarkStart w:id="11" w:name="page12"/>
    <w:bookmarkEnd w:id="11"/>
    <w:p>
      <w:pPr>
        <w:ind w:right="3019" w:firstLine="451"/>
        <w:spacing w:after="0" w:line="274" w:lineRule="auto"/>
        <w:rPr>
          <w:sz w:val="20"/>
          <w:szCs w:val="20"/>
          <w:color w:val="auto"/>
        </w:rPr>
      </w:pPr>
      <w:r>
        <w:rPr>
          <w:rFonts w:ascii="Courier New" w:cs="Courier New" w:eastAsia="Courier New" w:hAnsi="Courier New"/>
          <w:sz w:val="15"/>
          <w:szCs w:val="15"/>
          <w:color w:val="auto"/>
        </w:rPr>
        <w:t>The officers of the Corporation shall be a President, Vice President, a Secretary and a Treasurer. Such other officers, assistant officers and acting officers as may be deemed necessary, may be elected or appointed by the Board of Directors. Any two or more offices may be held by the same person if so nominated and elected.</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 Election and Term of Office</w:t>
      </w:r>
    </w:p>
    <w:p>
      <w:pPr>
        <w:spacing w:after="0" w:line="177" w:lineRule="exact"/>
        <w:rPr>
          <w:sz w:val="20"/>
          <w:szCs w:val="20"/>
          <w:color w:val="auto"/>
        </w:rPr>
      </w:pPr>
    </w:p>
    <w:p>
      <w:pPr>
        <w:ind w:right="3099" w:firstLine="992"/>
        <w:spacing w:after="0" w:line="258" w:lineRule="auto"/>
        <w:rPr>
          <w:sz w:val="20"/>
          <w:szCs w:val="20"/>
          <w:color w:val="auto"/>
        </w:rPr>
      </w:pPr>
      <w:r>
        <w:rPr>
          <w:rFonts w:ascii="Courier New" w:cs="Courier New" w:eastAsia="Courier New" w:hAnsi="Courier New"/>
          <w:sz w:val="15"/>
          <w:szCs w:val="15"/>
          <w:color w:val="auto"/>
        </w:rPr>
        <w:t>The officers of the Corporation to be elected by the Board of Directors shall be elected annually by the Board of Directors at the first meeting of the Board of Directors held after each annual meeting of the shareholders. If the election of officers shall not be held at such meeting, such election shall be held as soon thereafter as conveniently may be. The officers of the Corporation shall hold office until their successors are chosen and qualify or until their death or resignation. Any officer elected by the Board of Directors may be removed at any time by the affirmative vote of a majority of the Board of Directors in office. Any vacancy occurring in any office in the Corporation shall be filled by the Board of Directors.</w:t>
      </w:r>
    </w:p>
    <w:p>
      <w:pPr>
        <w:spacing w:after="0" w:line="81"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ARTICLE V. FISCAL YEAR</w:t>
      </w:r>
    </w:p>
    <w:p>
      <w:pPr>
        <w:spacing w:after="0" w:line="177" w:lineRule="exact"/>
        <w:rPr>
          <w:sz w:val="20"/>
          <w:szCs w:val="20"/>
          <w:color w:val="auto"/>
        </w:rPr>
      </w:pPr>
    </w:p>
    <w:p>
      <w:pPr>
        <w:ind w:right="3379" w:firstLine="992"/>
        <w:spacing w:after="0" w:line="365" w:lineRule="auto"/>
        <w:rPr>
          <w:sz w:val="20"/>
          <w:szCs w:val="20"/>
          <w:color w:val="auto"/>
        </w:rPr>
      </w:pPr>
      <w:r>
        <w:rPr>
          <w:rFonts w:ascii="Courier New" w:cs="Courier New" w:eastAsia="Courier New" w:hAnsi="Courier New"/>
          <w:sz w:val="15"/>
          <w:szCs w:val="15"/>
          <w:color w:val="auto"/>
        </w:rPr>
        <w:t>The fiscal year of this Corporation shall begin on the 1st day of September and end on the last day of August, in each year.</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ARTICLE VI. AMENDMENTS</w:t>
      </w:r>
    </w:p>
    <w:p>
      <w:pPr>
        <w:spacing w:after="0" w:line="177" w:lineRule="exact"/>
        <w:rPr>
          <w:sz w:val="20"/>
          <w:szCs w:val="20"/>
          <w:color w:val="auto"/>
        </w:rPr>
      </w:pPr>
    </w:p>
    <w:p>
      <w:pPr>
        <w:ind w:right="3019" w:firstLine="992"/>
        <w:spacing w:after="0" w:line="305" w:lineRule="auto"/>
        <w:rPr>
          <w:sz w:val="20"/>
          <w:szCs w:val="20"/>
          <w:color w:val="auto"/>
        </w:rPr>
      </w:pPr>
      <w:r>
        <w:rPr>
          <w:rFonts w:ascii="Courier New" w:cs="Courier New" w:eastAsia="Courier New" w:hAnsi="Courier New"/>
          <w:sz w:val="15"/>
          <w:szCs w:val="15"/>
          <w:color w:val="auto"/>
        </w:rPr>
        <w:t>These By-Laws may be altered, amended or repealed and new By-Laws may be adopted by the Board of Directors at any regular or special meeting of the Board of Directors.</w:t>
      </w:r>
    </w:p>
    <w:p>
      <w:pPr>
        <w:sectPr>
          <w:pgSz w:w="11900" w:h="16838" w:orient="portrait"/>
          <w:cols w:equalWidth="0" w:num="1">
            <w:col w:w="10219"/>
          </w:cols>
          <w:pgMar w:left="240" w:top="113" w:right="1440" w:bottom="1440" w:gutter="0" w:footer="0" w:header="0"/>
        </w:sectPr>
      </w:pPr>
    </w:p>
    <w:bookmarkStart w:id="12" w:name="page13"/>
    <w:bookmarkEnd w:id="12"/>
    <w:p>
      <w:pPr>
        <w:spacing w:after="0" w:line="28"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September 9, 1996</w:t>
      </w:r>
    </w:p>
    <w:p>
      <w:pPr>
        <w:spacing w:after="0" w:line="350" w:lineRule="exact"/>
        <w:rPr>
          <w:sz w:val="20"/>
          <w:szCs w:val="20"/>
          <w:color w:val="auto"/>
        </w:rPr>
      </w:pPr>
    </w:p>
    <w:p>
      <w:pPr>
        <w:jc w:val="center"/>
        <w:ind w:right="2932"/>
        <w:spacing w:after="0"/>
        <w:rPr>
          <w:sz w:val="20"/>
          <w:szCs w:val="20"/>
          <w:color w:val="auto"/>
        </w:rPr>
      </w:pPr>
      <w:r>
        <w:rPr>
          <w:rFonts w:ascii="Courier New" w:cs="Courier New" w:eastAsia="Courier New" w:hAnsi="Courier New"/>
          <w:sz w:val="15"/>
          <w:szCs w:val="15"/>
          <w:color w:val="auto"/>
        </w:rPr>
        <w:t>RV EXECUTIVE MANAGEMENT INCENTIVE COMPENSATION PLAN</w:t>
      </w:r>
    </w:p>
    <w:p>
      <w:pPr>
        <w:spacing w:after="0" w:line="177"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Group II</w:t>
      </w:r>
    </w:p>
    <w:p>
      <w:pPr>
        <w:spacing w:after="0" w:line="31" w:lineRule="exact"/>
        <w:rPr>
          <w:sz w:val="20"/>
          <w:szCs w:val="20"/>
          <w:color w:val="auto"/>
        </w:rPr>
      </w:pPr>
    </w:p>
    <w:p>
      <w:pPr>
        <w:ind w:left="2608"/>
        <w:spacing w:after="0"/>
        <w:rPr>
          <w:sz w:val="20"/>
          <w:szCs w:val="20"/>
          <w:color w:val="auto"/>
        </w:rPr>
      </w:pPr>
      <w:r>
        <w:rPr>
          <w:rFonts w:ascii="Courier New" w:cs="Courier New" w:eastAsia="Courier New" w:hAnsi="Courier New"/>
          <w:sz w:val="15"/>
          <w:szCs w:val="15"/>
          <w:color w:val="auto"/>
        </w:rPr>
        <w:t>Fiscal Period 1996-1997</w:t>
      </w:r>
    </w:p>
    <w:p>
      <w:pPr>
        <w:spacing w:after="0" w:line="149"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Winnebago Industries, Inc.</w:t>
      </w:r>
    </w:p>
    <w:p>
      <w:pPr>
        <w:spacing w:after="0" w:line="31"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Forest City, Iowa</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PURPOSE</w:t>
      </w:r>
    </w:p>
    <w:p>
      <w:pPr>
        <w:spacing w:after="0" w:line="177" w:lineRule="exact"/>
        <w:rPr>
          <w:sz w:val="20"/>
          <w:szCs w:val="20"/>
          <w:color w:val="auto"/>
        </w:rPr>
      </w:pPr>
    </w:p>
    <w:p>
      <w:pPr>
        <w:ind w:left="8" w:right="3099"/>
        <w:spacing w:after="0" w:line="285" w:lineRule="auto"/>
        <w:rPr>
          <w:sz w:val="20"/>
          <w:szCs w:val="20"/>
          <w:color w:val="auto"/>
        </w:rPr>
      </w:pPr>
      <w:r>
        <w:rPr>
          <w:rFonts w:ascii="Courier New" w:cs="Courier New" w:eastAsia="Courier New" w:hAnsi="Courier New"/>
          <w:sz w:val="15"/>
          <w:szCs w:val="15"/>
          <w:color w:val="auto"/>
        </w:rPr>
        <w:t>The purpose of this plan is to provide greater incentive to employees in managerial positions, who contribute to the success of the Company, by enabling them to participate in that success, and to aid in attracting and retaining employees who will contribute to the progress and profitability of the Company.</w:t>
      </w:r>
    </w:p>
    <w:p>
      <w:pPr>
        <w:spacing w:after="0" w:line="60" w:lineRule="exact"/>
        <w:rPr>
          <w:sz w:val="20"/>
          <w:szCs w:val="20"/>
          <w:color w:val="auto"/>
        </w:rPr>
      </w:pPr>
    </w:p>
    <w:p>
      <w:pPr>
        <w:ind w:left="8" w:right="3019"/>
        <w:spacing w:after="0" w:line="335" w:lineRule="auto"/>
        <w:rPr>
          <w:sz w:val="20"/>
          <w:szCs w:val="20"/>
          <w:color w:val="auto"/>
        </w:rPr>
      </w:pPr>
      <w:r>
        <w:rPr>
          <w:rFonts w:ascii="Courier New" w:cs="Courier New" w:eastAsia="Courier New" w:hAnsi="Courier New"/>
          <w:sz w:val="14"/>
          <w:szCs w:val="14"/>
          <w:color w:val="auto"/>
        </w:rPr>
        <w:t>It is the purpose of this plan to attract, obtain, develop, motivate, and retain capable managerial personnel, stimulate constructive and imaginative thinking, and otherwise contribute to the growth and profits of the corporation.</w:t>
      </w:r>
    </w:p>
    <w:p>
      <w:pPr>
        <w:spacing w:after="0" w:line="2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ADMINISTRATION</w:t>
      </w:r>
    </w:p>
    <w:p>
      <w:pPr>
        <w:spacing w:after="0" w:line="177" w:lineRule="exact"/>
        <w:rPr>
          <w:sz w:val="20"/>
          <w:szCs w:val="20"/>
          <w:color w:val="auto"/>
        </w:rPr>
      </w:pPr>
    </w:p>
    <w:p>
      <w:pPr>
        <w:ind w:left="8" w:right="3199"/>
        <w:spacing w:after="0" w:line="274" w:lineRule="auto"/>
        <w:rPr>
          <w:sz w:val="20"/>
          <w:szCs w:val="20"/>
          <w:color w:val="auto"/>
        </w:rPr>
      </w:pPr>
      <w:r>
        <w:rPr>
          <w:rFonts w:ascii="Courier New" w:cs="Courier New" w:eastAsia="Courier New" w:hAnsi="Courier New"/>
          <w:sz w:val="15"/>
          <w:szCs w:val="15"/>
          <w:color w:val="auto"/>
        </w:rPr>
        <w:t>The plan prior to each new fiscal year must meet the approval of the Human Resource Committee of the Board of Directors. The Human Resource Committee may establish such rules and regulations as it deems necessary for proper administration of this plan and may amend or revoke any rule or regulation so established.</w:t>
      </w:r>
    </w:p>
    <w:p>
      <w:pPr>
        <w:spacing w:after="0" w:line="7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PARTICIPANTS</w:t>
      </w:r>
    </w:p>
    <w:p>
      <w:pPr>
        <w:spacing w:after="0" w:line="177" w:lineRule="exact"/>
        <w:rPr>
          <w:sz w:val="20"/>
          <w:szCs w:val="20"/>
          <w:color w:val="auto"/>
        </w:rPr>
      </w:pPr>
    </w:p>
    <w:p>
      <w:pPr>
        <w:ind w:left="8" w:right="3099"/>
        <w:spacing w:after="0" w:line="268" w:lineRule="auto"/>
        <w:rPr>
          <w:sz w:val="20"/>
          <w:szCs w:val="20"/>
          <w:color w:val="auto"/>
        </w:rPr>
      </w:pPr>
      <w:r>
        <w:rPr>
          <w:rFonts w:ascii="Courier New" w:cs="Courier New" w:eastAsia="Courier New" w:hAnsi="Courier New"/>
          <w:sz w:val="15"/>
          <w:szCs w:val="15"/>
          <w:color w:val="auto"/>
        </w:rPr>
        <w:t>Recommendation of a participant must be made by the Vice President that has the responsibility for the specific unit or group which the proposed participant is a member. The Vice President must justify direct dependence of recommended employee's influence, performance and achievements, which could determine the success of that unit or group and employee must be considered a direct link to the success and profitability of the corporation.</w:t>
      </w:r>
    </w:p>
    <w:p>
      <w:pPr>
        <w:spacing w:after="0" w:line="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Minimum Qualifications Required of Participants:</w:t>
      </w:r>
    </w:p>
    <w:p>
      <w:pPr>
        <w:spacing w:after="0" w:line="177" w:lineRule="exact"/>
        <w:rPr>
          <w:sz w:val="20"/>
          <w:szCs w:val="20"/>
          <w:color w:val="auto"/>
        </w:rPr>
      </w:pPr>
    </w:p>
    <w:p>
      <w:pPr>
        <w:ind w:left="628" w:hanging="628"/>
        <w:spacing w:after="0"/>
        <w:tabs>
          <w:tab w:leader="none" w:pos="62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must be in Labor Grade Number 70 or above.</w:t>
      </w:r>
    </w:p>
    <w:p>
      <w:pPr>
        <w:spacing w:after="0" w:line="31" w:lineRule="exact"/>
        <w:rPr>
          <w:rFonts w:ascii="Courier New" w:cs="Courier New" w:eastAsia="Courier New" w:hAnsi="Courier New"/>
          <w:sz w:val="15"/>
          <w:szCs w:val="15"/>
          <w:color w:val="auto"/>
        </w:rPr>
      </w:pPr>
    </w:p>
    <w:p>
      <w:pPr>
        <w:ind w:left="628" w:right="3019" w:hanging="628"/>
        <w:spacing w:after="0" w:line="244" w:lineRule="auto"/>
        <w:tabs>
          <w:tab w:leader="none" w:pos="62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must be in the capacity of a staff supervisor or manager of a specific unit or group with specific responsibilities which can impact the corporation.</w:t>
      </w:r>
    </w:p>
    <w:p>
      <w:pPr>
        <w:spacing w:after="0" w:line="1" w:lineRule="exact"/>
        <w:rPr>
          <w:rFonts w:ascii="Courier New" w:cs="Courier New" w:eastAsia="Courier New" w:hAnsi="Courier New"/>
          <w:sz w:val="15"/>
          <w:szCs w:val="15"/>
          <w:color w:val="auto"/>
        </w:rPr>
      </w:pPr>
    </w:p>
    <w:p>
      <w:pPr>
        <w:jc w:val="both"/>
        <w:ind w:left="628" w:right="3199" w:hanging="628"/>
        <w:spacing w:after="0" w:line="285" w:lineRule="auto"/>
        <w:tabs>
          <w:tab w:leader="none" w:pos="62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must be employed for the entire fiscal year to be eligible for the bonus and in addition, participant must be employed at the time the bonus is paid except as waived by the Human Resource Committee.</w:t>
      </w:r>
    </w:p>
    <w:p>
      <w:pPr>
        <w:spacing w:after="0" w:line="60" w:lineRule="exact"/>
        <w:rPr>
          <w:sz w:val="20"/>
          <w:szCs w:val="20"/>
          <w:color w:val="auto"/>
        </w:rPr>
      </w:pPr>
    </w:p>
    <w:p>
      <w:pPr>
        <w:ind w:left="8" w:right="3099"/>
        <w:spacing w:after="0" w:line="285" w:lineRule="auto"/>
        <w:rPr>
          <w:sz w:val="20"/>
          <w:szCs w:val="20"/>
          <w:color w:val="auto"/>
        </w:rPr>
      </w:pPr>
      <w:r>
        <w:rPr>
          <w:rFonts w:ascii="Courier New" w:cs="Courier New" w:eastAsia="Courier New" w:hAnsi="Courier New"/>
          <w:sz w:val="15"/>
          <w:szCs w:val="15"/>
          <w:color w:val="auto"/>
        </w:rPr>
        <w:t>Appointment of participants to the "Executive Management Incentive Compensation Plan" will be recommended by the President to the Human Resource Committee for approval based on meeting the aforementioned qualifications and upon recommendation of the respective Vice President.</w:t>
      </w:r>
    </w:p>
    <w:p>
      <w:pPr>
        <w:spacing w:after="0" w:line="6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NATURE OF THE PLAN</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incentive award is based on the performance of the CORPORATION.</w:t>
      </w:r>
    </w:p>
    <w:p>
      <w:pPr>
        <w:spacing w:after="0" w:line="177" w:lineRule="exact"/>
        <w:rPr>
          <w:sz w:val="20"/>
          <w:szCs w:val="20"/>
          <w:color w:val="auto"/>
        </w:rPr>
      </w:pPr>
    </w:p>
    <w:p>
      <w:pPr>
        <w:ind w:left="8" w:right="3199"/>
        <w:spacing w:after="0" w:line="285" w:lineRule="auto"/>
        <w:rPr>
          <w:sz w:val="20"/>
          <w:szCs w:val="20"/>
          <w:color w:val="auto"/>
        </w:rPr>
      </w:pPr>
      <w:r>
        <w:rPr>
          <w:rFonts w:ascii="Courier New" w:cs="Courier New" w:eastAsia="Courier New" w:hAnsi="Courier New"/>
          <w:sz w:val="15"/>
          <w:szCs w:val="15"/>
          <w:color w:val="auto"/>
        </w:rPr>
        <w:t>This is a bonus based upon the Company's attainment of a predetermined profit goal for the fiscal quarter. The profit goal is to be recommended by the Human Resource Committee and approved by the Board of Directors each quarter at the beginning of the fiscal quarter.</w:t>
      </w:r>
    </w:p>
    <w:p>
      <w:pPr>
        <w:spacing w:after="0" w:line="60" w:lineRule="exact"/>
        <w:rPr>
          <w:sz w:val="20"/>
          <w:szCs w:val="20"/>
          <w:color w:val="auto"/>
        </w:rPr>
      </w:pPr>
    </w:p>
    <w:p>
      <w:pPr>
        <w:ind w:left="8" w:right="3019"/>
        <w:spacing w:after="0" w:line="258" w:lineRule="auto"/>
        <w:rPr>
          <w:sz w:val="20"/>
          <w:szCs w:val="20"/>
          <w:color w:val="auto"/>
        </w:rPr>
      </w:pPr>
      <w:r>
        <w:rPr>
          <w:rFonts w:ascii="Courier New" w:cs="Courier New" w:eastAsia="Courier New" w:hAnsi="Courier New"/>
          <w:sz w:val="15"/>
          <w:szCs w:val="15"/>
          <w:color w:val="auto"/>
        </w:rPr>
        <w:t>The profit goal, for purposes of this plan, will be the "Incentive Compensation Profit" which shall mean the combined gross income from the operation of the Company less the combined expenses, deductions and credits of the Company attributable to such operations. In computing the incentive compensation profit, no deduction shall be taken or allowance made for federal or state income taxes, or any expenses associated with retirement plans or incentive compensation plans. Incentive awards are determined in proportion to the actual operating profit generated for the quarter in relation to the profit goal that was set. If the operating profit achieved is less than 80 percent of goal set, no bonus is paid and the maximum bonus paid at 120 percent of the profit goal.</w:t>
      </w:r>
    </w:p>
    <w:p>
      <w:pPr>
        <w:spacing w:after="0" w:line="8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METHOD OF PAYMENT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quarterly amount of a participant's incentive compensation for the quarter</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shall be the percentage of the total amount of base salary received by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individual the fiscal quarter when he was a participant in the plan. 60% of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quarterly amount of the earned bonus will be paid within 45 days after the close</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the fiscal quarter and the remainder of the bonus due will be paid after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books have been audited at the end of the fiscal year providing the Company has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made its objective in each quarter.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Bonuses will be paid as follows:</w:t>
      </w:r>
    </w:p>
    <w:p>
      <w:pPr>
        <w:spacing w:after="0" w:line="149" w:lineRule="exact"/>
        <w:rPr>
          <w:sz w:val="20"/>
          <w:szCs w:val="20"/>
          <w:color w:val="auto"/>
        </w:rPr>
      </w:pPr>
    </w:p>
    <w:tbl>
      <w:tblPr>
        <w:tblLayout w:type="fixed"/>
        <w:tblInd w:w="1088" w:type="dxa"/>
        <w:tblCellMar>
          <w:top w:w="0" w:type="dxa"/>
          <w:left w:w="0" w:type="dxa"/>
          <w:bottom w:w="0" w:type="dxa"/>
          <w:right w:w="0" w:type="dxa"/>
        </w:tblCellMar>
      </w:tblPr>
      <w:tr>
        <w:trPr>
          <w:trHeight w:val="173"/>
        </w:trPr>
        <w:tc>
          <w:tcPr>
            <w:tcW w:w="29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Number of Quarters</w:t>
            </w:r>
          </w:p>
        </w:tc>
        <w:tc>
          <w:tcPr>
            <w:tcW w:w="2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Amount of the Bonus</w:t>
            </w:r>
          </w:p>
        </w:tc>
      </w:tr>
      <w:tr>
        <w:trPr>
          <w:trHeight w:val="173"/>
        </w:trPr>
        <w:tc>
          <w:tcPr>
            <w:tcW w:w="29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Objective was made</w:t>
            </w:r>
          </w:p>
        </w:tc>
        <w:tc>
          <w:tcPr>
            <w:tcW w:w="2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Holdback to be Paid</w:t>
            </w:r>
          </w:p>
        </w:tc>
      </w:tr>
      <w:tr>
        <w:trPr>
          <w:trHeight w:val="255"/>
        </w:trPr>
        <w:tc>
          <w:tcPr>
            <w:tcW w:w="296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9"/>
              </w:rPr>
              <w:t>--------------------------</w:t>
            </w:r>
          </w:p>
        </w:tc>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5"/>
        </w:trPr>
        <w:tc>
          <w:tcPr>
            <w:tcW w:w="2960" w:type="dxa"/>
            <w:vAlign w:val="bottom"/>
          </w:tcPr>
          <w:p>
            <w:pPr>
              <w:jc w:val="right"/>
              <w:ind w:right="1725"/>
              <w:spacing w:after="0"/>
              <w:rPr>
                <w:sz w:val="20"/>
                <w:szCs w:val="20"/>
                <w:color w:val="auto"/>
              </w:rPr>
            </w:pPr>
            <w:r>
              <w:rPr>
                <w:rFonts w:ascii="Courier New" w:cs="Courier New" w:eastAsia="Courier New" w:hAnsi="Courier New"/>
                <w:sz w:val="15"/>
                <w:szCs w:val="15"/>
                <w:color w:val="auto"/>
              </w:rPr>
              <w:t>1</w:t>
            </w:r>
          </w:p>
        </w:tc>
        <w:tc>
          <w:tcPr>
            <w:tcW w:w="298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25%</w:t>
            </w:r>
          </w:p>
        </w:tc>
      </w:tr>
      <w:tr>
        <w:trPr>
          <w:trHeight w:val="173"/>
        </w:trPr>
        <w:tc>
          <w:tcPr>
            <w:tcW w:w="2960" w:type="dxa"/>
            <w:vAlign w:val="bottom"/>
          </w:tcPr>
          <w:p>
            <w:pPr>
              <w:jc w:val="right"/>
              <w:ind w:right="1725"/>
              <w:spacing w:after="0"/>
              <w:rPr>
                <w:sz w:val="20"/>
                <w:szCs w:val="20"/>
                <w:color w:val="auto"/>
              </w:rPr>
            </w:pPr>
            <w:r>
              <w:rPr>
                <w:rFonts w:ascii="Courier New" w:cs="Courier New" w:eastAsia="Courier New" w:hAnsi="Courier New"/>
                <w:sz w:val="15"/>
                <w:szCs w:val="15"/>
                <w:color w:val="auto"/>
              </w:rPr>
              <w:t>2</w:t>
            </w:r>
          </w:p>
        </w:tc>
        <w:tc>
          <w:tcPr>
            <w:tcW w:w="298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50%</w:t>
            </w:r>
          </w:p>
        </w:tc>
      </w:tr>
      <w:tr>
        <w:trPr>
          <w:trHeight w:val="173"/>
        </w:trPr>
        <w:tc>
          <w:tcPr>
            <w:tcW w:w="2960" w:type="dxa"/>
            <w:vAlign w:val="bottom"/>
          </w:tcPr>
          <w:p>
            <w:pPr>
              <w:jc w:val="right"/>
              <w:ind w:right="1725"/>
              <w:spacing w:after="0"/>
              <w:rPr>
                <w:sz w:val="20"/>
                <w:szCs w:val="20"/>
                <w:color w:val="auto"/>
              </w:rPr>
            </w:pPr>
            <w:r>
              <w:rPr>
                <w:rFonts w:ascii="Courier New" w:cs="Courier New" w:eastAsia="Courier New" w:hAnsi="Courier New"/>
                <w:sz w:val="15"/>
                <w:szCs w:val="15"/>
                <w:color w:val="auto"/>
              </w:rPr>
              <w:t>3</w:t>
            </w:r>
          </w:p>
        </w:tc>
        <w:tc>
          <w:tcPr>
            <w:tcW w:w="298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75%</w:t>
            </w:r>
          </w:p>
        </w:tc>
      </w:tr>
      <w:tr>
        <w:trPr>
          <w:trHeight w:val="255"/>
        </w:trPr>
        <w:tc>
          <w:tcPr>
            <w:tcW w:w="2960" w:type="dxa"/>
            <w:vAlign w:val="bottom"/>
          </w:tcPr>
          <w:p>
            <w:pPr>
              <w:jc w:val="right"/>
              <w:ind w:right="1725"/>
              <w:spacing w:after="0"/>
              <w:rPr>
                <w:sz w:val="20"/>
                <w:szCs w:val="20"/>
                <w:color w:val="auto"/>
              </w:rPr>
            </w:pPr>
            <w:r>
              <w:rPr>
                <w:rFonts w:ascii="Courier New" w:cs="Courier New" w:eastAsia="Courier New" w:hAnsi="Courier New"/>
                <w:sz w:val="15"/>
                <w:szCs w:val="15"/>
                <w:color w:val="auto"/>
              </w:rPr>
              <w:t>4</w:t>
            </w:r>
          </w:p>
        </w:tc>
        <w:tc>
          <w:tcPr>
            <w:tcW w:w="298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100%</w:t>
            </w:r>
          </w:p>
        </w:tc>
      </w:tr>
    </w:tbl>
    <w:p>
      <w:pPr>
        <w:sectPr>
          <w:pgSz w:w="11900" w:h="16867" w:orient="portrait"/>
          <w:cols w:equalWidth="0" w:num="1">
            <w:col w:w="10227"/>
          </w:cols>
          <w:pgMar w:left="232" w:top="460" w:right="1440" w:bottom="0" w:gutter="0" w:footer="0" w:header="0"/>
        </w:sectPr>
      </w:pPr>
    </w:p>
    <w:bookmarkStart w:id="13" w:name="page14"/>
    <w:bookmarkEnd w:id="13"/>
    <w:p>
      <w:pPr>
        <w:spacing w:after="0" w:line="74" w:lineRule="exact"/>
        <w:rPr>
          <w:sz w:val="20"/>
          <w:szCs w:val="20"/>
          <w:color w:val="auto"/>
        </w:rPr>
      </w:pPr>
    </w:p>
    <w:p>
      <w:pPr>
        <w:ind w:left="8" w:right="3199"/>
        <w:spacing w:after="0" w:line="305" w:lineRule="auto"/>
        <w:rPr>
          <w:sz w:val="20"/>
          <w:szCs w:val="20"/>
          <w:color w:val="auto"/>
        </w:rPr>
      </w:pPr>
      <w:r>
        <w:rPr>
          <w:rFonts w:ascii="Courier New" w:cs="Courier New" w:eastAsia="Courier New" w:hAnsi="Courier New"/>
          <w:sz w:val="15"/>
          <w:szCs w:val="15"/>
          <w:color w:val="auto"/>
        </w:rPr>
        <w:t>The attached quarterly bonus formula developed for the Executive Group II of Winnebago Industries provides a 30 percent bonus calculation for a 100 percent achievement of operating profit.</w:t>
      </w:r>
    </w:p>
    <w:p>
      <w:pPr>
        <w:spacing w:after="0" w:line="46" w:lineRule="exact"/>
        <w:rPr>
          <w:sz w:val="20"/>
          <w:szCs w:val="20"/>
          <w:color w:val="auto"/>
        </w:rPr>
      </w:pPr>
    </w:p>
    <w:p>
      <w:pPr>
        <w:ind w:left="8" w:right="3199"/>
        <w:spacing w:after="0" w:line="365" w:lineRule="auto"/>
        <w:rPr>
          <w:sz w:val="20"/>
          <w:szCs w:val="20"/>
          <w:color w:val="auto"/>
        </w:rPr>
      </w:pPr>
      <w:r>
        <w:rPr>
          <w:rFonts w:ascii="Courier New" w:cs="Courier New" w:eastAsia="Courier New" w:hAnsi="Courier New"/>
          <w:sz w:val="15"/>
          <w:szCs w:val="15"/>
          <w:color w:val="auto"/>
        </w:rPr>
        <w:t>A participant who leaves the Company for any reason will forfeit all rights to incentive payments that particular fiscal quarter and fiscal year.</w:t>
      </w:r>
    </w:p>
    <w:p>
      <w:pPr>
        <w:spacing w:after="0" w:line="350"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September 9, 1996</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RV OFFICER INCENTIVE COMPENSATION PLAN</w:t>
      </w:r>
    </w:p>
    <w:p>
      <w:pPr>
        <w:spacing w:after="0" w:line="177" w:lineRule="exact"/>
        <w:rPr>
          <w:sz w:val="20"/>
          <w:szCs w:val="20"/>
          <w:color w:val="auto"/>
        </w:rPr>
      </w:pPr>
    </w:p>
    <w:p>
      <w:pPr>
        <w:jc w:val="center"/>
        <w:ind w:right="2932"/>
        <w:spacing w:after="0"/>
        <w:rPr>
          <w:sz w:val="20"/>
          <w:szCs w:val="20"/>
          <w:color w:val="auto"/>
        </w:rPr>
      </w:pPr>
      <w:r>
        <w:rPr>
          <w:rFonts w:ascii="Courier New" w:cs="Courier New" w:eastAsia="Courier New" w:hAnsi="Courier New"/>
          <w:sz w:val="15"/>
          <w:szCs w:val="15"/>
          <w:color w:val="auto"/>
        </w:rPr>
        <w:t>Group I</w:t>
      </w:r>
    </w:p>
    <w:p>
      <w:pPr>
        <w:spacing w:after="0" w:line="31" w:lineRule="exact"/>
        <w:rPr>
          <w:sz w:val="20"/>
          <w:szCs w:val="20"/>
          <w:color w:val="auto"/>
        </w:rPr>
      </w:pPr>
    </w:p>
    <w:p>
      <w:pPr>
        <w:jc w:val="center"/>
        <w:ind w:right="2932"/>
        <w:spacing w:after="0"/>
        <w:rPr>
          <w:sz w:val="20"/>
          <w:szCs w:val="20"/>
          <w:color w:val="auto"/>
        </w:rPr>
      </w:pPr>
      <w:r>
        <w:rPr>
          <w:rFonts w:ascii="Courier New" w:cs="Courier New" w:eastAsia="Courier New" w:hAnsi="Courier New"/>
          <w:sz w:val="15"/>
          <w:szCs w:val="15"/>
          <w:color w:val="auto"/>
        </w:rPr>
        <w:t>Fiscal Period 1996-1997</w:t>
      </w:r>
    </w:p>
    <w:p>
      <w:pPr>
        <w:spacing w:after="0" w:line="149"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Winnebago Industries, Inc.</w:t>
      </w:r>
    </w:p>
    <w:p>
      <w:pPr>
        <w:spacing w:after="0" w:line="31"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Forest City, Iowa</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PURPOSE</w:t>
      </w:r>
    </w:p>
    <w:p>
      <w:pPr>
        <w:spacing w:after="0" w:line="177" w:lineRule="exact"/>
        <w:rPr>
          <w:sz w:val="20"/>
          <w:szCs w:val="20"/>
          <w:color w:val="auto"/>
        </w:rPr>
      </w:pPr>
    </w:p>
    <w:p>
      <w:pPr>
        <w:ind w:left="8" w:right="3019"/>
        <w:spacing w:after="0" w:line="285" w:lineRule="auto"/>
        <w:rPr>
          <w:sz w:val="20"/>
          <w:szCs w:val="20"/>
          <w:color w:val="auto"/>
        </w:rPr>
      </w:pPr>
      <w:r>
        <w:rPr>
          <w:rFonts w:ascii="Courier New" w:cs="Courier New" w:eastAsia="Courier New" w:hAnsi="Courier New"/>
          <w:sz w:val="15"/>
          <w:szCs w:val="15"/>
          <w:color w:val="auto"/>
        </w:rPr>
        <w:t>The purpose of this plan is to provide greater incentive to employees in officer positions, who contribute to the success of the Company, by enabling them to participate in that success, and to aid in attracting and retaining employees who will contribute to the progress and profitability of the Company.</w:t>
      </w:r>
    </w:p>
    <w:p>
      <w:pPr>
        <w:spacing w:after="0" w:line="60" w:lineRule="exact"/>
        <w:rPr>
          <w:sz w:val="20"/>
          <w:szCs w:val="20"/>
          <w:color w:val="auto"/>
        </w:rPr>
      </w:pPr>
    </w:p>
    <w:p>
      <w:pPr>
        <w:jc w:val="both"/>
        <w:ind w:left="8" w:right="3019"/>
        <w:spacing w:after="0" w:line="305" w:lineRule="auto"/>
        <w:rPr>
          <w:sz w:val="20"/>
          <w:szCs w:val="20"/>
          <w:color w:val="auto"/>
        </w:rPr>
      </w:pPr>
      <w:r>
        <w:rPr>
          <w:rFonts w:ascii="Courier New" w:cs="Courier New" w:eastAsia="Courier New" w:hAnsi="Courier New"/>
          <w:sz w:val="15"/>
          <w:szCs w:val="15"/>
          <w:color w:val="auto"/>
        </w:rPr>
        <w:t>It is the purpose of this plan to attract, obtain, develop, motivate, and retain capable officer personnel, stimulate constructive and imaginative thinking, and otherwise contribute to the growth and profits of the corporation</w:t>
      </w:r>
    </w:p>
    <w:p>
      <w:pPr>
        <w:spacing w:after="0" w:line="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ADMINISTRATION</w:t>
      </w:r>
    </w:p>
    <w:p>
      <w:pPr>
        <w:spacing w:after="0" w:line="177" w:lineRule="exact"/>
        <w:rPr>
          <w:sz w:val="20"/>
          <w:szCs w:val="20"/>
          <w:color w:val="auto"/>
        </w:rPr>
      </w:pPr>
    </w:p>
    <w:p>
      <w:pPr>
        <w:ind w:left="8" w:right="3199"/>
        <w:spacing w:after="0" w:line="274" w:lineRule="auto"/>
        <w:rPr>
          <w:sz w:val="20"/>
          <w:szCs w:val="20"/>
          <w:color w:val="auto"/>
        </w:rPr>
      </w:pPr>
      <w:r>
        <w:rPr>
          <w:rFonts w:ascii="Courier New" w:cs="Courier New" w:eastAsia="Courier New" w:hAnsi="Courier New"/>
          <w:sz w:val="15"/>
          <w:szCs w:val="15"/>
          <w:color w:val="auto"/>
        </w:rPr>
        <w:t>The plan prior to each new fiscal year must meet the approval of the Human Resource Committee of the Board of Directors. The Human Resource Committee may establish such rules and regulations as it deems necessary for proper administration of this plan and may amend or revoke any rule or regulation so established.</w:t>
      </w:r>
    </w:p>
    <w:p>
      <w:pPr>
        <w:spacing w:after="0" w:line="7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PARTICIPANTS</w:t>
      </w:r>
    </w:p>
    <w:p>
      <w:pPr>
        <w:spacing w:after="0" w:line="177" w:lineRule="exact"/>
        <w:rPr>
          <w:sz w:val="20"/>
          <w:szCs w:val="20"/>
          <w:color w:val="auto"/>
        </w:rPr>
      </w:pPr>
    </w:p>
    <w:p>
      <w:pPr>
        <w:ind w:left="8" w:right="3559"/>
        <w:spacing w:after="0" w:line="365" w:lineRule="auto"/>
        <w:rPr>
          <w:sz w:val="20"/>
          <w:szCs w:val="20"/>
          <w:color w:val="auto"/>
        </w:rPr>
      </w:pPr>
      <w:r>
        <w:rPr>
          <w:rFonts w:ascii="Courier New" w:cs="Courier New" w:eastAsia="Courier New" w:hAnsi="Courier New"/>
          <w:sz w:val="15"/>
          <w:szCs w:val="15"/>
          <w:color w:val="auto"/>
        </w:rPr>
        <w:t>Recommendation of a participant must be made by the President of Winnebago Industries, Inc.</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Minimum Qualifications Required of Participants:</w:t>
      </w:r>
    </w:p>
    <w:p>
      <w:pPr>
        <w:spacing w:after="0" w:line="177" w:lineRule="exact"/>
        <w:rPr>
          <w:sz w:val="20"/>
          <w:szCs w:val="20"/>
          <w:color w:val="auto"/>
        </w:rPr>
      </w:pPr>
    </w:p>
    <w:p>
      <w:pPr>
        <w:ind w:left="628" w:right="3199" w:hanging="628"/>
        <w:spacing w:after="0" w:line="264" w:lineRule="auto"/>
        <w:tabs>
          <w:tab w:leader="none" w:pos="62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must be an officer with specific responsibilities which can impact the corporation</w:t>
      </w:r>
    </w:p>
    <w:p>
      <w:pPr>
        <w:jc w:val="both"/>
        <w:ind w:left="628" w:right="3199" w:hanging="628"/>
        <w:spacing w:after="0" w:line="285" w:lineRule="auto"/>
        <w:tabs>
          <w:tab w:leader="none" w:pos="62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must be employed for the entire fiscal year to be eligible for the bonus and in addition, participant must be employed at the time the bonus is paid except as waived by the Human Resource Committee.</w:t>
      </w:r>
    </w:p>
    <w:p>
      <w:pPr>
        <w:spacing w:after="0" w:line="6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NATURE OF THE PLAN</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incentive award is based on the performance of the CORPORATION.</w:t>
      </w:r>
    </w:p>
    <w:p>
      <w:pPr>
        <w:spacing w:after="0" w:line="177" w:lineRule="exact"/>
        <w:rPr>
          <w:sz w:val="20"/>
          <w:szCs w:val="20"/>
          <w:color w:val="auto"/>
        </w:rPr>
      </w:pPr>
    </w:p>
    <w:p>
      <w:pPr>
        <w:ind w:left="8" w:right="3199"/>
        <w:spacing w:after="0" w:line="285" w:lineRule="auto"/>
        <w:rPr>
          <w:sz w:val="20"/>
          <w:szCs w:val="20"/>
          <w:color w:val="auto"/>
        </w:rPr>
      </w:pPr>
      <w:r>
        <w:rPr>
          <w:rFonts w:ascii="Courier New" w:cs="Courier New" w:eastAsia="Courier New" w:hAnsi="Courier New"/>
          <w:sz w:val="15"/>
          <w:szCs w:val="15"/>
          <w:color w:val="auto"/>
        </w:rPr>
        <w:t>This is a bonus based upon the Company's attainment of a predetermined profit goal for the fiscal quarter. The profit goal is to be recommended by the Human Resource Committee and approved by the Board of Directors each quarter at the beginning of the fiscal quarter.</w:t>
      </w:r>
    </w:p>
    <w:p>
      <w:pPr>
        <w:spacing w:after="0" w:line="60" w:lineRule="exact"/>
        <w:rPr>
          <w:sz w:val="20"/>
          <w:szCs w:val="20"/>
          <w:color w:val="auto"/>
        </w:rPr>
      </w:pPr>
    </w:p>
    <w:p>
      <w:pPr>
        <w:ind w:left="8" w:right="3019"/>
        <w:spacing w:after="0" w:line="258" w:lineRule="auto"/>
        <w:rPr>
          <w:sz w:val="20"/>
          <w:szCs w:val="20"/>
          <w:color w:val="auto"/>
        </w:rPr>
      </w:pPr>
      <w:r>
        <w:rPr>
          <w:rFonts w:ascii="Courier New" w:cs="Courier New" w:eastAsia="Courier New" w:hAnsi="Courier New"/>
          <w:sz w:val="15"/>
          <w:szCs w:val="15"/>
          <w:color w:val="auto"/>
        </w:rPr>
        <w:t>The profit goal, for purposes of this plan, will be the "Incentive Compensation Profit" which shall mean the combined gross income from the operation of the Company less the combined expenses, deductions and credits of the Company attributable to such operations. In computing the incentive compensation profit, no deduction shall be taken or allowance made for federal or state income taxes, or any expenses associated with retirement plans or incentive compensation plans. Incentive awards are determined in proportion to the actual operating profit generated for the quarter in relation to the profit goal that was set. If the operating profit achieved is less than 80 percent of goal set, no bonus is paid and the maximum bonus paid at 120 percent of the profit goal.</w:t>
      </w:r>
    </w:p>
    <w:p>
      <w:pPr>
        <w:spacing w:after="0" w:line="8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METHOD OF PAYMENT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quarterly amount of a participant's incentive compensation for the quarter</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shall be the percentage of the total amount of base salary received by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individual the fiscal quarter when he was a participant in the plan. 60% of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quarterly amount of the earned bonus will be paid within 45 days after the close</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the fiscal quarter and the remainder of the bonus due will be paid after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books have been audited at the end of the fiscal year providing the Company has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made its objective in each quarter.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Bonuses will be paid as follows:</w:t>
      </w:r>
    </w:p>
    <w:p>
      <w:pPr>
        <w:spacing w:after="0" w:line="149" w:lineRule="exact"/>
        <w:rPr>
          <w:sz w:val="20"/>
          <w:szCs w:val="20"/>
          <w:color w:val="auto"/>
        </w:rPr>
      </w:pPr>
    </w:p>
    <w:tbl>
      <w:tblPr>
        <w:tblLayout w:type="fixed"/>
        <w:tblInd w:w="988" w:type="dxa"/>
        <w:tblCellMar>
          <w:top w:w="0" w:type="dxa"/>
          <w:left w:w="0" w:type="dxa"/>
          <w:bottom w:w="0" w:type="dxa"/>
          <w:right w:w="0" w:type="dxa"/>
        </w:tblCellMar>
      </w:tblPr>
      <w:tr>
        <w:trPr>
          <w:trHeight w:val="173"/>
        </w:trPr>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Number of</w:t>
            </w:r>
          </w:p>
        </w:tc>
        <w:tc>
          <w:tcPr>
            <w:tcW w:w="1440" w:type="dxa"/>
            <w:vAlign w:val="bottom"/>
          </w:tcPr>
          <w:p>
            <w:pPr>
              <w:spacing w:after="0"/>
              <w:rPr>
                <w:sz w:val="20"/>
                <w:szCs w:val="20"/>
                <w:color w:val="auto"/>
              </w:rPr>
            </w:pPr>
            <w:r>
              <w:rPr>
                <w:rFonts w:ascii="Courier New" w:cs="Courier New" w:eastAsia="Courier New" w:hAnsi="Courier New"/>
                <w:sz w:val="15"/>
                <w:szCs w:val="15"/>
                <w:color w:val="auto"/>
              </w:rPr>
              <w:t>Quarters</w:t>
            </w:r>
          </w:p>
        </w:tc>
        <w:tc>
          <w:tcPr>
            <w:tcW w:w="3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Amount of the Bonus</w:t>
            </w:r>
          </w:p>
        </w:tc>
      </w:tr>
      <w:tr>
        <w:trPr>
          <w:trHeight w:val="173"/>
        </w:trPr>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Objective</w:t>
            </w:r>
          </w:p>
        </w:tc>
        <w:tc>
          <w:tcPr>
            <w:tcW w:w="1440" w:type="dxa"/>
            <w:vAlign w:val="bottom"/>
          </w:tcPr>
          <w:p>
            <w:pPr>
              <w:spacing w:after="0"/>
              <w:rPr>
                <w:sz w:val="20"/>
                <w:szCs w:val="20"/>
                <w:color w:val="auto"/>
              </w:rPr>
            </w:pPr>
            <w:r>
              <w:rPr>
                <w:rFonts w:ascii="Courier New" w:cs="Courier New" w:eastAsia="Courier New" w:hAnsi="Courier New"/>
                <w:sz w:val="15"/>
                <w:szCs w:val="15"/>
                <w:color w:val="auto"/>
              </w:rPr>
              <w:t>was made</w:t>
            </w:r>
          </w:p>
        </w:tc>
        <w:tc>
          <w:tcPr>
            <w:tcW w:w="3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Holdback to be Paid</w:t>
            </w:r>
          </w:p>
        </w:tc>
      </w:tr>
      <w:tr>
        <w:trPr>
          <w:trHeight w:val="255"/>
        </w:trPr>
        <w:tc>
          <w:tcPr>
            <w:tcW w:w="27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9"/>
              </w:rPr>
              <w:t>---------------------------</w:t>
            </w:r>
          </w:p>
        </w:tc>
        <w:tc>
          <w:tcPr>
            <w:tcW w:w="3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5"/>
        </w:trPr>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c>
          <w:tcPr>
            <w:tcW w:w="1440" w:type="dxa"/>
            <w:vAlign w:val="bottom"/>
          </w:tcPr>
          <w:p>
            <w:pPr>
              <w:spacing w:after="0"/>
              <w:rPr>
                <w:sz w:val="23"/>
                <w:szCs w:val="23"/>
                <w:color w:val="auto"/>
              </w:rPr>
            </w:pPr>
          </w:p>
        </w:tc>
        <w:tc>
          <w:tcPr>
            <w:tcW w:w="308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25%</w:t>
            </w:r>
          </w:p>
        </w:tc>
      </w:tr>
      <w:tr>
        <w:trPr>
          <w:trHeight w:val="173"/>
        </w:trPr>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c>
          <w:tcPr>
            <w:tcW w:w="1440" w:type="dxa"/>
            <w:vAlign w:val="bottom"/>
          </w:tcPr>
          <w:p>
            <w:pPr>
              <w:spacing w:after="0"/>
              <w:rPr>
                <w:sz w:val="15"/>
                <w:szCs w:val="15"/>
                <w:color w:val="auto"/>
              </w:rPr>
            </w:pPr>
          </w:p>
        </w:tc>
        <w:tc>
          <w:tcPr>
            <w:tcW w:w="308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50%</w:t>
            </w:r>
          </w:p>
        </w:tc>
      </w:tr>
      <w:tr>
        <w:trPr>
          <w:trHeight w:val="173"/>
        </w:trPr>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w:t>
            </w:r>
          </w:p>
        </w:tc>
        <w:tc>
          <w:tcPr>
            <w:tcW w:w="1440" w:type="dxa"/>
            <w:vAlign w:val="bottom"/>
          </w:tcPr>
          <w:p>
            <w:pPr>
              <w:spacing w:after="0"/>
              <w:rPr>
                <w:sz w:val="15"/>
                <w:szCs w:val="15"/>
                <w:color w:val="auto"/>
              </w:rPr>
            </w:pPr>
          </w:p>
        </w:tc>
        <w:tc>
          <w:tcPr>
            <w:tcW w:w="308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75%</w:t>
            </w:r>
          </w:p>
        </w:tc>
      </w:tr>
      <w:tr>
        <w:trPr>
          <w:trHeight w:val="255"/>
        </w:trPr>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w:t>
            </w:r>
          </w:p>
        </w:tc>
        <w:tc>
          <w:tcPr>
            <w:tcW w:w="1440" w:type="dxa"/>
            <w:vAlign w:val="bottom"/>
          </w:tcPr>
          <w:p>
            <w:pPr>
              <w:spacing w:after="0"/>
              <w:rPr>
                <w:sz w:val="22"/>
                <w:szCs w:val="22"/>
                <w:color w:val="auto"/>
              </w:rPr>
            </w:pPr>
          </w:p>
        </w:tc>
        <w:tc>
          <w:tcPr>
            <w:tcW w:w="308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100%</w:t>
            </w:r>
          </w:p>
        </w:tc>
      </w:tr>
    </w:tbl>
    <w:p>
      <w:pPr>
        <w:spacing w:after="0" w:line="92" w:lineRule="exact"/>
        <w:rPr>
          <w:sz w:val="20"/>
          <w:szCs w:val="20"/>
          <w:color w:val="auto"/>
        </w:rPr>
      </w:pPr>
    </w:p>
    <w:p>
      <w:pPr>
        <w:ind w:left="8" w:right="3199"/>
        <w:spacing w:after="0" w:line="305" w:lineRule="auto"/>
        <w:rPr>
          <w:sz w:val="20"/>
          <w:szCs w:val="20"/>
          <w:color w:val="auto"/>
        </w:rPr>
      </w:pPr>
      <w:r>
        <w:rPr>
          <w:rFonts w:ascii="Courier New" w:cs="Courier New" w:eastAsia="Courier New" w:hAnsi="Courier New"/>
          <w:sz w:val="15"/>
          <w:szCs w:val="15"/>
          <w:color w:val="auto"/>
        </w:rPr>
        <w:t>The attached quarterly bonus formula developed for the Officers Group I of Winnebago Industries provides a 40 percent bonus calculation for a 100 percent achievement of operating profit.</w:t>
      </w:r>
    </w:p>
    <w:p>
      <w:pPr>
        <w:sectPr>
          <w:pgSz w:w="11900" w:h="16913" w:orient="portrait"/>
          <w:cols w:equalWidth="0" w:num="1">
            <w:col w:w="10227"/>
          </w:cols>
          <w:pgMar w:left="232" w:top="287" w:right="1440" w:bottom="0" w:gutter="0" w:footer="0" w:header="0"/>
        </w:sectPr>
      </w:pPr>
    </w:p>
    <w:bookmarkStart w:id="14" w:name="page15"/>
    <w:bookmarkEnd w:id="14"/>
    <w:p>
      <w:pPr>
        <w:ind w:left="8" w:right="3199"/>
        <w:spacing w:after="0" w:line="365" w:lineRule="auto"/>
        <w:rPr>
          <w:sz w:val="20"/>
          <w:szCs w:val="20"/>
          <w:color w:val="auto"/>
        </w:rPr>
      </w:pPr>
      <w:r>
        <w:rPr>
          <w:rFonts w:ascii="Courier New" w:cs="Courier New" w:eastAsia="Courier New" w:hAnsi="Courier New"/>
          <w:sz w:val="15"/>
          <w:szCs w:val="15"/>
          <w:color w:val="auto"/>
        </w:rPr>
        <w:t>A participant who leaves the Company for any reason will forfeit all rights to incentive payments that particular fiscal quarter and fiscal year.</w:t>
      </w:r>
    </w:p>
    <w:p>
      <w:pPr>
        <w:spacing w:after="0" w:line="350"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September 9, 1996</w:t>
      </w:r>
    </w:p>
    <w:p>
      <w:pPr>
        <w:spacing w:after="0" w:line="177" w:lineRule="exact"/>
        <w:rPr>
          <w:sz w:val="20"/>
          <w:szCs w:val="20"/>
          <w:color w:val="auto"/>
        </w:rPr>
      </w:pPr>
    </w:p>
    <w:p>
      <w:pPr>
        <w:jc w:val="center"/>
        <w:ind w:right="2932"/>
        <w:spacing w:after="0"/>
        <w:rPr>
          <w:sz w:val="20"/>
          <w:szCs w:val="20"/>
          <w:color w:val="auto"/>
        </w:rPr>
      </w:pPr>
      <w:r>
        <w:rPr>
          <w:rFonts w:ascii="Courier New" w:cs="Courier New" w:eastAsia="Courier New" w:hAnsi="Courier New"/>
          <w:sz w:val="15"/>
          <w:szCs w:val="15"/>
          <w:color w:val="auto"/>
        </w:rPr>
        <w:t>RV MANAGEMENT INCENTIVE COMPENSATION PLAN</w:t>
      </w:r>
    </w:p>
    <w:p>
      <w:pPr>
        <w:spacing w:after="0" w:line="177" w:lineRule="exact"/>
        <w:rPr>
          <w:sz w:val="20"/>
          <w:szCs w:val="20"/>
          <w:color w:val="auto"/>
        </w:rPr>
      </w:pPr>
    </w:p>
    <w:p>
      <w:pPr>
        <w:jc w:val="center"/>
        <w:ind w:right="2932"/>
        <w:spacing w:after="0"/>
        <w:rPr>
          <w:sz w:val="20"/>
          <w:szCs w:val="20"/>
          <w:color w:val="auto"/>
        </w:rPr>
      </w:pPr>
      <w:r>
        <w:rPr>
          <w:rFonts w:ascii="Courier New" w:cs="Courier New" w:eastAsia="Courier New" w:hAnsi="Courier New"/>
          <w:sz w:val="15"/>
          <w:szCs w:val="15"/>
          <w:color w:val="auto"/>
        </w:rPr>
        <w:t>GROUP III</w:t>
      </w:r>
    </w:p>
    <w:p>
      <w:pPr>
        <w:spacing w:after="0" w:line="31" w:lineRule="exact"/>
        <w:rPr>
          <w:sz w:val="20"/>
          <w:szCs w:val="20"/>
          <w:color w:val="auto"/>
        </w:rPr>
      </w:pPr>
    </w:p>
    <w:p>
      <w:pPr>
        <w:jc w:val="center"/>
        <w:ind w:right="2932"/>
        <w:spacing w:after="0"/>
        <w:rPr>
          <w:sz w:val="20"/>
          <w:szCs w:val="20"/>
          <w:color w:val="auto"/>
        </w:rPr>
      </w:pPr>
      <w:r>
        <w:rPr>
          <w:rFonts w:ascii="Courier New" w:cs="Courier New" w:eastAsia="Courier New" w:hAnsi="Courier New"/>
          <w:sz w:val="15"/>
          <w:szCs w:val="15"/>
          <w:color w:val="auto"/>
        </w:rPr>
        <w:t>FISCAL PERIOD 1996-1997</w:t>
      </w:r>
    </w:p>
    <w:p>
      <w:pPr>
        <w:spacing w:after="0" w:line="149"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WINNEBAGO INDUSTRIES, INC.</w:t>
      </w:r>
    </w:p>
    <w:p>
      <w:pPr>
        <w:spacing w:after="0" w:line="31"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FOREST CITY, IOWA</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PURPOSE</w:t>
      </w:r>
    </w:p>
    <w:p>
      <w:pPr>
        <w:spacing w:after="0" w:line="177" w:lineRule="exact"/>
        <w:rPr>
          <w:sz w:val="20"/>
          <w:szCs w:val="20"/>
          <w:color w:val="auto"/>
        </w:rPr>
      </w:pPr>
    </w:p>
    <w:p>
      <w:pPr>
        <w:ind w:left="8" w:right="3099"/>
        <w:spacing w:after="0" w:line="285" w:lineRule="auto"/>
        <w:rPr>
          <w:sz w:val="20"/>
          <w:szCs w:val="20"/>
          <w:color w:val="auto"/>
        </w:rPr>
      </w:pPr>
      <w:r>
        <w:rPr>
          <w:rFonts w:ascii="Courier New" w:cs="Courier New" w:eastAsia="Courier New" w:hAnsi="Courier New"/>
          <w:sz w:val="15"/>
          <w:szCs w:val="15"/>
          <w:color w:val="auto"/>
        </w:rPr>
        <w:t>The purpose of this plan is to provide greater incentive to employees in managerial positions, who contribute to the success of the Company, by enabling them to participate in that success, and to aid in attracting and retaining employees who will contribute to the progress and profitability of the Company.</w:t>
      </w:r>
    </w:p>
    <w:p>
      <w:pPr>
        <w:spacing w:after="0" w:line="60" w:lineRule="exact"/>
        <w:rPr>
          <w:sz w:val="20"/>
          <w:szCs w:val="20"/>
          <w:color w:val="auto"/>
        </w:rPr>
      </w:pPr>
    </w:p>
    <w:p>
      <w:pPr>
        <w:ind w:left="8" w:right="3019"/>
        <w:spacing w:after="0" w:line="305" w:lineRule="auto"/>
        <w:rPr>
          <w:sz w:val="20"/>
          <w:szCs w:val="20"/>
          <w:color w:val="auto"/>
        </w:rPr>
      </w:pPr>
      <w:r>
        <w:rPr>
          <w:rFonts w:ascii="Courier New" w:cs="Courier New" w:eastAsia="Courier New" w:hAnsi="Courier New"/>
          <w:sz w:val="15"/>
          <w:szCs w:val="15"/>
          <w:color w:val="auto"/>
        </w:rPr>
        <w:t>It is the purpose of this plan to attract, obtain, develop, motivate, and retain capable managerial personnel, stimulate constructive and imaginative thinking, and otherwise contribute to the growth and profits of the corporation</w:t>
      </w:r>
    </w:p>
    <w:p>
      <w:pPr>
        <w:spacing w:after="0" w:line="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ADMINISTRATION</w:t>
      </w:r>
    </w:p>
    <w:p>
      <w:pPr>
        <w:spacing w:after="0" w:line="177" w:lineRule="exact"/>
        <w:rPr>
          <w:sz w:val="20"/>
          <w:szCs w:val="20"/>
          <w:color w:val="auto"/>
        </w:rPr>
      </w:pPr>
    </w:p>
    <w:p>
      <w:pPr>
        <w:ind w:left="8" w:right="3199"/>
        <w:spacing w:after="0" w:line="274" w:lineRule="auto"/>
        <w:rPr>
          <w:sz w:val="20"/>
          <w:szCs w:val="20"/>
          <w:color w:val="auto"/>
        </w:rPr>
      </w:pPr>
      <w:r>
        <w:rPr>
          <w:rFonts w:ascii="Courier New" w:cs="Courier New" w:eastAsia="Courier New" w:hAnsi="Courier New"/>
          <w:sz w:val="15"/>
          <w:szCs w:val="15"/>
          <w:color w:val="auto"/>
        </w:rPr>
        <w:t>The plan prior to each new fiscal year must meet the approval of the Human Resource Committee of the Board of Directors. The Human Resource Committee may establish such rules and regulations as it deems necessary for proper administration of this plan and may amend or revoke any rule or regulation so established.</w:t>
      </w:r>
    </w:p>
    <w:p>
      <w:pPr>
        <w:spacing w:after="0" w:line="7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PARTICIPANTS</w:t>
      </w:r>
    </w:p>
    <w:p>
      <w:pPr>
        <w:spacing w:after="0" w:line="177" w:lineRule="exact"/>
        <w:rPr>
          <w:sz w:val="20"/>
          <w:szCs w:val="20"/>
          <w:color w:val="auto"/>
        </w:rPr>
      </w:pPr>
    </w:p>
    <w:p>
      <w:pPr>
        <w:ind w:left="8" w:right="3199"/>
        <w:spacing w:after="0" w:line="268" w:lineRule="auto"/>
        <w:rPr>
          <w:sz w:val="20"/>
          <w:szCs w:val="20"/>
          <w:color w:val="auto"/>
        </w:rPr>
      </w:pPr>
      <w:r>
        <w:rPr>
          <w:rFonts w:ascii="Courier New" w:cs="Courier New" w:eastAsia="Courier New" w:hAnsi="Courier New"/>
          <w:sz w:val="15"/>
          <w:szCs w:val="15"/>
          <w:color w:val="auto"/>
        </w:rPr>
        <w:t>Recommendation of a participant must be made by the Vice President member that has the responsibility for the specific unit or group which the proposed participant is a member. The Vice President must justify direct dependence of recommended employee's influence, performance and achievements, which could determine the success of that unit or group and employee must be considered a direct link to the success and profitability of the corporation.</w:t>
      </w:r>
    </w:p>
    <w:p>
      <w:pPr>
        <w:spacing w:after="0" w:line="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MINIMUM QUALIFICATIONS REQUIRED OF PARTICIPANTS:</w:t>
      </w:r>
    </w:p>
    <w:p>
      <w:pPr>
        <w:spacing w:after="0" w:line="177" w:lineRule="exact"/>
        <w:rPr>
          <w:sz w:val="20"/>
          <w:szCs w:val="20"/>
          <w:color w:val="auto"/>
        </w:rPr>
      </w:pPr>
    </w:p>
    <w:p>
      <w:pPr>
        <w:jc w:val="both"/>
        <w:ind w:left="628" w:right="3279" w:hanging="628"/>
        <w:spacing w:after="0" w:line="258" w:lineRule="auto"/>
        <w:tabs>
          <w:tab w:leader="none" w:pos="62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must be in the capacity of a manager of a specific unit or group with budget responsibilities and specific responsibilities which significantly can impact the corporation.</w:t>
      </w:r>
    </w:p>
    <w:p>
      <w:pPr>
        <w:jc w:val="both"/>
        <w:ind w:left="628" w:right="3199" w:hanging="628"/>
        <w:spacing w:after="0" w:line="285" w:lineRule="auto"/>
        <w:tabs>
          <w:tab w:leader="none" w:pos="62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must be employed for the entire fiscal year to be eligible for the bonus and in addition, participant must be employed at the time the bonus is paid except as waived by the Human Resource Committee.</w:t>
      </w:r>
    </w:p>
    <w:p>
      <w:pPr>
        <w:spacing w:after="0" w:line="60" w:lineRule="exact"/>
        <w:rPr>
          <w:sz w:val="20"/>
          <w:szCs w:val="20"/>
          <w:color w:val="auto"/>
        </w:rPr>
      </w:pPr>
    </w:p>
    <w:p>
      <w:pPr>
        <w:ind w:left="8" w:right="3019"/>
        <w:spacing w:after="0" w:line="285" w:lineRule="auto"/>
        <w:rPr>
          <w:sz w:val="20"/>
          <w:szCs w:val="20"/>
          <w:color w:val="auto"/>
        </w:rPr>
      </w:pPr>
      <w:r>
        <w:rPr>
          <w:rFonts w:ascii="Courier New" w:cs="Courier New" w:eastAsia="Courier New" w:hAnsi="Courier New"/>
          <w:sz w:val="15"/>
          <w:szCs w:val="15"/>
          <w:color w:val="auto"/>
        </w:rPr>
        <w:t>Appointment of participants to the "Management Incentive Compensation Plan" will be recommended by the President to the Human Resource Committee for approval based on meeting the aforementioned qualifications and upon recommendation of the respective Vice President.</w:t>
      </w:r>
    </w:p>
    <w:p>
      <w:pPr>
        <w:spacing w:after="0" w:line="6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NATURE OF THE PLAN</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incentive award is based on the performance of the CORPORATION.</w:t>
      </w:r>
    </w:p>
    <w:p>
      <w:pPr>
        <w:spacing w:after="0" w:line="177" w:lineRule="exact"/>
        <w:rPr>
          <w:sz w:val="20"/>
          <w:szCs w:val="20"/>
          <w:color w:val="auto"/>
        </w:rPr>
      </w:pPr>
    </w:p>
    <w:p>
      <w:pPr>
        <w:ind w:left="8" w:right="3199"/>
        <w:spacing w:after="0" w:line="285" w:lineRule="auto"/>
        <w:rPr>
          <w:sz w:val="20"/>
          <w:szCs w:val="20"/>
          <w:color w:val="auto"/>
        </w:rPr>
      </w:pPr>
      <w:r>
        <w:rPr>
          <w:rFonts w:ascii="Courier New" w:cs="Courier New" w:eastAsia="Courier New" w:hAnsi="Courier New"/>
          <w:sz w:val="15"/>
          <w:szCs w:val="15"/>
          <w:color w:val="auto"/>
        </w:rPr>
        <w:t>This is a bonus based upon the Company's attainment of a predetermined profit goal for the fiscal quarter. The profit goal is to be recommended by the Human Resource Committee and approved by the Board of Directors each quarter at the beginning of the fiscal quarter.</w:t>
      </w:r>
    </w:p>
    <w:p>
      <w:pPr>
        <w:spacing w:after="0" w:line="60" w:lineRule="exact"/>
        <w:rPr>
          <w:sz w:val="20"/>
          <w:szCs w:val="20"/>
          <w:color w:val="auto"/>
        </w:rPr>
      </w:pPr>
    </w:p>
    <w:p>
      <w:pPr>
        <w:ind w:left="8" w:right="3019"/>
        <w:spacing w:after="0" w:line="264" w:lineRule="auto"/>
        <w:rPr>
          <w:sz w:val="20"/>
          <w:szCs w:val="20"/>
          <w:color w:val="auto"/>
        </w:rPr>
      </w:pPr>
      <w:r>
        <w:rPr>
          <w:rFonts w:ascii="Courier New" w:cs="Courier New" w:eastAsia="Courier New" w:hAnsi="Courier New"/>
          <w:sz w:val="15"/>
          <w:szCs w:val="15"/>
          <w:color w:val="auto"/>
        </w:rPr>
        <w:t>The profit goal, for purposes of this plan, will be the "Incentive Compensation Profit" which shall mean the combined gross income from the operation of the Company less the combined expenses, deductions and credits of the Company attributable to such operations. In computing the incentive compensation profit, no deduction shall be taken or allowance made for federal or state income taxes, or any expenses associated with retirement plans or incentive compensation plans.</w:t>
      </w:r>
    </w:p>
    <w:p>
      <w:pPr>
        <w:spacing w:after="0" w:line="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METHOD OF PAYMENT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quarterly amount of a participant's incentive compensation for the quarter</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shall be the percentage of the total amount of base salary received by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individual the fiscal quarter when he was a participant in the plan. 60% of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quarterly amount of the earned bonus will be paid within 45 days after the close</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the fiscal quarter and the remainder of the bonus due will be paid after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books have been audited at the end of the fiscal year providing the Company has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made its objective in each quarter.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Bonuses will be paid as follows:</w:t>
      </w:r>
    </w:p>
    <w:p>
      <w:pPr>
        <w:spacing w:after="0" w:line="149" w:lineRule="exact"/>
        <w:rPr>
          <w:sz w:val="20"/>
          <w:szCs w:val="20"/>
          <w:color w:val="auto"/>
        </w:rPr>
      </w:pPr>
    </w:p>
    <w:tbl>
      <w:tblPr>
        <w:tblLayout w:type="fixed"/>
        <w:tblInd w:w="808" w:type="dxa"/>
        <w:tblCellMar>
          <w:top w:w="0" w:type="dxa"/>
          <w:left w:w="0" w:type="dxa"/>
          <w:bottom w:w="0" w:type="dxa"/>
          <w:right w:w="0" w:type="dxa"/>
        </w:tblCellMar>
      </w:tblPr>
      <w:tr>
        <w:trPr>
          <w:trHeight w:val="173"/>
        </w:trPr>
        <w:tc>
          <w:tcPr>
            <w:tcW w:w="298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NUMBER OF QUARTERS</w:t>
            </w:r>
          </w:p>
        </w:tc>
        <w:tc>
          <w:tcPr>
            <w:tcW w:w="31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AMOUNT OF THE BONUS</w:t>
            </w:r>
          </w:p>
        </w:tc>
      </w:tr>
      <w:tr>
        <w:trPr>
          <w:trHeight w:val="173"/>
        </w:trPr>
        <w:tc>
          <w:tcPr>
            <w:tcW w:w="298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OBJECTIVE WAS MADE</w:t>
            </w:r>
          </w:p>
        </w:tc>
        <w:tc>
          <w:tcPr>
            <w:tcW w:w="31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HOLDBACK TO BE PAID</w:t>
            </w:r>
          </w:p>
        </w:tc>
      </w:tr>
      <w:tr>
        <w:trPr>
          <w:trHeight w:val="255"/>
        </w:trPr>
        <w:tc>
          <w:tcPr>
            <w:tcW w:w="298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99"/>
              </w:rPr>
              <w:t>--------------------------</w:t>
            </w:r>
          </w:p>
        </w:tc>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5"/>
        </w:trPr>
        <w:tc>
          <w:tcPr>
            <w:tcW w:w="2980" w:type="dxa"/>
            <w:vAlign w:val="bottom"/>
          </w:tcPr>
          <w:p>
            <w:pPr>
              <w:jc w:val="right"/>
              <w:ind w:right="1725"/>
              <w:spacing w:after="0"/>
              <w:rPr>
                <w:sz w:val="20"/>
                <w:szCs w:val="20"/>
                <w:color w:val="auto"/>
              </w:rPr>
            </w:pPr>
            <w:r>
              <w:rPr>
                <w:rFonts w:ascii="Courier New" w:cs="Courier New" w:eastAsia="Courier New" w:hAnsi="Courier New"/>
                <w:sz w:val="15"/>
                <w:szCs w:val="15"/>
                <w:color w:val="auto"/>
              </w:rPr>
              <w:t>1</w:t>
            </w:r>
          </w:p>
        </w:tc>
        <w:tc>
          <w:tcPr>
            <w:tcW w:w="316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25%</w:t>
            </w:r>
          </w:p>
        </w:tc>
      </w:tr>
      <w:tr>
        <w:trPr>
          <w:trHeight w:val="173"/>
        </w:trPr>
        <w:tc>
          <w:tcPr>
            <w:tcW w:w="2980" w:type="dxa"/>
            <w:vAlign w:val="bottom"/>
          </w:tcPr>
          <w:p>
            <w:pPr>
              <w:jc w:val="right"/>
              <w:ind w:right="1725"/>
              <w:spacing w:after="0"/>
              <w:rPr>
                <w:sz w:val="20"/>
                <w:szCs w:val="20"/>
                <w:color w:val="auto"/>
              </w:rPr>
            </w:pPr>
            <w:r>
              <w:rPr>
                <w:rFonts w:ascii="Courier New" w:cs="Courier New" w:eastAsia="Courier New" w:hAnsi="Courier New"/>
                <w:sz w:val="15"/>
                <w:szCs w:val="15"/>
                <w:color w:val="auto"/>
              </w:rPr>
              <w:t>2</w:t>
            </w:r>
          </w:p>
        </w:tc>
        <w:tc>
          <w:tcPr>
            <w:tcW w:w="316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50%</w:t>
            </w:r>
          </w:p>
        </w:tc>
      </w:tr>
      <w:tr>
        <w:trPr>
          <w:trHeight w:val="173"/>
        </w:trPr>
        <w:tc>
          <w:tcPr>
            <w:tcW w:w="2980" w:type="dxa"/>
            <w:vAlign w:val="bottom"/>
          </w:tcPr>
          <w:p>
            <w:pPr>
              <w:jc w:val="right"/>
              <w:ind w:right="1725"/>
              <w:spacing w:after="0"/>
              <w:rPr>
                <w:sz w:val="20"/>
                <w:szCs w:val="20"/>
                <w:color w:val="auto"/>
              </w:rPr>
            </w:pPr>
            <w:r>
              <w:rPr>
                <w:rFonts w:ascii="Courier New" w:cs="Courier New" w:eastAsia="Courier New" w:hAnsi="Courier New"/>
                <w:sz w:val="15"/>
                <w:szCs w:val="15"/>
                <w:color w:val="auto"/>
              </w:rPr>
              <w:t>3</w:t>
            </w:r>
          </w:p>
        </w:tc>
        <w:tc>
          <w:tcPr>
            <w:tcW w:w="316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75%</w:t>
            </w:r>
          </w:p>
        </w:tc>
      </w:tr>
      <w:tr>
        <w:trPr>
          <w:trHeight w:val="255"/>
        </w:trPr>
        <w:tc>
          <w:tcPr>
            <w:tcW w:w="2980" w:type="dxa"/>
            <w:vAlign w:val="bottom"/>
          </w:tcPr>
          <w:p>
            <w:pPr>
              <w:jc w:val="right"/>
              <w:ind w:right="1725"/>
              <w:spacing w:after="0"/>
              <w:rPr>
                <w:sz w:val="20"/>
                <w:szCs w:val="20"/>
                <w:color w:val="auto"/>
              </w:rPr>
            </w:pPr>
            <w:r>
              <w:rPr>
                <w:rFonts w:ascii="Courier New" w:cs="Courier New" w:eastAsia="Courier New" w:hAnsi="Courier New"/>
                <w:sz w:val="15"/>
                <w:szCs w:val="15"/>
                <w:color w:val="auto"/>
              </w:rPr>
              <w:t>4</w:t>
            </w:r>
          </w:p>
        </w:tc>
        <w:tc>
          <w:tcPr>
            <w:tcW w:w="316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227"/>
          </w:cols>
          <w:pgMar w:left="232" w:top="287" w:right="1440" w:bottom="0" w:gutter="0" w:footer="0" w:header="0"/>
        </w:sectPr>
      </w:pPr>
    </w:p>
    <w:bookmarkStart w:id="15" w:name="page16"/>
    <w:bookmarkEnd w:id="15"/>
    <w:p>
      <w:pPr>
        <w:ind w:right="3199"/>
        <w:spacing w:after="0" w:line="365" w:lineRule="auto"/>
        <w:rPr>
          <w:sz w:val="20"/>
          <w:szCs w:val="20"/>
          <w:color w:val="auto"/>
        </w:rPr>
      </w:pPr>
      <w:r>
        <w:rPr>
          <w:rFonts w:ascii="Courier New" w:cs="Courier New" w:eastAsia="Courier New" w:hAnsi="Courier New"/>
          <w:sz w:val="15"/>
          <w:szCs w:val="15"/>
          <w:color w:val="auto"/>
        </w:rPr>
        <w:t>A participant who leaves the Company for any reason will forfeit all rights to incentive payments that particular fiscal quarter and fiscal year.</w:t>
      </w:r>
    </w:p>
    <w:p>
      <w:pPr>
        <w:spacing w:after="0" w:line="3" w:lineRule="exact"/>
        <w:rPr>
          <w:sz w:val="20"/>
          <w:szCs w:val="20"/>
          <w:color w:val="auto"/>
        </w:rPr>
      </w:pPr>
    </w:p>
    <w:p>
      <w:pPr>
        <w:ind w:right="3099"/>
        <w:spacing w:after="0" w:line="285" w:lineRule="auto"/>
        <w:rPr>
          <w:sz w:val="20"/>
          <w:szCs w:val="20"/>
          <w:color w:val="auto"/>
        </w:rPr>
      </w:pPr>
      <w:r>
        <w:rPr>
          <w:rFonts w:ascii="Courier New" w:cs="Courier New" w:eastAsia="Courier New" w:hAnsi="Courier New"/>
          <w:sz w:val="15"/>
          <w:szCs w:val="15"/>
          <w:color w:val="auto"/>
        </w:rPr>
        <w:t>Incentive awards are determined in proportion to the actual operating profit generated for the quarter in relation to the profit goal that was set. If the operating profit achieved is less than 80 percent of goal set, no bonus is paid and the maximum bonus paid at 120 percent of the profit goal.</w:t>
      </w:r>
    </w:p>
    <w:p>
      <w:pPr>
        <w:spacing w:after="0" w:line="60" w:lineRule="exact"/>
        <w:rPr>
          <w:sz w:val="20"/>
          <w:szCs w:val="20"/>
          <w:color w:val="auto"/>
        </w:rPr>
      </w:pPr>
    </w:p>
    <w:p>
      <w:pPr>
        <w:jc w:val="both"/>
        <w:ind w:right="3199"/>
        <w:spacing w:after="0" w:line="305" w:lineRule="auto"/>
        <w:rPr>
          <w:sz w:val="20"/>
          <w:szCs w:val="20"/>
          <w:color w:val="auto"/>
        </w:rPr>
      </w:pPr>
      <w:r>
        <w:rPr>
          <w:rFonts w:ascii="Courier New" w:cs="Courier New" w:eastAsia="Courier New" w:hAnsi="Courier New"/>
          <w:sz w:val="15"/>
          <w:szCs w:val="15"/>
          <w:color w:val="auto"/>
        </w:rPr>
        <w:t>The attached quarterly bonus formula developed for the Management Group III of Winnebago Industries provides a 20 percent bonus calculation for a 100 percent achievement of operating profit.</w:t>
      </w:r>
    </w:p>
    <w:p>
      <w:pPr>
        <w:sectPr>
          <w:pgSz w:w="11900" w:h="16838" w:orient="portrait"/>
          <w:cols w:equalWidth="0" w:num="1">
            <w:col w:w="10219"/>
          </w:cols>
          <w:pgMar w:left="240" w:top="113" w:right="1440" w:bottom="1440" w:gutter="0" w:footer="0" w:header="0"/>
        </w:sectPr>
      </w:pPr>
    </w:p>
    <w:bookmarkStart w:id="16" w:name="page17"/>
    <w:bookmarkEnd w:id="16"/>
    <w:p>
      <w:pPr>
        <w:spacing w:after="0" w:line="41" w:lineRule="exact"/>
        <w:rPr>
          <w:sz w:val="20"/>
          <w:szCs w:val="20"/>
          <w:color w:val="auto"/>
        </w:rPr>
      </w:pPr>
    </w:p>
    <w:p>
      <w:pPr>
        <w:ind w:left="2528"/>
        <w:spacing w:after="0"/>
        <w:rPr>
          <w:sz w:val="20"/>
          <w:szCs w:val="20"/>
          <w:color w:val="auto"/>
        </w:rPr>
      </w:pPr>
      <w:r>
        <w:rPr>
          <w:rFonts w:ascii="Courier New" w:cs="Courier New" w:eastAsia="Courier New" w:hAnsi="Courier New"/>
          <w:sz w:val="15"/>
          <w:szCs w:val="15"/>
          <w:color w:val="auto"/>
        </w:rPr>
        <w:t>SUMMARY PLAN DESCRIPTION</w:t>
      </w:r>
    </w:p>
    <w:p>
      <w:pPr>
        <w:spacing w:after="0" w:line="350"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FOR THE</w:t>
      </w:r>
    </w:p>
    <w:p>
      <w:pPr>
        <w:spacing w:after="0" w:line="350"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WINNEBAGO INDUSTRIES, INC.</w:t>
      </w:r>
    </w:p>
    <w:p>
      <w:pPr>
        <w:spacing w:after="0" w:line="31"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EMPLOYEES' STOCK BONUS PLAN</w:t>
      </w:r>
    </w:p>
    <w:p>
      <w:pPr>
        <w:spacing w:after="0" w:line="200" w:lineRule="exact"/>
        <w:rPr>
          <w:sz w:val="20"/>
          <w:szCs w:val="20"/>
          <w:color w:val="auto"/>
        </w:rPr>
      </w:pPr>
    </w:p>
    <w:p>
      <w:pPr>
        <w:spacing w:after="0" w:line="296"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MAY, 1993</w:t>
      </w:r>
    </w:p>
    <w:p>
      <w:pPr>
        <w:spacing w:after="0" w:line="200" w:lineRule="exact"/>
        <w:rPr>
          <w:sz w:val="20"/>
          <w:szCs w:val="20"/>
          <w:color w:val="auto"/>
        </w:rPr>
      </w:pPr>
    </w:p>
    <w:p>
      <w:pPr>
        <w:spacing w:after="0" w:line="324" w:lineRule="exact"/>
        <w:rPr>
          <w:sz w:val="20"/>
          <w:szCs w:val="20"/>
          <w:color w:val="auto"/>
        </w:rPr>
      </w:pPr>
    </w:p>
    <w:p>
      <w:pPr>
        <w:ind w:left="2528"/>
        <w:spacing w:after="0"/>
        <w:rPr>
          <w:sz w:val="20"/>
          <w:szCs w:val="20"/>
          <w:color w:val="auto"/>
        </w:rPr>
      </w:pPr>
      <w:r>
        <w:rPr>
          <w:rFonts w:ascii="Courier New" w:cs="Courier New" w:eastAsia="Courier New" w:hAnsi="Courier New"/>
          <w:sz w:val="15"/>
          <w:szCs w:val="15"/>
          <w:color w:val="auto"/>
        </w:rPr>
        <w:t>PARTICIPATING EMPLOYERS:</w:t>
      </w:r>
    </w:p>
    <w:p>
      <w:pPr>
        <w:spacing w:after="0" w:line="350"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WINNEBAGO INDUSTRIES, INC.</w:t>
      </w:r>
    </w:p>
    <w:p>
      <w:pPr>
        <w:spacing w:after="0" w:line="31" w:lineRule="exact"/>
        <w:rPr>
          <w:sz w:val="20"/>
          <w:szCs w:val="20"/>
          <w:color w:val="auto"/>
        </w:rPr>
      </w:pPr>
    </w:p>
    <w:p>
      <w:pPr>
        <w:jc w:val="center"/>
        <w:ind w:right="2912"/>
        <w:spacing w:after="0"/>
        <w:rPr>
          <w:sz w:val="20"/>
          <w:szCs w:val="20"/>
          <w:color w:val="auto"/>
        </w:rPr>
      </w:pPr>
      <w:r>
        <w:rPr>
          <w:rFonts w:ascii="Courier New" w:cs="Courier New" w:eastAsia="Courier New" w:hAnsi="Courier New"/>
          <w:sz w:val="15"/>
          <w:szCs w:val="15"/>
          <w:color w:val="auto"/>
        </w:rPr>
        <w:t>CYCLE-SAT, INC.</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NORTH IOWA ELECTRONICS, INC.</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WINNEBAGO REALTY CORP.</w:t>
      </w:r>
    </w:p>
    <w:p>
      <w:pPr>
        <w:spacing w:after="0" w:line="32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Winnebago R.V., Inc.</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Winnebago Acceptance Corp.</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Winnebago Products, Inc.</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Winnebago International Corp.</w:t>
      </w:r>
    </w:p>
    <w:p>
      <w:pPr>
        <w:spacing w:after="0" w:line="200" w:lineRule="exact"/>
        <w:rPr>
          <w:sz w:val="20"/>
          <w:szCs w:val="20"/>
          <w:color w:val="auto"/>
        </w:rPr>
      </w:pPr>
    </w:p>
    <w:p>
      <w:pPr>
        <w:spacing w:after="0" w:line="296"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TABLE OF CONTENTS</w:t>
      </w:r>
    </w:p>
    <w:p>
      <w:pPr>
        <w:spacing w:after="0" w:line="350" w:lineRule="exact"/>
        <w:rPr>
          <w:sz w:val="20"/>
          <w:szCs w:val="20"/>
          <w:color w:val="auto"/>
        </w:rPr>
      </w:pPr>
    </w:p>
    <w:p>
      <w:pPr>
        <w:ind w:left="8"/>
        <w:spacing w:after="0"/>
        <w:tabs>
          <w:tab w:leader="none" w:pos="787" w:val="left"/>
          <w:tab w:leader="dot" w:pos="7007"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1</w:t>
      </w:r>
    </w:p>
    <w:p>
      <w:pPr>
        <w:spacing w:after="0" w:line="177" w:lineRule="exact"/>
        <w:rPr>
          <w:sz w:val="20"/>
          <w:szCs w:val="20"/>
          <w:color w:val="auto"/>
        </w:rPr>
      </w:pPr>
    </w:p>
    <w:p>
      <w:pPr>
        <w:ind w:left="8"/>
        <w:spacing w:after="0"/>
        <w:tabs>
          <w:tab w:leader="none" w:pos="787" w:val="left"/>
          <w:tab w:leader="dot" w:pos="7007"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Identification of Plan</w:t>
      </w:r>
      <w:r>
        <w:rPr>
          <w:sz w:val="20"/>
          <w:szCs w:val="20"/>
          <w:color w:val="auto"/>
        </w:rPr>
        <w:tab/>
      </w:r>
      <w:r>
        <w:rPr>
          <w:rFonts w:ascii="Courier New" w:cs="Courier New" w:eastAsia="Courier New" w:hAnsi="Courier New"/>
          <w:sz w:val="15"/>
          <w:szCs w:val="15"/>
          <w:color w:val="auto"/>
        </w:rPr>
        <w:t>1</w:t>
      </w:r>
    </w:p>
    <w:p>
      <w:pPr>
        <w:spacing w:after="0" w:line="177" w:lineRule="exact"/>
        <w:rPr>
          <w:sz w:val="20"/>
          <w:szCs w:val="20"/>
          <w:color w:val="auto"/>
        </w:rPr>
      </w:pPr>
    </w:p>
    <w:p>
      <w:pPr>
        <w:ind w:left="8"/>
        <w:spacing w:after="0"/>
        <w:tabs>
          <w:tab w:leader="none" w:pos="787" w:val="left"/>
          <w:tab w:leader="dot" w:pos="7007" w:val="left"/>
        </w:tabs>
        <w:rPr>
          <w:sz w:val="20"/>
          <w:szCs w:val="20"/>
          <w:color w:val="auto"/>
        </w:rPr>
      </w:pP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5"/>
          <w:szCs w:val="15"/>
          <w:color w:val="auto"/>
        </w:rPr>
        <w:t>Type of Plan</w:t>
      </w:r>
      <w:r>
        <w:rPr>
          <w:sz w:val="20"/>
          <w:szCs w:val="20"/>
          <w:color w:val="auto"/>
        </w:rPr>
        <w:tab/>
      </w:r>
      <w:r>
        <w:rPr>
          <w:rFonts w:ascii="Courier New" w:cs="Courier New" w:eastAsia="Courier New" w:hAnsi="Courier New"/>
          <w:sz w:val="15"/>
          <w:szCs w:val="15"/>
          <w:color w:val="auto"/>
        </w:rPr>
        <w:t>1</w:t>
      </w:r>
    </w:p>
    <w:p>
      <w:pPr>
        <w:spacing w:after="0" w:line="177" w:lineRule="exact"/>
        <w:rPr>
          <w:sz w:val="20"/>
          <w:szCs w:val="20"/>
          <w:color w:val="auto"/>
        </w:rPr>
      </w:pPr>
    </w:p>
    <w:p>
      <w:pPr>
        <w:ind w:left="8"/>
        <w:spacing w:after="0"/>
        <w:tabs>
          <w:tab w:leader="none" w:pos="787" w:val="left"/>
          <w:tab w:leader="dot" w:pos="7007" w:val="left"/>
        </w:tabs>
        <w:rPr>
          <w:sz w:val="20"/>
          <w:szCs w:val="20"/>
          <w:color w:val="auto"/>
        </w:rPr>
      </w:pP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Plan Administrator</w:t>
      </w:r>
      <w:r>
        <w:rPr>
          <w:sz w:val="20"/>
          <w:szCs w:val="20"/>
          <w:color w:val="auto"/>
        </w:rPr>
        <w:tab/>
      </w:r>
      <w:r>
        <w:rPr>
          <w:rFonts w:ascii="Courier New" w:cs="Courier New" w:eastAsia="Courier New" w:hAnsi="Courier New"/>
          <w:sz w:val="15"/>
          <w:szCs w:val="15"/>
          <w:color w:val="auto"/>
        </w:rPr>
        <w:t>1</w:t>
      </w:r>
    </w:p>
    <w:p>
      <w:pPr>
        <w:spacing w:after="0" w:line="177" w:lineRule="exact"/>
        <w:rPr>
          <w:sz w:val="20"/>
          <w:szCs w:val="20"/>
          <w:color w:val="auto"/>
        </w:rPr>
      </w:pPr>
    </w:p>
    <w:p>
      <w:pPr>
        <w:ind w:left="8"/>
        <w:spacing w:after="0"/>
        <w:tabs>
          <w:tab w:leader="none" w:pos="787" w:val="left"/>
          <w:tab w:leader="dot" w:pos="7007" w:val="left"/>
        </w:tabs>
        <w:rPr>
          <w:sz w:val="20"/>
          <w:szCs w:val="20"/>
          <w:color w:val="auto"/>
        </w:rPr>
      </w:pP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Trustee/Trust Fund</w:t>
      </w:r>
      <w:r>
        <w:rPr>
          <w:sz w:val="20"/>
          <w:szCs w:val="20"/>
          <w:color w:val="auto"/>
        </w:rPr>
        <w:tab/>
      </w:r>
      <w:r>
        <w:rPr>
          <w:rFonts w:ascii="Courier New" w:cs="Courier New" w:eastAsia="Courier New" w:hAnsi="Courier New"/>
          <w:sz w:val="15"/>
          <w:szCs w:val="15"/>
          <w:color w:val="auto"/>
        </w:rPr>
        <w:t>2</w:t>
      </w:r>
    </w:p>
    <w:p>
      <w:pPr>
        <w:spacing w:after="0" w:line="177" w:lineRule="exact"/>
        <w:rPr>
          <w:sz w:val="20"/>
          <w:szCs w:val="20"/>
          <w:color w:val="auto"/>
        </w:rPr>
      </w:pPr>
    </w:p>
    <w:p>
      <w:pPr>
        <w:ind w:left="8"/>
        <w:spacing w:after="0"/>
        <w:tabs>
          <w:tab w:leader="none" w:pos="787" w:val="left"/>
          <w:tab w:leader="dot" w:pos="7007" w:val="left"/>
        </w:tabs>
        <w:rPr>
          <w:sz w:val="20"/>
          <w:szCs w:val="20"/>
          <w:color w:val="auto"/>
        </w:rPr>
      </w:pP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5"/>
          <w:szCs w:val="15"/>
          <w:color w:val="auto"/>
        </w:rPr>
        <w:t>Hours of Service</w:t>
      </w:r>
      <w:r>
        <w:rPr>
          <w:sz w:val="20"/>
          <w:szCs w:val="20"/>
          <w:color w:val="auto"/>
        </w:rPr>
        <w:tab/>
      </w:r>
      <w:r>
        <w:rPr>
          <w:rFonts w:ascii="Courier New" w:cs="Courier New" w:eastAsia="Courier New" w:hAnsi="Courier New"/>
          <w:sz w:val="15"/>
          <w:szCs w:val="15"/>
          <w:color w:val="auto"/>
        </w:rPr>
        <w:t>2</w:t>
      </w:r>
    </w:p>
    <w:p>
      <w:pPr>
        <w:spacing w:after="0" w:line="177" w:lineRule="exact"/>
        <w:rPr>
          <w:sz w:val="20"/>
          <w:szCs w:val="20"/>
          <w:color w:val="auto"/>
        </w:rPr>
      </w:pPr>
    </w:p>
    <w:p>
      <w:pPr>
        <w:ind w:left="8"/>
        <w:spacing w:after="0"/>
        <w:tabs>
          <w:tab w:leader="none" w:pos="787" w:val="left"/>
          <w:tab w:leader="dot" w:pos="7007" w:val="left"/>
        </w:tabs>
        <w:rPr>
          <w:sz w:val="20"/>
          <w:szCs w:val="20"/>
          <w:color w:val="auto"/>
        </w:rPr>
      </w:pPr>
      <w:r>
        <w:rPr>
          <w:rFonts w:ascii="Courier New" w:cs="Courier New" w:eastAsia="Courier New" w:hAnsi="Courier New"/>
          <w:sz w:val="15"/>
          <w:szCs w:val="15"/>
          <w:color w:val="auto"/>
        </w:rPr>
        <w:t>(7)</w:t>
      </w:r>
      <w:r>
        <w:rPr>
          <w:sz w:val="20"/>
          <w:szCs w:val="20"/>
          <w:color w:val="auto"/>
        </w:rPr>
        <w:tab/>
      </w:r>
      <w:r>
        <w:rPr>
          <w:rFonts w:ascii="Courier New" w:cs="Courier New" w:eastAsia="Courier New" w:hAnsi="Courier New"/>
          <w:sz w:val="15"/>
          <w:szCs w:val="15"/>
          <w:color w:val="auto"/>
        </w:rPr>
        <w:t>Eligibility to Participate</w:t>
      </w:r>
      <w:r>
        <w:rPr>
          <w:sz w:val="20"/>
          <w:szCs w:val="20"/>
          <w:color w:val="auto"/>
        </w:rPr>
        <w:tab/>
      </w:r>
      <w:r>
        <w:rPr>
          <w:rFonts w:ascii="Courier New" w:cs="Courier New" w:eastAsia="Courier New" w:hAnsi="Courier New"/>
          <w:sz w:val="15"/>
          <w:szCs w:val="15"/>
          <w:color w:val="auto"/>
        </w:rPr>
        <w:t>3</w:t>
      </w:r>
    </w:p>
    <w:p>
      <w:pPr>
        <w:spacing w:after="0" w:line="177" w:lineRule="exact"/>
        <w:rPr>
          <w:sz w:val="20"/>
          <w:szCs w:val="20"/>
          <w:color w:val="auto"/>
        </w:rPr>
      </w:pPr>
    </w:p>
    <w:p>
      <w:pPr>
        <w:ind w:left="8"/>
        <w:spacing w:after="0"/>
        <w:tabs>
          <w:tab w:leader="none" w:pos="787" w:val="left"/>
          <w:tab w:leader="dot" w:pos="7007" w:val="left"/>
        </w:tabs>
        <w:rPr>
          <w:sz w:val="20"/>
          <w:szCs w:val="20"/>
          <w:color w:val="auto"/>
        </w:rPr>
      </w:pPr>
      <w:r>
        <w:rPr>
          <w:rFonts w:ascii="Courier New" w:cs="Courier New" w:eastAsia="Courier New" w:hAnsi="Courier New"/>
          <w:sz w:val="15"/>
          <w:szCs w:val="15"/>
          <w:color w:val="auto"/>
        </w:rPr>
        <w:t>(8)</w:t>
      </w:r>
      <w:r>
        <w:rPr>
          <w:sz w:val="20"/>
          <w:szCs w:val="20"/>
          <w:color w:val="auto"/>
        </w:rPr>
        <w:tab/>
      </w:r>
      <w:r>
        <w:rPr>
          <w:rFonts w:ascii="Courier New" w:cs="Courier New" w:eastAsia="Courier New" w:hAnsi="Courier New"/>
          <w:sz w:val="15"/>
          <w:szCs w:val="15"/>
          <w:color w:val="auto"/>
        </w:rPr>
        <w:t>Employer's Contributions</w:t>
      </w:r>
      <w:r>
        <w:rPr>
          <w:sz w:val="20"/>
          <w:szCs w:val="20"/>
          <w:color w:val="auto"/>
        </w:rPr>
        <w:tab/>
      </w:r>
      <w:r>
        <w:rPr>
          <w:rFonts w:ascii="Courier New" w:cs="Courier New" w:eastAsia="Courier New" w:hAnsi="Courier New"/>
          <w:sz w:val="15"/>
          <w:szCs w:val="15"/>
          <w:color w:val="auto"/>
        </w:rPr>
        <w:t>3</w:t>
      </w:r>
    </w:p>
    <w:p>
      <w:pPr>
        <w:spacing w:after="0" w:line="177" w:lineRule="exact"/>
        <w:rPr>
          <w:sz w:val="20"/>
          <w:szCs w:val="20"/>
          <w:color w:val="auto"/>
        </w:rPr>
      </w:pPr>
    </w:p>
    <w:p>
      <w:pPr>
        <w:ind w:left="8"/>
        <w:spacing w:after="0"/>
        <w:tabs>
          <w:tab w:leader="none" w:pos="787" w:val="left"/>
          <w:tab w:leader="dot" w:pos="7007" w:val="left"/>
        </w:tabs>
        <w:rPr>
          <w:sz w:val="20"/>
          <w:szCs w:val="20"/>
          <w:color w:val="auto"/>
        </w:rPr>
      </w:pPr>
      <w:r>
        <w:rPr>
          <w:rFonts w:ascii="Courier New" w:cs="Courier New" w:eastAsia="Courier New" w:hAnsi="Courier New"/>
          <w:sz w:val="15"/>
          <w:szCs w:val="15"/>
          <w:color w:val="auto"/>
        </w:rPr>
        <w:t>(9)</w:t>
      </w:r>
      <w:r>
        <w:rPr>
          <w:sz w:val="20"/>
          <w:szCs w:val="20"/>
          <w:color w:val="auto"/>
        </w:rPr>
        <w:tab/>
      </w:r>
      <w:r>
        <w:rPr>
          <w:rFonts w:ascii="Courier New" w:cs="Courier New" w:eastAsia="Courier New" w:hAnsi="Courier New"/>
          <w:sz w:val="15"/>
          <w:szCs w:val="15"/>
          <w:color w:val="auto"/>
        </w:rPr>
        <w:t>Employee Contributions</w:t>
      </w:r>
      <w:r>
        <w:rPr>
          <w:sz w:val="20"/>
          <w:szCs w:val="20"/>
          <w:color w:val="auto"/>
        </w:rPr>
        <w:tab/>
      </w:r>
      <w:r>
        <w:rPr>
          <w:rFonts w:ascii="Courier New" w:cs="Courier New" w:eastAsia="Courier New" w:hAnsi="Courier New"/>
          <w:sz w:val="15"/>
          <w:szCs w:val="15"/>
          <w:color w:val="auto"/>
        </w:rPr>
        <w:t>4</w:t>
      </w:r>
    </w:p>
    <w:p>
      <w:pPr>
        <w:spacing w:after="0" w:line="177" w:lineRule="exact"/>
        <w:rPr>
          <w:sz w:val="20"/>
          <w:szCs w:val="20"/>
          <w:color w:val="auto"/>
        </w:rPr>
      </w:pPr>
    </w:p>
    <w:p>
      <w:pPr>
        <w:ind w:left="8"/>
        <w:spacing w:after="0"/>
        <w:tabs>
          <w:tab w:leader="none" w:pos="787" w:val="left"/>
          <w:tab w:leader="dot" w:pos="7007"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Vesting in Employer Contributions</w:t>
      </w:r>
      <w:r>
        <w:rPr>
          <w:sz w:val="20"/>
          <w:szCs w:val="20"/>
          <w:color w:val="auto"/>
        </w:rPr>
        <w:tab/>
      </w:r>
      <w:r>
        <w:rPr>
          <w:rFonts w:ascii="Courier New" w:cs="Courier New" w:eastAsia="Courier New" w:hAnsi="Courier New"/>
          <w:sz w:val="15"/>
          <w:szCs w:val="15"/>
          <w:color w:val="auto"/>
        </w:rPr>
        <w:t>4</w:t>
      </w:r>
    </w:p>
    <w:p>
      <w:pPr>
        <w:spacing w:after="0" w:line="177" w:lineRule="exact"/>
        <w:rPr>
          <w:sz w:val="20"/>
          <w:szCs w:val="20"/>
          <w:color w:val="auto"/>
        </w:rPr>
      </w:pPr>
    </w:p>
    <w:p>
      <w:pPr>
        <w:ind w:left="8"/>
        <w:spacing w:after="0"/>
        <w:tabs>
          <w:tab w:leader="none" w:pos="787" w:val="left"/>
          <w:tab w:leader="dot" w:pos="7007"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Payments of Benefits After Termination of Employment</w:t>
      </w:r>
      <w:r>
        <w:rPr>
          <w:sz w:val="20"/>
          <w:szCs w:val="20"/>
          <w:color w:val="auto"/>
        </w:rPr>
        <w:tab/>
      </w:r>
      <w:r>
        <w:rPr>
          <w:rFonts w:ascii="Courier New" w:cs="Courier New" w:eastAsia="Courier New" w:hAnsi="Courier New"/>
          <w:sz w:val="15"/>
          <w:szCs w:val="15"/>
          <w:color w:val="auto"/>
        </w:rPr>
        <w:t>5</w:t>
      </w:r>
    </w:p>
    <w:p>
      <w:pPr>
        <w:spacing w:after="0" w:line="177" w:lineRule="exact"/>
        <w:rPr>
          <w:sz w:val="20"/>
          <w:szCs w:val="20"/>
          <w:color w:val="auto"/>
        </w:rPr>
      </w:pPr>
    </w:p>
    <w:p>
      <w:pPr>
        <w:ind w:left="8"/>
        <w:spacing w:after="0"/>
        <w:tabs>
          <w:tab w:leader="none" w:pos="787" w:val="left"/>
          <w:tab w:leader="dot" w:pos="7007"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Payment of Benefits Prior to Termination of Employment</w:t>
      </w:r>
      <w:r>
        <w:rPr>
          <w:sz w:val="20"/>
          <w:szCs w:val="20"/>
          <w:color w:val="auto"/>
        </w:rPr>
        <w:tab/>
      </w:r>
      <w:r>
        <w:rPr>
          <w:rFonts w:ascii="Courier New" w:cs="Courier New" w:eastAsia="Courier New" w:hAnsi="Courier New"/>
          <w:sz w:val="15"/>
          <w:szCs w:val="15"/>
          <w:color w:val="auto"/>
        </w:rPr>
        <w:t>6</w:t>
      </w:r>
    </w:p>
    <w:p>
      <w:pPr>
        <w:spacing w:after="0" w:line="177" w:lineRule="exact"/>
        <w:rPr>
          <w:sz w:val="20"/>
          <w:szCs w:val="20"/>
          <w:color w:val="auto"/>
        </w:rPr>
      </w:pPr>
    </w:p>
    <w:p>
      <w:pPr>
        <w:ind w:left="8"/>
        <w:spacing w:after="0"/>
        <w:tabs>
          <w:tab w:leader="none" w:pos="787" w:val="left"/>
          <w:tab w:leader="dot" w:pos="7007"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Disability Benefits</w:t>
      </w:r>
      <w:r>
        <w:rPr>
          <w:sz w:val="20"/>
          <w:szCs w:val="20"/>
          <w:color w:val="auto"/>
        </w:rPr>
        <w:tab/>
      </w:r>
      <w:r>
        <w:rPr>
          <w:rFonts w:ascii="Courier New" w:cs="Courier New" w:eastAsia="Courier New" w:hAnsi="Courier New"/>
          <w:sz w:val="15"/>
          <w:szCs w:val="15"/>
          <w:color w:val="auto"/>
        </w:rPr>
        <w:t>6</w:t>
      </w:r>
    </w:p>
    <w:p>
      <w:pPr>
        <w:spacing w:after="0" w:line="177" w:lineRule="exact"/>
        <w:rPr>
          <w:sz w:val="20"/>
          <w:szCs w:val="20"/>
          <w:color w:val="auto"/>
        </w:rPr>
      </w:pPr>
    </w:p>
    <w:p>
      <w:pPr>
        <w:ind w:left="8"/>
        <w:spacing w:after="0"/>
        <w:tabs>
          <w:tab w:leader="none" w:pos="787" w:val="left"/>
          <w:tab w:leader="dot" w:pos="7007"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Payment of Benefits Upon Death</w:t>
      </w:r>
      <w:r>
        <w:rPr>
          <w:sz w:val="20"/>
          <w:szCs w:val="20"/>
          <w:color w:val="auto"/>
        </w:rPr>
        <w:tab/>
      </w:r>
      <w:r>
        <w:rPr>
          <w:rFonts w:ascii="Courier New" w:cs="Courier New" w:eastAsia="Courier New" w:hAnsi="Courier New"/>
          <w:sz w:val="15"/>
          <w:szCs w:val="15"/>
          <w:color w:val="auto"/>
        </w:rPr>
        <w:t>6</w:t>
      </w:r>
    </w:p>
    <w:p>
      <w:pPr>
        <w:spacing w:after="0" w:line="177" w:lineRule="exact"/>
        <w:rPr>
          <w:sz w:val="20"/>
          <w:szCs w:val="20"/>
          <w:color w:val="auto"/>
        </w:rPr>
      </w:pPr>
    </w:p>
    <w:p>
      <w:pPr>
        <w:ind w:left="808" w:hanging="808"/>
        <w:spacing w:after="0"/>
        <w:tabs>
          <w:tab w:leader="none" w:pos="80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Disqualification of Participant Status - Loss or Denial of</w:t>
      </w:r>
    </w:p>
    <w:p>
      <w:pPr>
        <w:spacing w:after="0" w:line="31" w:lineRule="exact"/>
        <w:rPr>
          <w:sz w:val="20"/>
          <w:szCs w:val="20"/>
          <w:color w:val="auto"/>
        </w:rPr>
      </w:pPr>
    </w:p>
    <w:p>
      <w:pPr>
        <w:ind w:left="1088"/>
        <w:spacing w:after="0"/>
        <w:tabs>
          <w:tab w:leader="dot" w:pos="7007" w:val="left"/>
        </w:tabs>
        <w:rPr>
          <w:sz w:val="20"/>
          <w:szCs w:val="20"/>
          <w:color w:val="auto"/>
        </w:rPr>
      </w:pPr>
      <w:r>
        <w:rPr>
          <w:rFonts w:ascii="Courier New" w:cs="Courier New" w:eastAsia="Courier New" w:hAnsi="Courier New"/>
          <w:sz w:val="15"/>
          <w:szCs w:val="15"/>
          <w:color w:val="auto"/>
        </w:rPr>
        <w:t>Benefits</w:t>
      </w:r>
      <w:r>
        <w:rPr>
          <w:sz w:val="20"/>
          <w:szCs w:val="20"/>
          <w:color w:val="auto"/>
        </w:rPr>
        <w:tab/>
      </w:r>
      <w:r>
        <w:rPr>
          <w:rFonts w:ascii="Courier New" w:cs="Courier New" w:eastAsia="Courier New" w:hAnsi="Courier New"/>
          <w:sz w:val="15"/>
          <w:szCs w:val="15"/>
          <w:color w:val="auto"/>
        </w:rPr>
        <w:t>7</w:t>
      </w:r>
    </w:p>
    <w:p>
      <w:pPr>
        <w:spacing w:after="0" w:line="149" w:lineRule="exact"/>
        <w:rPr>
          <w:sz w:val="20"/>
          <w:szCs w:val="20"/>
          <w:color w:val="auto"/>
        </w:rPr>
      </w:pPr>
    </w:p>
    <w:p>
      <w:pPr>
        <w:ind w:left="8"/>
        <w:spacing w:after="0"/>
        <w:tabs>
          <w:tab w:leader="none" w:pos="787" w:val="left"/>
          <w:tab w:leader="dot" w:pos="7007" w:val="left"/>
        </w:tabs>
        <w:rPr>
          <w:sz w:val="20"/>
          <w:szCs w:val="20"/>
          <w:color w:val="auto"/>
        </w:rPr>
      </w:pP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5"/>
          <w:szCs w:val="15"/>
          <w:color w:val="auto"/>
        </w:rPr>
        <w:t>Claims Procedure</w:t>
      </w:r>
      <w:r>
        <w:rPr>
          <w:sz w:val="20"/>
          <w:szCs w:val="20"/>
          <w:color w:val="auto"/>
        </w:rPr>
        <w:tab/>
      </w:r>
      <w:r>
        <w:rPr>
          <w:rFonts w:ascii="Courier New" w:cs="Courier New" w:eastAsia="Courier New" w:hAnsi="Courier New"/>
          <w:sz w:val="15"/>
          <w:szCs w:val="15"/>
          <w:color w:val="auto"/>
        </w:rPr>
        <w:t>7</w:t>
      </w:r>
    </w:p>
    <w:p>
      <w:pPr>
        <w:spacing w:after="0" w:line="177" w:lineRule="exact"/>
        <w:rPr>
          <w:sz w:val="20"/>
          <w:szCs w:val="20"/>
          <w:color w:val="auto"/>
        </w:rPr>
      </w:pPr>
    </w:p>
    <w:p>
      <w:pPr>
        <w:ind w:left="808" w:hanging="808"/>
        <w:spacing w:after="0"/>
        <w:tabs>
          <w:tab w:leader="none" w:pos="80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Retired Participant, Separated Participant with Vested Benefit,</w:t>
      </w:r>
    </w:p>
    <w:p>
      <w:pPr>
        <w:spacing w:after="0" w:line="31" w:lineRule="exact"/>
        <w:rPr>
          <w:sz w:val="20"/>
          <w:szCs w:val="20"/>
          <w:color w:val="auto"/>
        </w:rPr>
      </w:pPr>
    </w:p>
    <w:p>
      <w:pPr>
        <w:ind w:left="1088"/>
        <w:spacing w:after="0"/>
        <w:tabs>
          <w:tab w:leader="dot" w:pos="7007" w:val="left"/>
        </w:tabs>
        <w:rPr>
          <w:sz w:val="20"/>
          <w:szCs w:val="20"/>
          <w:color w:val="auto"/>
        </w:rPr>
      </w:pPr>
      <w:r>
        <w:rPr>
          <w:rFonts w:ascii="Courier New" w:cs="Courier New" w:eastAsia="Courier New" w:hAnsi="Courier New"/>
          <w:sz w:val="15"/>
          <w:szCs w:val="15"/>
          <w:color w:val="auto"/>
        </w:rPr>
        <w:t>Beneficiary Receiving Benefits</w:t>
      </w:r>
      <w:r>
        <w:rPr>
          <w:sz w:val="20"/>
          <w:szCs w:val="20"/>
          <w:color w:val="auto"/>
        </w:rPr>
        <w:tab/>
      </w:r>
      <w:r>
        <w:rPr>
          <w:rFonts w:ascii="Courier New" w:cs="Courier New" w:eastAsia="Courier New" w:hAnsi="Courier New"/>
          <w:sz w:val="15"/>
          <w:szCs w:val="15"/>
          <w:color w:val="auto"/>
        </w:rPr>
        <w:t>7</w:t>
      </w:r>
    </w:p>
    <w:p>
      <w:pPr>
        <w:spacing w:after="0" w:line="149" w:lineRule="exact"/>
        <w:rPr>
          <w:sz w:val="20"/>
          <w:szCs w:val="20"/>
          <w:color w:val="auto"/>
        </w:rPr>
      </w:pPr>
    </w:p>
    <w:p>
      <w:pPr>
        <w:ind w:left="8"/>
        <w:spacing w:after="0"/>
        <w:tabs>
          <w:tab w:leader="none" w:pos="787" w:val="left"/>
          <w:tab w:leader="dot" w:pos="7007" w:val="left"/>
        </w:tabs>
        <w:rPr>
          <w:sz w:val="20"/>
          <w:szCs w:val="20"/>
          <w:color w:val="auto"/>
        </w:rPr>
      </w:pPr>
      <w:r>
        <w:rPr>
          <w:rFonts w:ascii="Courier New" w:cs="Courier New" w:eastAsia="Courier New" w:hAnsi="Courier New"/>
          <w:sz w:val="15"/>
          <w:szCs w:val="15"/>
          <w:color w:val="auto"/>
        </w:rPr>
        <w:t>(18)</w:t>
      </w:r>
      <w:r>
        <w:rPr>
          <w:sz w:val="20"/>
          <w:szCs w:val="20"/>
          <w:color w:val="auto"/>
        </w:rPr>
        <w:tab/>
      </w:r>
      <w:r>
        <w:rPr>
          <w:rFonts w:ascii="Courier New" w:cs="Courier New" w:eastAsia="Courier New" w:hAnsi="Courier New"/>
          <w:sz w:val="15"/>
          <w:szCs w:val="15"/>
          <w:color w:val="auto"/>
        </w:rPr>
        <w:t>Participant's Rights under ERISA</w:t>
      </w:r>
      <w:r>
        <w:rPr>
          <w:sz w:val="20"/>
          <w:szCs w:val="20"/>
          <w:color w:val="auto"/>
        </w:rPr>
        <w:tab/>
      </w:r>
      <w:r>
        <w:rPr>
          <w:rFonts w:ascii="Courier New" w:cs="Courier New" w:eastAsia="Courier New" w:hAnsi="Courier New"/>
          <w:sz w:val="15"/>
          <w:szCs w:val="15"/>
          <w:color w:val="auto"/>
        </w:rPr>
        <w:t>8</w:t>
      </w:r>
    </w:p>
    <w:p>
      <w:pPr>
        <w:spacing w:after="0" w:line="177" w:lineRule="exact"/>
        <w:rPr>
          <w:sz w:val="20"/>
          <w:szCs w:val="20"/>
          <w:color w:val="auto"/>
        </w:rPr>
      </w:pPr>
    </w:p>
    <w:p>
      <w:pPr>
        <w:ind w:left="8"/>
        <w:spacing w:after="0"/>
        <w:tabs>
          <w:tab w:leader="none" w:pos="787" w:val="left"/>
          <w:tab w:leader="dot" w:pos="7007" w:val="left"/>
        </w:tabs>
        <w:rPr>
          <w:sz w:val="20"/>
          <w:szCs w:val="20"/>
          <w:color w:val="auto"/>
        </w:rPr>
      </w:pPr>
      <w:r>
        <w:rPr>
          <w:rFonts w:ascii="Courier New" w:cs="Courier New" w:eastAsia="Courier New" w:hAnsi="Courier New"/>
          <w:sz w:val="15"/>
          <w:szCs w:val="15"/>
          <w:color w:val="auto"/>
        </w:rPr>
        <w:t>(19)</w:t>
      </w:r>
      <w:r>
        <w:rPr>
          <w:sz w:val="20"/>
          <w:szCs w:val="20"/>
          <w:color w:val="auto"/>
        </w:rPr>
        <w:tab/>
      </w:r>
      <w:r>
        <w:rPr>
          <w:rFonts w:ascii="Courier New" w:cs="Courier New" w:eastAsia="Courier New" w:hAnsi="Courier New"/>
          <w:sz w:val="15"/>
          <w:szCs w:val="15"/>
          <w:color w:val="auto"/>
        </w:rPr>
        <w:t>Federal Income Taxation of Benefits Paid</w:t>
      </w:r>
      <w:r>
        <w:rPr>
          <w:sz w:val="20"/>
          <w:szCs w:val="20"/>
          <w:color w:val="auto"/>
        </w:rPr>
        <w:tab/>
      </w: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24" w:lineRule="exact"/>
        <w:rPr>
          <w:sz w:val="20"/>
          <w:szCs w:val="20"/>
          <w:color w:val="auto"/>
        </w:rPr>
      </w:pPr>
    </w:p>
    <w:p>
      <w:pPr>
        <w:ind w:left="2528"/>
        <w:spacing w:after="0"/>
        <w:rPr>
          <w:sz w:val="20"/>
          <w:szCs w:val="20"/>
          <w:color w:val="auto"/>
        </w:rPr>
      </w:pPr>
      <w:r>
        <w:rPr>
          <w:rFonts w:ascii="Courier New" w:cs="Courier New" w:eastAsia="Courier New" w:hAnsi="Courier New"/>
          <w:sz w:val="15"/>
          <w:szCs w:val="15"/>
          <w:color w:val="auto"/>
        </w:rPr>
        <w:t>SUMMARY PLAN DESCRIPTION</w:t>
      </w:r>
    </w:p>
    <w:p>
      <w:pPr>
        <w:spacing w:after="0" w:line="350" w:lineRule="exact"/>
        <w:rPr>
          <w:sz w:val="20"/>
          <w:szCs w:val="20"/>
          <w:color w:val="auto"/>
        </w:rPr>
      </w:pPr>
    </w:p>
    <w:p>
      <w:pPr>
        <w:ind w:left="8" w:right="3279" w:firstLine="443"/>
        <w:spacing w:after="0" w:line="365" w:lineRule="auto"/>
        <w:tabs>
          <w:tab w:leader="none" w:pos="81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The legal name, address and Federal employer identification number of the Employer are:</w:t>
      </w:r>
    </w:p>
    <w:p>
      <w:pPr>
        <w:sectPr>
          <w:pgSz w:w="11900" w:h="16880" w:orient="portrait"/>
          <w:cols w:equalWidth="0" w:num="1">
            <w:col w:w="10227"/>
          </w:cols>
          <w:pgMar w:left="232" w:top="460" w:right="1440" w:bottom="0" w:gutter="0" w:footer="0" w:header="0"/>
        </w:sectPr>
      </w:pPr>
    </w:p>
    <w:p>
      <w:pPr>
        <w:spacing w:after="0" w:line="3" w:lineRule="exact"/>
        <w:rPr>
          <w:sz w:val="20"/>
          <w:szCs w:val="20"/>
          <w:color w:val="auto"/>
        </w:rPr>
      </w:pPr>
    </w:p>
    <w:p>
      <w:pPr>
        <w:ind w:left="808"/>
        <w:spacing w:after="0"/>
        <w:rPr>
          <w:sz w:val="20"/>
          <w:szCs w:val="20"/>
          <w:color w:val="auto"/>
        </w:rPr>
      </w:pPr>
      <w:r>
        <w:rPr>
          <w:rFonts w:ascii="Courier New" w:cs="Courier New" w:eastAsia="Courier New" w:hAnsi="Courier New"/>
          <w:sz w:val="14"/>
          <w:szCs w:val="14"/>
          <w:color w:val="auto"/>
        </w:rPr>
        <w:t>Winnebago Industries,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42-0802678</w:t>
      </w:r>
    </w:p>
    <w:p>
      <w:pPr>
        <w:spacing w:after="0" w:line="57" w:lineRule="exact"/>
        <w:rPr>
          <w:sz w:val="20"/>
          <w:szCs w:val="20"/>
          <w:color w:val="auto"/>
        </w:rPr>
      </w:pPr>
    </w:p>
    <w:p>
      <w:pPr>
        <w:sectPr>
          <w:pgSz w:w="11900" w:h="16880" w:orient="portrait"/>
          <w:cols w:equalWidth="0" w:num="3">
            <w:col w:w="3508" w:space="720"/>
            <w:col w:w="380" w:space="180"/>
            <w:col w:w="5439"/>
          </w:cols>
          <w:pgMar w:left="232" w:top="460" w:right="1440" w:bottom="0" w:gutter="0" w:footer="0" w:header="0"/>
          <w:type w:val="continuous"/>
        </w:sectPr>
      </w:pPr>
    </w:p>
    <w:p>
      <w:pPr>
        <w:ind w:left="808"/>
        <w:spacing w:after="0"/>
        <w:rPr>
          <w:sz w:val="20"/>
          <w:szCs w:val="20"/>
          <w:color w:val="auto"/>
        </w:rPr>
      </w:pPr>
      <w:r>
        <w:rPr>
          <w:rFonts w:ascii="Courier New" w:cs="Courier New" w:eastAsia="Courier New" w:hAnsi="Courier New"/>
          <w:sz w:val="14"/>
          <w:szCs w:val="14"/>
          <w:color w:val="auto"/>
        </w:rPr>
        <w:t>605 West Crystal Lake Road</w:t>
      </w:r>
    </w:p>
    <w:p>
      <w:pPr>
        <w:ind w:left="808"/>
        <w:spacing w:after="0"/>
        <w:rPr>
          <w:sz w:val="20"/>
          <w:szCs w:val="20"/>
          <w:color w:val="auto"/>
        </w:rPr>
      </w:pPr>
      <w:r>
        <w:rPr>
          <w:rFonts w:ascii="Courier New" w:cs="Courier New" w:eastAsia="Courier New" w:hAnsi="Courier New"/>
          <w:sz w:val="15"/>
          <w:szCs w:val="15"/>
          <w:color w:val="auto"/>
        </w:rPr>
        <w:t>Forest City, Iowa 50436</w:t>
      </w:r>
    </w:p>
    <w:p>
      <w:pPr>
        <w:sectPr>
          <w:pgSz w:w="11900" w:h="16880" w:orient="portrait"/>
          <w:cols w:equalWidth="0" w:num="1">
            <w:col w:w="10227"/>
          </w:cols>
          <w:pgMar w:left="232" w:top="460" w:right="1440" w:bottom="0" w:gutter="0" w:footer="0" w:header="0"/>
          <w:type w:val="continuous"/>
        </w:sectPr>
      </w:pPr>
    </w:p>
    <w:p>
      <w:pPr>
        <w:spacing w:after="0" w:line="149" w:lineRule="exact"/>
        <w:rPr>
          <w:sz w:val="20"/>
          <w:szCs w:val="20"/>
          <w:color w:val="auto"/>
        </w:rPr>
      </w:pPr>
    </w:p>
    <w:p>
      <w:pPr>
        <w:ind w:left="8" w:right="3019" w:firstLine="451"/>
        <w:spacing w:after="0" w:line="264" w:lineRule="auto"/>
        <w:rPr>
          <w:sz w:val="20"/>
          <w:szCs w:val="20"/>
          <w:color w:val="auto"/>
        </w:rPr>
      </w:pPr>
      <w:r>
        <w:rPr>
          <w:rFonts w:ascii="Courier New" w:cs="Courier New" w:eastAsia="Courier New" w:hAnsi="Courier New"/>
          <w:sz w:val="15"/>
          <w:szCs w:val="15"/>
          <w:color w:val="auto"/>
        </w:rPr>
        <w:t>The Employer has established a retirement plan ("Plan") to supplement your income upon retirement. In addition to retirement benefits, the Plan may provide benefits in the event of your death or disability or in the event of your termination of employment prior to normal retirement. If after reading the summary you have any question, please ask the Plan Administrator. We emphasize this summary is a highlight of the more important provisions of the Plan. If there is conflict between a statement in this summary plan description and in</w:t>
      </w:r>
    </w:p>
    <w:p>
      <w:pPr>
        <w:sectPr>
          <w:pgSz w:w="11900" w:h="16880" w:orient="portrait"/>
          <w:cols w:equalWidth="0" w:num="1">
            <w:col w:w="10227"/>
          </w:cols>
          <w:pgMar w:left="232" w:top="460" w:right="1440" w:bottom="0" w:gutter="0" w:footer="0" w:header="0"/>
          <w:type w:val="continuous"/>
        </w:sectPr>
      </w:pPr>
    </w:p>
    <w:bookmarkStart w:id="17" w:name="page18"/>
    <w:bookmarkEnd w:id="17"/>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Plan, the terms of the Plan control.</w:t>
      </w:r>
    </w:p>
    <w:p>
      <w:pPr>
        <w:spacing w:after="0" w:line="177" w:lineRule="exact"/>
        <w:rPr>
          <w:sz w:val="20"/>
          <w:szCs w:val="20"/>
          <w:color w:val="auto"/>
        </w:rPr>
      </w:pPr>
    </w:p>
    <w:p>
      <w:pPr>
        <w:ind w:right="3019" w:firstLine="451"/>
        <w:spacing w:after="0" w:line="274" w:lineRule="auto"/>
        <w:rPr>
          <w:sz w:val="20"/>
          <w:szCs w:val="20"/>
          <w:color w:val="auto"/>
        </w:rPr>
      </w:pPr>
      <w:r>
        <w:rPr>
          <w:rFonts w:ascii="Courier New" w:cs="Courier New" w:eastAsia="Courier New" w:hAnsi="Courier New"/>
          <w:sz w:val="15"/>
          <w:szCs w:val="15"/>
          <w:color w:val="auto"/>
        </w:rPr>
        <w:t>Winnebago Industries, Inc. is the principal employer sponsoring this Plan. However, more than one employer may sponsor and contribute to this Plan. Upon written request, the Plan Administrator will furnish you or your beneficiary information as to whether a particular employer is a sponsor of the Plan, and if a Plan sponsor, the sponsor's address.</w:t>
      </w:r>
    </w:p>
    <w:p>
      <w:pPr>
        <w:spacing w:after="0" w:line="70" w:lineRule="exact"/>
        <w:rPr>
          <w:sz w:val="20"/>
          <w:szCs w:val="20"/>
          <w:color w:val="auto"/>
        </w:rPr>
      </w:pPr>
    </w:p>
    <w:p>
      <w:pPr>
        <w:ind w:left="800" w:right="4539" w:hanging="357"/>
        <w:spacing w:after="0" w:line="489" w:lineRule="auto"/>
        <w:tabs>
          <w:tab w:leader="none" w:pos="8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IDENTIFICATION OF PLAN. The Plan is known as: Winnebago Industries, Inc. Employees' Stock Bonus Plan</w:t>
      </w:r>
    </w:p>
    <w:p>
      <w:pPr>
        <w:spacing w:after="0" w:line="1" w:lineRule="exact"/>
        <w:rPr>
          <w:sz w:val="20"/>
          <w:szCs w:val="20"/>
          <w:color w:val="auto"/>
        </w:rPr>
      </w:pPr>
    </w:p>
    <w:p>
      <w:pPr>
        <w:ind w:right="3099" w:firstLine="451"/>
        <w:spacing w:after="0" w:line="305" w:lineRule="auto"/>
        <w:rPr>
          <w:sz w:val="20"/>
          <w:szCs w:val="20"/>
          <w:color w:val="auto"/>
        </w:rPr>
      </w:pPr>
      <w:r>
        <w:rPr>
          <w:rFonts w:ascii="Courier New" w:cs="Courier New" w:eastAsia="Courier New" w:hAnsi="Courier New"/>
          <w:sz w:val="15"/>
          <w:szCs w:val="15"/>
          <w:color w:val="auto"/>
        </w:rPr>
        <w:t>The Employer has assigned 002 as the Plan identification number. The Plan Year is the period on which the Plan maintains its records: September 1 through August 31.</w:t>
      </w:r>
    </w:p>
    <w:p>
      <w:pPr>
        <w:spacing w:after="0" w:line="46" w:lineRule="exact"/>
        <w:rPr>
          <w:sz w:val="20"/>
          <w:szCs w:val="20"/>
          <w:color w:val="auto"/>
        </w:rPr>
      </w:pPr>
    </w:p>
    <w:p>
      <w:pPr>
        <w:ind w:left="800" w:hanging="357"/>
        <w:spacing w:after="0"/>
        <w:tabs>
          <w:tab w:leader="none" w:pos="8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 OF PLAN. The Plan is commonly known as a stock bonus plan. Section</w:t>
      </w:r>
    </w:p>
    <w:p>
      <w:pPr>
        <w:spacing w:after="0" w:line="31" w:lineRule="exact"/>
        <w:rPr>
          <w:rFonts w:ascii="Courier New" w:cs="Courier New" w:eastAsia="Courier New" w:hAnsi="Courier New"/>
          <w:sz w:val="15"/>
          <w:szCs w:val="15"/>
          <w:color w:val="auto"/>
        </w:rPr>
      </w:pPr>
    </w:p>
    <w:p>
      <w:pPr>
        <w:ind w:right="3019"/>
        <w:spacing w:after="0" w:line="28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 "Employer's Contributions," explains how you share in the Employer's annual contribution(s) to the trust fund and the extent to which the Employer has an obligation to make annual contribution(s) to the trust fund.</w:t>
      </w:r>
    </w:p>
    <w:p>
      <w:pPr>
        <w:spacing w:after="0" w:line="60" w:lineRule="exact"/>
        <w:rPr>
          <w:sz w:val="20"/>
          <w:szCs w:val="20"/>
          <w:color w:val="auto"/>
        </w:rPr>
      </w:pPr>
    </w:p>
    <w:p>
      <w:pPr>
        <w:ind w:right="3019" w:firstLine="451"/>
        <w:spacing w:after="0" w:line="258" w:lineRule="auto"/>
        <w:rPr>
          <w:sz w:val="20"/>
          <w:szCs w:val="20"/>
          <w:color w:val="auto"/>
        </w:rPr>
      </w:pPr>
      <w:r>
        <w:rPr>
          <w:rFonts w:ascii="Courier New" w:cs="Courier New" w:eastAsia="Courier New" w:hAnsi="Courier New"/>
          <w:sz w:val="15"/>
          <w:szCs w:val="15"/>
          <w:color w:val="auto"/>
        </w:rPr>
        <w:t>Under this Plan, there is no fixed dollar amount of retirement benefits. Your actual retirement benefit will depend on the amount of your account balance at the time of retirement. Your account balance will reflect the annual allocations, the period of time you participate in the Plan and the success of the Plan in investing and reinvesting the assets of the trust fund. A governmental agency known as the Pension Benefit Guaranty Corporation (PBGC) insures the benefits payable under plans which provide for fixed and determinable retirement benefits. This Plan does not provide a fixed and determinable retirement benefit. Therefore, the PBGC does not include this Plan within its insurance program.</w:t>
      </w:r>
    </w:p>
    <w:p>
      <w:pPr>
        <w:spacing w:after="0" w:line="81" w:lineRule="exact"/>
        <w:rPr>
          <w:sz w:val="20"/>
          <w:szCs w:val="20"/>
          <w:color w:val="auto"/>
        </w:rPr>
      </w:pPr>
    </w:p>
    <w:p>
      <w:pPr>
        <w:ind w:right="3019" w:firstLine="443"/>
        <w:spacing w:after="0" w:line="259" w:lineRule="auto"/>
        <w:tabs>
          <w:tab w:leader="none" w:pos="81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ADMINISTRATOR. The Employer is the Plan Administrator. The Employer's telephone number is (515) 582-3535. The Employer has designated the Human Resource Director to assist the Employer with the duties of Plan Administrator. You may contact the Human Resource Director at the Employer's address. The Plan Administrator is responsible for providing you and other participants information regarding your rights and benefits under the Plan. The Plan Administrator also has the primary authority for filing the various reports, forms and returns with the Department of Labor and the Internal Revenue Service.</w:t>
      </w:r>
    </w:p>
    <w:p>
      <w:pPr>
        <w:spacing w:after="0" w:line="83" w:lineRule="exact"/>
        <w:rPr>
          <w:sz w:val="20"/>
          <w:szCs w:val="20"/>
          <w:color w:val="auto"/>
        </w:rPr>
      </w:pPr>
    </w:p>
    <w:p>
      <w:pPr>
        <w:ind w:right="3019" w:firstLine="451"/>
        <w:spacing w:after="0" w:line="365" w:lineRule="auto"/>
        <w:rPr>
          <w:sz w:val="20"/>
          <w:szCs w:val="20"/>
          <w:color w:val="auto"/>
        </w:rPr>
      </w:pPr>
      <w:r>
        <w:rPr>
          <w:rFonts w:ascii="Courier New" w:cs="Courier New" w:eastAsia="Courier New" w:hAnsi="Courier New"/>
          <w:sz w:val="15"/>
          <w:szCs w:val="15"/>
          <w:color w:val="auto"/>
        </w:rPr>
        <w:t>The name of the person designated as agent for service of legal process and the address where a processor may serve legal process upon the Plan are:</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Ray Beebe</w:t>
      </w:r>
    </w:p>
    <w:p>
      <w:pPr>
        <w:spacing w:after="0" w:line="3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 Winnebago Industries, Inc.</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605 West Crystal Lake Road</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Forest City, Iowa 50436</w:t>
      </w:r>
    </w:p>
    <w:p>
      <w:pPr>
        <w:spacing w:after="0" w:line="149" w:lineRule="exact"/>
        <w:rPr>
          <w:sz w:val="20"/>
          <w:szCs w:val="20"/>
          <w:color w:val="auto"/>
        </w:rPr>
      </w:pPr>
    </w:p>
    <w:p>
      <w:pPr>
        <w:ind w:right="3639" w:firstLine="451"/>
        <w:spacing w:after="0" w:line="365" w:lineRule="auto"/>
        <w:rPr>
          <w:sz w:val="20"/>
          <w:szCs w:val="20"/>
          <w:color w:val="auto"/>
        </w:rPr>
      </w:pPr>
      <w:r>
        <w:rPr>
          <w:rFonts w:ascii="Courier New" w:cs="Courier New" w:eastAsia="Courier New" w:hAnsi="Courier New"/>
          <w:sz w:val="15"/>
          <w:szCs w:val="15"/>
          <w:color w:val="auto"/>
        </w:rPr>
        <w:t>A legal processor also may serve the Trustee of the Plan or the Plan Administrator.</w:t>
      </w:r>
    </w:p>
    <w:p>
      <w:pPr>
        <w:spacing w:after="0" w:line="3" w:lineRule="exact"/>
        <w:rPr>
          <w:sz w:val="20"/>
          <w:szCs w:val="20"/>
          <w:color w:val="auto"/>
        </w:rPr>
      </w:pPr>
    </w:p>
    <w:p>
      <w:pPr>
        <w:ind w:right="3199" w:firstLine="451"/>
        <w:spacing w:after="0" w:line="262" w:lineRule="auto"/>
        <w:rPr>
          <w:sz w:val="20"/>
          <w:szCs w:val="20"/>
          <w:color w:val="auto"/>
        </w:rPr>
      </w:pPr>
      <w:r>
        <w:rPr>
          <w:rFonts w:ascii="Courier New" w:cs="Courier New" w:eastAsia="Courier New" w:hAnsi="Courier New"/>
          <w:sz w:val="15"/>
          <w:szCs w:val="15"/>
          <w:color w:val="auto"/>
        </w:rPr>
        <w:t>The Plan permits the Employer to appoint an Administrative Committee to assist in the administration of the Plan. The Administrative Committee has the responsibility for making all discretionary determinations under the Plan and for giving distribution directions to the Trustee. If the Employer does not appoint an Administrative Committee, the Plan Administrator assumes these responsibilities. The members of the Administrative Committee may change from time to time. You may obtain the names of the current members of the Administrative Committee from the Plan Administrator.</w:t>
      </w:r>
    </w:p>
    <w:p>
      <w:pPr>
        <w:spacing w:after="0" w:line="76" w:lineRule="exact"/>
        <w:rPr>
          <w:sz w:val="20"/>
          <w:szCs w:val="20"/>
          <w:color w:val="auto"/>
        </w:rPr>
      </w:pPr>
    </w:p>
    <w:p>
      <w:pPr>
        <w:ind w:left="900" w:hanging="457"/>
        <w:spacing w:after="0"/>
        <w:tabs>
          <w:tab w:leader="none" w:pos="9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TRUSTEE/TRUST FUND. The Employer has appointed:</w:t>
      </w:r>
    </w:p>
    <w:p>
      <w:pPr>
        <w:spacing w:after="0" w:line="176" w:lineRule="exact"/>
        <w:rPr>
          <w:rFonts w:ascii="Courier New" w:cs="Courier New" w:eastAsia="Courier New" w:hAnsi="Courier New"/>
          <w:sz w:val="15"/>
          <w:szCs w:val="15"/>
          <w:color w:val="auto"/>
        </w:rPr>
      </w:pPr>
    </w:p>
    <w:p>
      <w:pPr>
        <w:ind w:left="900" w:right="7259"/>
        <w:spacing w:after="0" w:line="26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Norwest Bank Iowa, N A. 666 Walnut Street</w:t>
      </w: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Des Moines, Iowa 50304</w:t>
      </w:r>
    </w:p>
    <w:p>
      <w:pPr>
        <w:spacing w:after="0" w:line="149" w:lineRule="exact"/>
        <w:rPr>
          <w:sz w:val="20"/>
          <w:szCs w:val="20"/>
          <w:color w:val="auto"/>
        </w:rPr>
      </w:pPr>
    </w:p>
    <w:p>
      <w:pPr>
        <w:ind w:right="3019" w:firstLine="451"/>
        <w:spacing w:after="0" w:line="274" w:lineRule="auto"/>
        <w:rPr>
          <w:sz w:val="20"/>
          <w:szCs w:val="20"/>
          <w:color w:val="auto"/>
        </w:rPr>
      </w:pPr>
      <w:r>
        <w:rPr>
          <w:rFonts w:ascii="Courier New" w:cs="Courier New" w:eastAsia="Courier New" w:hAnsi="Courier New"/>
          <w:sz w:val="15"/>
          <w:szCs w:val="15"/>
          <w:color w:val="auto"/>
        </w:rPr>
        <w:t>to hold the office of Trustee. The Trustee will hold all amounts the Employer contributes to it in a trust fund. Upon the direction of the Administrative Committee, the Trustee will make all distribution and benefit payments from the trust fund to participants and beneficiaries. The Trustee will maintain trust fund records on a Plan Year basis.</w:t>
      </w:r>
    </w:p>
    <w:p>
      <w:pPr>
        <w:spacing w:after="0" w:line="70"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5"/>
          <w:szCs w:val="15"/>
          <w:color w:val="auto"/>
        </w:rPr>
        <w:t>The Trustee will invest the trust fund primarily in common stock issued by the Employer. In most instances, the Employer will contribute its own stock to the Trustee in the years it makes a contribution to the trust fund. If the Employer contributes cash, the Trust will purchase common stock of the Employer for investment under the trust fund. The Trustee will pay your benefits under the Plan attributable to Employer contributions in common stock of the Employer. The Trustee will pay any fractional shares to you in cash.</w:t>
      </w:r>
    </w:p>
    <w:p>
      <w:pPr>
        <w:spacing w:after="0" w:line="79" w:lineRule="exact"/>
        <w:rPr>
          <w:sz w:val="20"/>
          <w:szCs w:val="20"/>
          <w:color w:val="auto"/>
        </w:rPr>
      </w:pPr>
    </w:p>
    <w:p>
      <w:pPr>
        <w:ind w:right="3099" w:firstLine="443"/>
        <w:spacing w:after="0" w:line="262" w:lineRule="auto"/>
        <w:tabs>
          <w:tab w:leader="none" w:pos="811"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HOURS OF SERVICE. The Plan and this summary plan description include references to hours of service. To become eligible to participate in the Plan, to advance on the vesting schedule, or to share in Employer contributions for a Plan Year, the Plan requires you to complete a minimum number of hours of service during a specified period. The sections covering eligibility to participate, vesting and employer contributions explain this aspect of the Plan in the context of those topics. However, hour of service has the same meaning for all purposes of the Plan.</w:t>
      </w:r>
    </w:p>
    <w:p>
      <w:pPr>
        <w:spacing w:after="0" w:line="76" w:lineRule="exact"/>
        <w:rPr>
          <w:sz w:val="20"/>
          <w:szCs w:val="20"/>
          <w:color w:val="auto"/>
        </w:rPr>
      </w:pPr>
    </w:p>
    <w:p>
      <w:pPr>
        <w:jc w:val="both"/>
        <w:ind w:right="3019" w:firstLine="451"/>
        <w:spacing w:after="0" w:line="311" w:lineRule="auto"/>
        <w:rPr>
          <w:sz w:val="20"/>
          <w:szCs w:val="20"/>
          <w:color w:val="auto"/>
        </w:rPr>
      </w:pPr>
      <w:r>
        <w:rPr>
          <w:rFonts w:ascii="Courier New" w:cs="Courier New" w:eastAsia="Courier New" w:hAnsi="Courier New"/>
          <w:sz w:val="14"/>
          <w:szCs w:val="14"/>
          <w:color w:val="auto"/>
        </w:rPr>
        <w:t>The Department of Labor, in its regulations, has prescribed various methods under which the Employer may credit hours of service. The Employer has selected the "actual" method for crediting hours of service. Under the actual method, you will receive credit for each hour for which the Employer pays you, directly or</w:t>
      </w:r>
    </w:p>
    <w:p>
      <w:pPr>
        <w:sectPr>
          <w:pgSz w:w="11900" w:h="16914" w:orient="portrait"/>
          <w:cols w:equalWidth="0" w:num="1">
            <w:col w:w="10219"/>
          </w:cols>
          <w:pgMar w:left="240" w:top="113" w:right="1440" w:bottom="0" w:gutter="0" w:footer="0" w:header="0"/>
        </w:sectPr>
      </w:pPr>
    </w:p>
    <w:bookmarkStart w:id="18" w:name="page19"/>
    <w:bookmarkEnd w:id="18"/>
    <w:p>
      <w:pPr>
        <w:spacing w:after="0" w:line="139" w:lineRule="exact"/>
        <w:rPr>
          <w:sz w:val="20"/>
          <w:szCs w:val="20"/>
          <w:color w:val="auto"/>
        </w:rPr>
      </w:pPr>
    </w:p>
    <w:p>
      <w:pPr>
        <w:ind w:right="3279"/>
        <w:spacing w:after="0" w:line="285" w:lineRule="auto"/>
        <w:rPr>
          <w:sz w:val="20"/>
          <w:szCs w:val="20"/>
          <w:color w:val="auto"/>
        </w:rPr>
      </w:pPr>
      <w:r>
        <w:rPr>
          <w:rFonts w:ascii="Courier New" w:cs="Courier New" w:eastAsia="Courier New" w:hAnsi="Courier New"/>
          <w:sz w:val="15"/>
          <w:szCs w:val="15"/>
          <w:color w:val="auto"/>
        </w:rPr>
        <w:t>indirectly, or for which you are entitled to payment, for the performance of your employment duties. You also will receive credit for certain hours during which you do not work if the Employer pays you for those hours, such as paid vacation.</w:t>
      </w:r>
    </w:p>
    <w:p>
      <w:pPr>
        <w:spacing w:after="0" w:line="60" w:lineRule="exact"/>
        <w:rPr>
          <w:sz w:val="20"/>
          <w:szCs w:val="20"/>
          <w:color w:val="auto"/>
        </w:rPr>
      </w:pPr>
    </w:p>
    <w:p>
      <w:pPr>
        <w:ind w:right="3199" w:firstLine="451"/>
        <w:spacing w:after="0" w:line="298" w:lineRule="auto"/>
        <w:rPr>
          <w:sz w:val="20"/>
          <w:szCs w:val="20"/>
          <w:color w:val="auto"/>
        </w:rPr>
      </w:pPr>
      <w:r>
        <w:rPr>
          <w:rFonts w:ascii="Courier New" w:cs="Courier New" w:eastAsia="Courier New" w:hAnsi="Courier New"/>
          <w:sz w:val="14"/>
          <w:szCs w:val="14"/>
          <w:color w:val="auto"/>
        </w:rPr>
        <w:t>If an employee's absence from employment is due to maternity or paternity leave, the employee will receive credit for unpaid hours of service related to his leave, not to exceed 501 hours. The Administrative Committee will credit these hours of service to the first period during which the employee otherwise would incur a one-year break in service as a result of the unpaid absence.</w:t>
      </w:r>
    </w:p>
    <w:p>
      <w:pPr>
        <w:spacing w:after="0" w:line="56" w:lineRule="exact"/>
        <w:rPr>
          <w:sz w:val="20"/>
          <w:szCs w:val="20"/>
          <w:color w:val="auto"/>
        </w:rPr>
      </w:pPr>
    </w:p>
    <w:p>
      <w:pPr>
        <w:ind w:right="3099" w:firstLine="451"/>
        <w:spacing w:after="0" w:line="274" w:lineRule="auto"/>
        <w:rPr>
          <w:sz w:val="20"/>
          <w:szCs w:val="20"/>
          <w:color w:val="auto"/>
        </w:rPr>
      </w:pPr>
      <w:r>
        <w:rPr>
          <w:rFonts w:ascii="Courier New" w:cs="Courier New" w:eastAsia="Courier New" w:hAnsi="Courier New"/>
          <w:sz w:val="15"/>
          <w:szCs w:val="15"/>
          <w:color w:val="auto"/>
        </w:rPr>
        <w:t>The Employer is a member of a related group of business organizations. The law treats all members of this related group as a single employer for purposes of crediting hours of service. If you work for more than one member of the related group, you will receive hours of service credit under this Plan to the same extent as if you had worked the other hours for the Employer.</w:t>
      </w:r>
    </w:p>
    <w:p>
      <w:pPr>
        <w:spacing w:after="0" w:line="70" w:lineRule="exact"/>
        <w:rPr>
          <w:sz w:val="20"/>
          <w:szCs w:val="20"/>
          <w:color w:val="auto"/>
        </w:rPr>
      </w:pPr>
    </w:p>
    <w:p>
      <w:pPr>
        <w:ind w:right="3199" w:firstLine="443"/>
        <w:spacing w:after="0" w:line="311" w:lineRule="auto"/>
        <w:tabs>
          <w:tab w:leader="none" w:pos="811"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TO PARTICIPATE. To become a participant, an employee must complete one year of service. You do not have to complete any form for entry into the Plan. You will become a participant on the September l, December 1, March 1 or June 1 following your completion of the service requirement.</w:t>
      </w:r>
    </w:p>
    <w:p>
      <w:pPr>
        <w:spacing w:after="0" w:line="45" w:lineRule="exact"/>
        <w:rPr>
          <w:sz w:val="20"/>
          <w:szCs w:val="20"/>
          <w:color w:val="auto"/>
        </w:rPr>
      </w:pPr>
    </w:p>
    <w:p>
      <w:pPr>
        <w:ind w:right="3099" w:firstLine="451"/>
        <w:spacing w:after="0" w:line="268" w:lineRule="auto"/>
        <w:rPr>
          <w:sz w:val="20"/>
          <w:szCs w:val="20"/>
          <w:color w:val="auto"/>
        </w:rPr>
      </w:pPr>
      <w:r>
        <w:rPr>
          <w:rFonts w:ascii="Courier New" w:cs="Courier New" w:eastAsia="Courier New" w:hAnsi="Courier New"/>
          <w:sz w:val="15"/>
          <w:szCs w:val="15"/>
          <w:color w:val="auto"/>
        </w:rPr>
        <w:t>The Plan defines "year of service" as a 12-month period in which you work at least 1,000 hours for the Employer. The 12-month period starts on your first day of employment with the Employer. For example, if you begin work on February 15 of a particular Plan Year and work 1,000 hours from that February 15 through the following February 14, you would enter the Plan on the March 1 immediately following the completion of the one year of service.</w:t>
      </w:r>
    </w:p>
    <w:p>
      <w:pPr>
        <w:spacing w:after="0" w:line="75" w:lineRule="exact"/>
        <w:rPr>
          <w:sz w:val="20"/>
          <w:szCs w:val="20"/>
          <w:color w:val="auto"/>
        </w:rPr>
      </w:pPr>
    </w:p>
    <w:p>
      <w:pPr>
        <w:ind w:left="440" w:right="3019"/>
        <w:spacing w:after="0" w:line="268" w:lineRule="auto"/>
        <w:rPr>
          <w:sz w:val="20"/>
          <w:szCs w:val="20"/>
          <w:color w:val="auto"/>
        </w:rPr>
      </w:pPr>
      <w:r>
        <w:rPr>
          <w:rFonts w:ascii="Courier New" w:cs="Courier New" w:eastAsia="Courier New" w:hAnsi="Courier New"/>
          <w:sz w:val="15"/>
          <w:szCs w:val="15"/>
          <w:color w:val="auto"/>
        </w:rPr>
        <w:t>If you terminate employment after becoming a participant in the Plan and later return to employment, you will reenter the Plan on your reemployment date. Also, if you terminate employment after satisfying the Plan's service condition but before actually becoming a participant in the Plan, you will become a participant in the Plan on the later of your scheduled entry date or your reemployment date.</w:t>
      </w:r>
    </w:p>
    <w:p>
      <w:pPr>
        <w:spacing w:after="0" w:line="75" w:lineRule="exact"/>
        <w:rPr>
          <w:sz w:val="20"/>
          <w:szCs w:val="20"/>
          <w:color w:val="auto"/>
        </w:rPr>
      </w:pPr>
    </w:p>
    <w:p>
      <w:pPr>
        <w:ind w:right="3019" w:firstLine="443"/>
        <w:spacing w:after="0" w:line="285" w:lineRule="auto"/>
        <w:tabs>
          <w:tab w:leader="none" w:pos="811"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EMPLOYER'S CONTRIBUTIONS. The Plan as adopted by the Employer is a stock bonus plan. Each Plan Year, the Employer will contribute to the Plan the amount determined by the Employer at its discretion. The Employer may choose not to contribute to the Plan for a particular Plan Year.</w:t>
      </w:r>
    </w:p>
    <w:p>
      <w:pPr>
        <w:spacing w:after="0" w:line="60" w:lineRule="exact"/>
        <w:rPr>
          <w:sz w:val="20"/>
          <w:szCs w:val="20"/>
          <w:color w:val="auto"/>
        </w:rPr>
      </w:pPr>
    </w:p>
    <w:p>
      <w:pPr>
        <w:ind w:right="3019" w:firstLine="451"/>
        <w:spacing w:after="0" w:line="255" w:lineRule="auto"/>
        <w:rPr>
          <w:sz w:val="20"/>
          <w:szCs w:val="20"/>
          <w:color w:val="auto"/>
        </w:rPr>
      </w:pPr>
      <w:r>
        <w:rPr>
          <w:rFonts w:ascii="Courier New" w:cs="Courier New" w:eastAsia="Courier New" w:hAnsi="Courier New"/>
          <w:sz w:val="15"/>
          <w:szCs w:val="15"/>
          <w:color w:val="auto"/>
        </w:rPr>
        <w:t>For each Plan Year the Employer contributes to the Plan, the Administrative Committee will allocate this contribution to the separate accounts maintained for participants. The Administrative Committee will base your allocation upon your proportionate share of the total units accumulated through the close of the Plan Year by all participants in the Plan. You will receive one unit for each Plan Year in which you work at least 1,000 hours for the Employer. If you work less than 1,000 hours for the Employer during a Plan Year, you will not receive a unit for that Plan Year. For example, if you have accumulated ten units through the close of a particular Plan Year and the units accumulated by all participants in the Plan for the Plan Year is 1,000, the Administrative Committee will allocate 1% of the total Employer contribution for the Plan Year to your separate account.</w:t>
      </w:r>
    </w:p>
    <w:p>
      <w:pPr>
        <w:spacing w:after="0" w:line="87" w:lineRule="exact"/>
        <w:rPr>
          <w:sz w:val="20"/>
          <w:szCs w:val="20"/>
          <w:color w:val="auto"/>
        </w:rPr>
      </w:pPr>
    </w:p>
    <w:p>
      <w:pPr>
        <w:ind w:right="3019" w:firstLine="451"/>
        <w:spacing w:after="0" w:line="305" w:lineRule="auto"/>
        <w:rPr>
          <w:sz w:val="20"/>
          <w:szCs w:val="20"/>
          <w:color w:val="auto"/>
        </w:rPr>
      </w:pPr>
      <w:r>
        <w:rPr>
          <w:rFonts w:ascii="Courier New" w:cs="Courier New" w:eastAsia="Courier New" w:hAnsi="Courier New"/>
          <w:sz w:val="15"/>
          <w:szCs w:val="15"/>
          <w:color w:val="auto"/>
        </w:rPr>
        <w:t>Allocation of forfeitures. The Plan allocates participant forfeitures as if the forfeitures were additional Employer contributions for the Plan Year in which the forfeiture occurs.</w:t>
      </w:r>
    </w:p>
    <w:p>
      <w:pPr>
        <w:spacing w:after="0" w:line="46" w:lineRule="exact"/>
        <w:rPr>
          <w:sz w:val="20"/>
          <w:szCs w:val="20"/>
          <w:color w:val="auto"/>
        </w:rPr>
      </w:pPr>
    </w:p>
    <w:p>
      <w:pPr>
        <w:ind w:right="3019" w:firstLine="451"/>
        <w:spacing w:after="0" w:line="285" w:lineRule="auto"/>
        <w:rPr>
          <w:sz w:val="20"/>
          <w:szCs w:val="20"/>
          <w:color w:val="auto"/>
        </w:rPr>
      </w:pPr>
      <w:r>
        <w:rPr>
          <w:rFonts w:ascii="Courier New" w:cs="Courier New" w:eastAsia="Courier New" w:hAnsi="Courier New"/>
          <w:sz w:val="15"/>
          <w:szCs w:val="15"/>
          <w:color w:val="auto"/>
        </w:rPr>
        <w:t>Conditions for allocation. With limited exceptions, to be entitled to an allocation of Employer contributions, you must complete 1,000 hours of service during the Plan Year and you must be employed by the Employer on the last day of the Plan Year.</w:t>
      </w:r>
    </w:p>
    <w:p>
      <w:pPr>
        <w:spacing w:after="0" w:line="60" w:lineRule="exact"/>
        <w:rPr>
          <w:sz w:val="20"/>
          <w:szCs w:val="20"/>
          <w:color w:val="auto"/>
        </w:rPr>
      </w:pPr>
    </w:p>
    <w:p>
      <w:pPr>
        <w:ind w:right="3099" w:firstLine="451"/>
        <w:spacing w:after="0" w:line="262" w:lineRule="auto"/>
        <w:rPr>
          <w:sz w:val="20"/>
          <w:szCs w:val="20"/>
          <w:color w:val="auto"/>
        </w:rPr>
      </w:pPr>
      <w:r>
        <w:rPr>
          <w:rFonts w:ascii="Courier New" w:cs="Courier New" w:eastAsia="Courier New" w:hAnsi="Courier New"/>
          <w:sz w:val="15"/>
          <w:szCs w:val="15"/>
          <w:color w:val="auto"/>
        </w:rPr>
        <w:t>The law limits the amount of "additions" (other than trust earnings) which the Plan may allocate to your account under the Plan. Your additions may never exceed 25% of your compensation for a particular Plan Year, but may be less if 25% of your compensation exceeds a dollar amount announced by the Internal Revenue Service each year. The Plan may need to reduce this limitation if you participate (or have participated) in any other plans maintained by the Employer. The discussion of Plan allocations in this Section (8) is subject to this limitation.</w:t>
      </w:r>
    </w:p>
    <w:p>
      <w:pPr>
        <w:spacing w:after="0" w:line="76" w:lineRule="exact"/>
        <w:rPr>
          <w:sz w:val="20"/>
          <w:szCs w:val="20"/>
          <w:color w:val="auto"/>
        </w:rPr>
      </w:pPr>
    </w:p>
    <w:p>
      <w:pPr>
        <w:ind w:right="3019" w:firstLine="443"/>
        <w:spacing w:after="0" w:line="305" w:lineRule="auto"/>
        <w:tabs>
          <w:tab w:leader="none" w:pos="811"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CONTRIBUTIONS. The Plan does not permit you to make voluntary contributions to the trust fund. The only source of contributions under the Plan is the annual Employer contribution.</w:t>
      </w:r>
    </w:p>
    <w:p>
      <w:pPr>
        <w:spacing w:after="0" w:line="45" w:lineRule="exact"/>
        <w:rPr>
          <w:rFonts w:ascii="Courier New" w:cs="Courier New" w:eastAsia="Courier New" w:hAnsi="Courier New"/>
          <w:sz w:val="15"/>
          <w:szCs w:val="15"/>
          <w:color w:val="auto"/>
        </w:rPr>
      </w:pPr>
    </w:p>
    <w:p>
      <w:pPr>
        <w:ind w:right="3099" w:firstLine="443"/>
        <w:spacing w:after="0" w:line="274" w:lineRule="auto"/>
        <w:tabs>
          <w:tab w:leader="none" w:pos="902"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IN EMPLOYER CONTRIBUTIONS. Your interest in the contributions the Employer makes to the Plan for your benefit becomes 100% vested when you attain the normal retirement age of 62. Prior to normal retirement age, your interest in the contributions the Employer makes on your behalf becomes vested in accordance with the following schedule:</w:t>
      </w:r>
    </w:p>
    <w:p>
      <w:pPr>
        <w:spacing w:after="0" w:line="70"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44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Years of Service</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Percent of</w:t>
            </w:r>
          </w:p>
        </w:tc>
        <w:tc>
          <w:tcPr>
            <w:tcW w:w="0" w:type="dxa"/>
            <w:vAlign w:val="bottom"/>
          </w:tcPr>
          <w:p>
            <w:pPr>
              <w:spacing w:after="0"/>
              <w:rPr>
                <w:sz w:val="1"/>
                <w:szCs w:val="1"/>
                <w:color w:val="auto"/>
              </w:rPr>
            </w:pPr>
          </w:p>
        </w:tc>
      </w:tr>
      <w:tr>
        <w:trPr>
          <w:trHeight w:val="173"/>
        </w:trPr>
        <w:tc>
          <w:tcPr>
            <w:tcW w:w="4420" w:type="dxa"/>
            <w:vAlign w:val="bottom"/>
            <w:gridSpan w:val="2"/>
            <w:vMerge w:val="continue"/>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Nonforfeitable</w:t>
            </w:r>
          </w:p>
        </w:tc>
        <w:tc>
          <w:tcPr>
            <w:tcW w:w="0" w:type="dxa"/>
            <w:vAlign w:val="bottom"/>
          </w:tcPr>
          <w:p>
            <w:pPr>
              <w:spacing w:after="0"/>
              <w:rPr>
                <w:sz w:val="1"/>
                <w:szCs w:val="1"/>
                <w:color w:val="auto"/>
              </w:rPr>
            </w:pPr>
          </w:p>
        </w:tc>
      </w:tr>
      <w:tr>
        <w:trPr>
          <w:trHeight w:val="255"/>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With the Employer</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w w:val="99"/>
              </w:rPr>
              <w:t>Accrued Benefit</w:t>
            </w:r>
          </w:p>
        </w:tc>
        <w:tc>
          <w:tcPr>
            <w:tcW w:w="0" w:type="dxa"/>
            <w:vAlign w:val="bottom"/>
          </w:tcPr>
          <w:p>
            <w:pPr>
              <w:spacing w:after="0"/>
              <w:rPr>
                <w:sz w:val="1"/>
                <w:szCs w:val="1"/>
                <w:color w:val="auto"/>
              </w:rPr>
            </w:pPr>
          </w:p>
        </w:tc>
      </w:tr>
      <w:tr>
        <w:trPr>
          <w:trHeight w:val="265"/>
        </w:trPr>
        <w:tc>
          <w:tcPr>
            <w:tcW w:w="4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4"/>
              </w:rPr>
              <w:t>Less than 2  .............................................</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None</w:t>
            </w:r>
          </w:p>
        </w:tc>
        <w:tc>
          <w:tcPr>
            <w:tcW w:w="0" w:type="dxa"/>
            <w:vAlign w:val="bottom"/>
          </w:tcPr>
          <w:p>
            <w:pPr>
              <w:spacing w:after="0"/>
              <w:rPr>
                <w:sz w:val="1"/>
                <w:szCs w:val="1"/>
                <w:color w:val="auto"/>
              </w:rPr>
            </w:pPr>
          </w:p>
        </w:tc>
      </w:tr>
      <w:tr>
        <w:trPr>
          <w:trHeight w:val="173"/>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w w:val="84"/>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3"/>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w w:val="84"/>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173"/>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w w:val="84"/>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c>
          <w:tcPr>
            <w:tcW w:w="0" w:type="dxa"/>
            <w:vAlign w:val="bottom"/>
          </w:tcPr>
          <w:p>
            <w:pPr>
              <w:spacing w:after="0"/>
              <w:rPr>
                <w:sz w:val="1"/>
                <w:szCs w:val="1"/>
                <w:color w:val="auto"/>
              </w:rPr>
            </w:pPr>
          </w:p>
        </w:tc>
      </w:tr>
      <w:tr>
        <w:trPr>
          <w:trHeight w:val="173"/>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38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vertAlign w:val="subscript"/>
              </w:rPr>
              <w:t>or</w:t>
            </w:r>
            <w:r>
              <w:rPr>
                <w:rFonts w:ascii="Courier New" w:cs="Courier New" w:eastAsia="Courier New" w:hAnsi="Courier New"/>
                <w:sz w:val="9"/>
                <w:szCs w:val="9"/>
                <w:color w:val="auto"/>
                <w:w w:val="70"/>
              </w:rPr>
              <w:t>..................................................</w:t>
            </w:r>
            <w:r>
              <w:rPr>
                <w:rFonts w:ascii="Courier New" w:cs="Courier New" w:eastAsia="Courier New" w:hAnsi="Courier New"/>
                <w:sz w:val="14"/>
                <w:szCs w:val="14"/>
                <w:color w:val="auto"/>
                <w:w w:val="70"/>
                <w:vertAlign w:val="subscript"/>
              </w:rPr>
              <w:t>more..........................................</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c>
          <w:tcPr>
            <w:tcW w:w="0" w:type="dxa"/>
            <w:vAlign w:val="bottom"/>
          </w:tcPr>
          <w:p>
            <w:pPr>
              <w:spacing w:after="0"/>
              <w:rPr>
                <w:sz w:val="1"/>
                <w:szCs w:val="1"/>
                <w:color w:val="auto"/>
              </w:rPr>
            </w:pPr>
          </w:p>
        </w:tc>
      </w:tr>
      <w:tr>
        <w:trPr>
          <w:trHeight w:val="270"/>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3840" w:type="dxa"/>
            <w:vAlign w:val="bottom"/>
            <w:vMerge w:val="continue"/>
          </w:tcPr>
          <w:p>
            <w:pPr>
              <w:spacing w:after="0"/>
              <w:rPr>
                <w:sz w:val="23"/>
                <w:szCs w:val="23"/>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right="3019" w:firstLine="451"/>
        <w:spacing w:after="0" w:line="408" w:lineRule="auto"/>
        <w:rPr>
          <w:sz w:val="20"/>
          <w:szCs w:val="20"/>
          <w:color w:val="auto"/>
        </w:rPr>
      </w:pPr>
      <w:r>
        <w:rPr>
          <w:rFonts w:ascii="Courier New" w:cs="Courier New" w:eastAsia="Courier New" w:hAnsi="Courier New"/>
          <w:sz w:val="14"/>
          <w:szCs w:val="14"/>
          <w:color w:val="auto"/>
        </w:rPr>
        <w:t>Special vesting rule for death or disability. If you die or become disabled while still employed by the Employer, your entire plan interest becomes 100%</w:t>
      </w:r>
    </w:p>
    <w:p>
      <w:pPr>
        <w:sectPr>
          <w:pgSz w:w="11900" w:h="16978" w:orient="portrait"/>
          <w:cols w:equalWidth="0" w:num="1">
            <w:col w:w="10219"/>
          </w:cols>
          <w:pgMar w:left="240" w:top="113" w:right="1440" w:bottom="0" w:gutter="0" w:footer="0" w:header="0"/>
        </w:sectPr>
      </w:pPr>
    </w:p>
    <w:bookmarkStart w:id="19" w:name="page20"/>
    <w:bookmarkEnd w:id="19"/>
    <w:p>
      <w:pPr>
        <w:ind w:left="8"/>
        <w:spacing w:after="0"/>
        <w:rPr>
          <w:sz w:val="20"/>
          <w:szCs w:val="20"/>
          <w:color w:val="auto"/>
        </w:rPr>
      </w:pPr>
      <w:r>
        <w:rPr>
          <w:rFonts w:ascii="Courier New" w:cs="Courier New" w:eastAsia="Courier New" w:hAnsi="Courier New"/>
          <w:sz w:val="15"/>
          <w:szCs w:val="15"/>
          <w:color w:val="auto"/>
        </w:rPr>
        <w:t>vested, even if you otherwise would have a vested interest less than 100%.</w:t>
      </w:r>
    </w:p>
    <w:p>
      <w:pPr>
        <w:spacing w:after="0" w:line="177" w:lineRule="exact"/>
        <w:rPr>
          <w:sz w:val="20"/>
          <w:szCs w:val="20"/>
          <w:color w:val="auto"/>
        </w:rPr>
      </w:pPr>
    </w:p>
    <w:p>
      <w:pPr>
        <w:ind w:left="448" w:right="3199" w:firstLine="451"/>
        <w:spacing w:after="0" w:line="259" w:lineRule="auto"/>
        <w:rPr>
          <w:sz w:val="20"/>
          <w:szCs w:val="20"/>
          <w:color w:val="auto"/>
        </w:rPr>
      </w:pPr>
      <w:r>
        <w:rPr>
          <w:rFonts w:ascii="Courier New" w:cs="Courier New" w:eastAsia="Courier New" w:hAnsi="Courier New"/>
          <w:sz w:val="15"/>
          <w:szCs w:val="15"/>
          <w:color w:val="auto"/>
        </w:rPr>
        <w:t>Year of service. To determine your percentage under a vesting schedule, a year of service means a 12-month vesting service period in which you complete at least 1,000 hours of service. The Plan measures the vesting service period as the Plan Year. If you complete at least 1,000 hours during a Plan Year, you will receive credit for a year of service even though you are not employed by the Employer on the last day of that Plan Year. You will receive credit for years of service with the Employer prior to the time the Employer established the Plan and for years of service prior to the time you became a participant in the Plan.</w:t>
      </w:r>
    </w:p>
    <w:p>
      <w:pPr>
        <w:spacing w:after="0" w:line="83" w:lineRule="exact"/>
        <w:rPr>
          <w:sz w:val="20"/>
          <w:szCs w:val="20"/>
          <w:color w:val="auto"/>
        </w:rPr>
      </w:pPr>
    </w:p>
    <w:p>
      <w:pPr>
        <w:ind w:left="8" w:right="3099" w:firstLine="451"/>
        <w:spacing w:after="0" w:line="254" w:lineRule="auto"/>
        <w:rPr>
          <w:sz w:val="20"/>
          <w:szCs w:val="20"/>
          <w:color w:val="auto"/>
        </w:rPr>
      </w:pPr>
      <w:r>
        <w:rPr>
          <w:rFonts w:ascii="Courier New" w:cs="Courier New" w:eastAsia="Courier New" w:hAnsi="Courier New"/>
          <w:sz w:val="15"/>
          <w:szCs w:val="15"/>
          <w:color w:val="auto"/>
        </w:rPr>
        <w:t>The Plan provides two methods of vesting forfeiture which may apply before a participant becomes 100% vested in his entire interest under the Plan. The primary method of vesting forfeiture is the "forfeiture break in service" rule. The secondary method of forfeiture is the "cash out" rule. Also, see Section</w:t>
      </w:r>
    </w:p>
    <w:p>
      <w:pPr>
        <w:spacing w:after="0" w:line="2" w:lineRule="exact"/>
        <w:rPr>
          <w:sz w:val="20"/>
          <w:szCs w:val="20"/>
          <w:color w:val="auto"/>
        </w:rPr>
      </w:pPr>
    </w:p>
    <w:p>
      <w:pPr>
        <w:ind w:left="448" w:hanging="448"/>
        <w:spacing w:after="0"/>
        <w:tabs>
          <w:tab w:leader="none" w:pos="4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relating to loss or denial of benefits.</w:t>
      </w:r>
    </w:p>
    <w:p>
      <w:pPr>
        <w:spacing w:after="0" w:line="148" w:lineRule="exact"/>
        <w:rPr>
          <w:rFonts w:ascii="Courier New" w:cs="Courier New" w:eastAsia="Courier New" w:hAnsi="Courier New"/>
          <w:sz w:val="15"/>
          <w:szCs w:val="15"/>
          <w:color w:val="auto"/>
        </w:rPr>
      </w:pPr>
    </w:p>
    <w:p>
      <w:pPr>
        <w:ind w:left="448" w:right="3099"/>
        <w:spacing w:after="0" w:line="26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Forfeiture Break in Service Rule. Termination of employment alone will not result in a forfeiture under the Plan unless you do not return to employment with the Employer before incurring a "forfeiture break in service." A "forfeiture break in service" is a period of five consecutive vesting service periods in which you do not work more than 500 hours in each vesting service period comprising the five-year period.</w:t>
      </w:r>
    </w:p>
    <w:p>
      <w:pPr>
        <w:spacing w:after="0" w:line="75" w:lineRule="exact"/>
        <w:rPr>
          <w:sz w:val="20"/>
          <w:szCs w:val="20"/>
          <w:color w:val="auto"/>
        </w:rPr>
      </w:pPr>
    </w:p>
    <w:p>
      <w:pPr>
        <w:ind w:left="8" w:right="3019" w:firstLine="451"/>
        <w:spacing w:after="0" w:line="255" w:lineRule="auto"/>
        <w:rPr>
          <w:sz w:val="20"/>
          <w:szCs w:val="20"/>
          <w:color w:val="auto"/>
        </w:rPr>
      </w:pPr>
      <w:r>
        <w:rPr>
          <w:rFonts w:ascii="Courier New" w:cs="Courier New" w:eastAsia="Courier New" w:hAnsi="Courier New"/>
          <w:sz w:val="15"/>
          <w:szCs w:val="15"/>
          <w:color w:val="auto"/>
        </w:rPr>
        <w:t>Example. Assume you are 60% vested in your account balance. After working 400 hours during a particular vesting service period, you terminate employment and perform no further service for the Employer during the next four vesting service periods. Under this example, you would have a "forfeiture break in service" during the fourth vesting service period following the vesting service period in which you terminated employment because you did not work more than 500 hours during each of five consecutive vesting service periods. Consequently, you would forfeit the 40% nonvested portion of your account. If you had returned to employment with the Employer at any time during the five vesting service periods and worked at least 501 hours during any vesting service period within that five-year period, you would not incur a forfeiture under the "forfeiture break in service" rule.</w:t>
      </w:r>
    </w:p>
    <w:p>
      <w:pPr>
        <w:spacing w:after="0" w:line="8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Cash-Out Rule. The cash-out rule becomes operative if you terminate</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employment and receive a total distribution of the vested portion of your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account balance prior to your incurring a forfeiture break in service. For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example, assume you terminated employment during a particular vesting service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period after completing 800 hours of service. Assume further the total value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your account balance is $6,000 in which you have a 60% vested interest. Before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you incur a forfeiture break in service, you receive a distribution of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$3,600 vested portion ($6,000 x 60%) of your account balance. Upon payment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$3,600 vested portion of your account balance, you would forfeit the $2,400</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nonvested portion. If you return to employment before you incur a "forfeiture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break in service," you may have the Plan restore your "cash-out" forfeiture by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repaying the amount of the distribution you received attributable to Employer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contributions. This repayment right applies only if you do not incur a</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"forfeiture break in service." You must make this repayment no later than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date five years after you return to employment with the Employer. Upon your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reemployment with the Employer, you may request the Administrative Committee to</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provide you a full explanation of your rights regarding this repayment option.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If the vested portion of your account balance does not exceed $3,500, the Plan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will distribute that vested portion to you in a lump sum, without your consent.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This involuntary cash-out distribution will result in the forfeiture of your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nonvested account balance, in the same manner as an employee who voluntarily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elects a cash-out distribution. Also, upon reemployment you would have the same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repayment option as an employee who elected a cash-out distribution, if you</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return to employment before incurring a "forfeiture break in service."</w:t>
      </w:r>
    </w:p>
    <w:p>
      <w:pPr>
        <w:spacing w:after="0" w:line="149" w:lineRule="exact"/>
        <w:rPr>
          <w:sz w:val="20"/>
          <w:szCs w:val="20"/>
          <w:color w:val="auto"/>
        </w:rPr>
      </w:pPr>
    </w:p>
    <w:p>
      <w:pPr>
        <w:ind w:left="8" w:right="3019" w:firstLine="443"/>
        <w:spacing w:after="0" w:line="264" w:lineRule="auto"/>
        <w:tabs>
          <w:tab w:leader="none" w:pos="90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BENEFITS AFTER TERMINATION OF EMPLOYMENT. After you terminate employment with the Employer, the time at which the Plan will commence distribution to you depends on whether your vested account balance exceeds $3,500. If you receive a distribution from the Plan before you attain age 59 1/2, the law imposes a 10% penalty on the amount of the distribution you must include in your gross income, unless you qualify for an exception from the penalty. You should consult a tax advisor regarding this 10% penalty.</w:t>
      </w:r>
    </w:p>
    <w:p>
      <w:pPr>
        <w:spacing w:after="0" w:line="79" w:lineRule="exact"/>
        <w:rPr>
          <w:sz w:val="20"/>
          <w:szCs w:val="20"/>
          <w:color w:val="auto"/>
        </w:rPr>
      </w:pPr>
    </w:p>
    <w:p>
      <w:pPr>
        <w:ind w:left="8" w:right="3019" w:firstLine="451"/>
        <w:spacing w:after="0" w:line="251" w:lineRule="auto"/>
        <w:rPr>
          <w:sz w:val="20"/>
          <w:szCs w:val="20"/>
          <w:color w:val="auto"/>
        </w:rPr>
      </w:pPr>
      <w:r>
        <w:rPr>
          <w:rFonts w:ascii="Courier New" w:cs="Courier New" w:eastAsia="Courier New" w:hAnsi="Courier New"/>
          <w:sz w:val="15"/>
          <w:szCs w:val="15"/>
          <w:color w:val="auto"/>
        </w:rPr>
        <w:t>If the vested portion of your account balance does not exceed $3,500, the Trustee will distribute that portion to you, in lump sum, as soon as administratively practicable following your termination of employment with the Employer without any election on your part. If the vested portion of your account balance exceeds $3,500, the Trustee will commence distribution to you, in lump sum, at the time you elect. The Plan permits you to elect distribution as of any date following your termination with the Employer. No later than 30 days prior to the date the Trustee expects to make distribution to you, the Administrative Committee will provide you a notice explaining your right to elect distribution from the Plan and the forms necessary to make your election. If you fail to elect commencement of payment of your vested account balance, the Administrative Committee will direct the Trustee to commence distribution to you no later than the 60th day following the close of the Plan Year in which the later of two events occurs: (1) your attainment of normal retirement age; or (2) your termination of employment with the Employer. If you already have attained normal retirement age (age 62) when you terminate employment, the Trustee must make this distribution no later than the 60th day following the close of the Plan Year in which you terminate employment with the Employer.</w:t>
      </w:r>
    </w:p>
    <w:p>
      <w:pPr>
        <w:spacing w:after="0" w:line="9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To determine whether the vested portion of your account balance exceeds</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$3,500, the Plan normally looks to the last valuation of your account prior to</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schedule distribution date. However, if you previously received a</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distribution from the Plan when your vested account balance exceeded $3,500, the</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Plan treats you as if your vested account balance always exceeds $3,500 for</w:t>
      </w:r>
    </w:p>
    <w:p>
      <w:pPr>
        <w:sectPr>
          <w:pgSz w:w="11900" w:h="16838" w:orient="portrait"/>
          <w:cols w:equalWidth="0" w:num="1">
            <w:col w:w="10227"/>
          </w:cols>
          <w:pgMar w:left="232" w:top="113" w:right="1440" w:bottom="0" w:gutter="0" w:footer="0" w:header="0"/>
        </w:sectPr>
      </w:pPr>
    </w:p>
    <w:bookmarkStart w:id="20" w:name="page21"/>
    <w:bookmarkEnd w:id="20"/>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purposes of any later distributions to you.</w:t>
      </w:r>
    </w:p>
    <w:p>
      <w:pPr>
        <w:spacing w:after="0" w:line="177" w:lineRule="exact"/>
        <w:rPr>
          <w:sz w:val="20"/>
          <w:szCs w:val="20"/>
          <w:color w:val="auto"/>
        </w:rPr>
      </w:pPr>
    </w:p>
    <w:p>
      <w:pPr>
        <w:ind w:right="3099" w:firstLine="451"/>
        <w:spacing w:after="0" w:line="274" w:lineRule="auto"/>
        <w:rPr>
          <w:sz w:val="20"/>
          <w:szCs w:val="20"/>
          <w:color w:val="auto"/>
        </w:rPr>
      </w:pPr>
      <w:r>
        <w:rPr>
          <w:rFonts w:ascii="Courier New" w:cs="Courier New" w:eastAsia="Courier New" w:hAnsi="Courier New"/>
          <w:sz w:val="15"/>
          <w:szCs w:val="15"/>
          <w:color w:val="auto"/>
        </w:rPr>
        <w:t>With limited exceptions, you may not commence distribution of your vested account balance later than April 1 of the calendar year following the calendar year in which you attain age 70 1/2, even if you have not terminated employment with the Employer. This required distribution date overrides any contrary distribution date described in this summary.</w:t>
      </w:r>
    </w:p>
    <w:p>
      <w:pPr>
        <w:spacing w:after="0" w:line="70" w:lineRule="exact"/>
        <w:rPr>
          <w:sz w:val="20"/>
          <w:szCs w:val="20"/>
          <w:color w:val="auto"/>
        </w:rPr>
      </w:pPr>
    </w:p>
    <w:p>
      <w:pPr>
        <w:ind w:right="3019" w:firstLine="451"/>
        <w:spacing w:after="0" w:line="252" w:lineRule="auto"/>
        <w:rPr>
          <w:sz w:val="20"/>
          <w:szCs w:val="20"/>
          <w:color w:val="auto"/>
        </w:rPr>
      </w:pPr>
      <w:r>
        <w:rPr>
          <w:rFonts w:ascii="Courier New" w:cs="Courier New" w:eastAsia="Courier New" w:hAnsi="Courier New"/>
          <w:sz w:val="15"/>
          <w:szCs w:val="15"/>
          <w:color w:val="auto"/>
        </w:rPr>
        <w:t>Method of Payment. The Administrative Committee will maintain an employer securities account to reflect your interest in employer securities and a general investments account to reflect your interest in the trust fund investments other than employer securities. The Trustee will distribute your vested interest in your employer securities account in whole shares of employer securities. The Trustee will distribute your vested interest in your general investment account and any fractional shares in your employer securities account in cash. For purposes of making a distribution from your general investment account, the Plan refers to the latest valuation of your account balance. The Plan requires valuation of the trust fund, and adjustment of the participant accounts, as of the last day of each quarter of the Plan Year. For the general investment accounts, the Plan allocates trust fund earnings, gains or losses for a valuation period on the basis of each participant's opening general investments account balance at the beginning of the valuation period, less any distributions and charges to each participant's general investment account during the valuation period.</w:t>
      </w:r>
    </w:p>
    <w:p>
      <w:pPr>
        <w:spacing w:after="0" w:line="93" w:lineRule="exact"/>
        <w:rPr>
          <w:sz w:val="20"/>
          <w:szCs w:val="20"/>
          <w:color w:val="auto"/>
        </w:rPr>
      </w:pPr>
    </w:p>
    <w:p>
      <w:pPr>
        <w:ind w:right="3019" w:firstLine="443"/>
        <w:spacing w:after="0" w:line="311" w:lineRule="auto"/>
        <w:tabs>
          <w:tab w:leader="none" w:pos="902"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BENEFITS PRIOR TO TERMINATION OF EMPLOYMENT. Other than the post-age 70 1/2 distribution requirement described in Section (11), the Plan does not permit you to receive payment of any portion of your account balance for any other reason, unless you terminate employment with the Employer.</w:t>
      </w:r>
    </w:p>
    <w:p>
      <w:pPr>
        <w:spacing w:after="0" w:line="44" w:lineRule="exact"/>
        <w:rPr>
          <w:rFonts w:ascii="Courier New" w:cs="Courier New" w:eastAsia="Courier New" w:hAnsi="Courier New"/>
          <w:sz w:val="14"/>
          <w:szCs w:val="14"/>
          <w:color w:val="auto"/>
        </w:rPr>
      </w:pPr>
    </w:p>
    <w:p>
      <w:pPr>
        <w:ind w:left="900" w:hanging="457"/>
        <w:spacing w:after="0"/>
        <w:tabs>
          <w:tab w:leader="none" w:pos="9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BENEFITS. If you terminate employment because of</w:t>
      </w:r>
    </w:p>
    <w:p>
      <w:pPr>
        <w:spacing w:after="0" w:line="31" w:lineRule="exact"/>
        <w:rPr>
          <w:rFonts w:ascii="Courier New" w:cs="Courier New" w:eastAsia="Courier New" w:hAnsi="Courier New"/>
          <w:sz w:val="15"/>
          <w:szCs w:val="15"/>
          <w:color w:val="auto"/>
        </w:rPr>
      </w:pPr>
    </w:p>
    <w:p>
      <w:pPr>
        <w:ind w:right="30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the Plan will pay your vested account balance to you in lump sum as soon as administratively practicable following your termination of employment. However, if your vested account balance exceeds $3,500, the disability distribution rules are subject to any election requirements described in Section (11). In general, disability under the Plan means because of a physical or mental disability you are unable to perform the duties of your customary position of employment for an indefinite period which, in the opinion of the Administrative Committee, will be of long continued duration. The Administrative Committee also considers you disabled if you terminate employment because of a permanent loss or loss of use of a member or function of your body or a permanent disfigurement. The Administrative Committee may require a physical examination in order to confirm the disability.</w:t>
      </w:r>
    </w:p>
    <w:p>
      <w:pPr>
        <w:spacing w:after="0" w:line="84" w:lineRule="exact"/>
        <w:rPr>
          <w:rFonts w:ascii="Courier New" w:cs="Courier New" w:eastAsia="Courier New" w:hAnsi="Courier New"/>
          <w:sz w:val="15"/>
          <w:szCs w:val="15"/>
          <w:color w:val="auto"/>
        </w:rPr>
      </w:pPr>
    </w:p>
    <w:p>
      <w:pPr>
        <w:ind w:right="3019" w:firstLine="443"/>
        <w:spacing w:after="0" w:line="252" w:lineRule="auto"/>
        <w:tabs>
          <w:tab w:leader="none" w:pos="902"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BENEFITS UPON DEATH. If you die prior to receiving all of your benefits under the Plan, the Plan will pay the balance of your account to your beneficiary. The Administrative Committee will provide you with an appropriate form for naming a beneficiary. If you are married, your spouse must consent to the designation of any nonspouse beneficiary. If your vested account balance payable to your designated beneficiary does not exceed $3,500, the Plan will pay the benefit, in lump sum, to your designated beneficiary as soon as administratively practicable after your death. If your vested account balance payable to your designated beneficiary exceeds $3,500, the Plan will pay the benefit to your designated beneficiary, in the form and at the time elected by the beneficiary, unless, prior to your death, you specify the timing and form of the beneficiary's distribution. The benefit payment election generally must complete distribution of your account balance within five years of your death, unless distribution commences within one year of your death to your designated beneficiary or unless benefits had commenced prior to your death under the mandatory post-age 70 1/2 distribution requirements described in Section (11).</w:t>
      </w:r>
    </w:p>
    <w:p>
      <w:pPr>
        <w:spacing w:after="0" w:line="92" w:lineRule="exact"/>
        <w:rPr>
          <w:rFonts w:ascii="Courier New" w:cs="Courier New" w:eastAsia="Courier New" w:hAnsi="Courier New"/>
          <w:sz w:val="15"/>
          <w:szCs w:val="15"/>
          <w:color w:val="auto"/>
        </w:rPr>
      </w:pPr>
    </w:p>
    <w:p>
      <w:pPr>
        <w:ind w:right="3019" w:firstLine="443"/>
        <w:spacing w:after="0" w:line="272" w:lineRule="auto"/>
        <w:tabs>
          <w:tab w:leader="none" w:pos="902"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DISQUALIFICATION OF PARTICIPANT STATUS - LOSS OR DENIAL OF BENEFITS. There are no specific Plan provisions which disqualify you as a participant or which cause you to lose Plan benefits, except as provided in Sections (7) and (10). However, if you become disabled and do not receive compensation from the Employer, you will not receive an allocation of the Employer's contribution to the Plan during the period of disability. In addition, if your Plan benefits become payable after termination of employment and the Administrative Committee is unable to locate you at your last address of record, you may forfeit your benefits under the Plan. Therefore, it is very important that you keep the Employer apprised of your mailing address even after you have terminated employment. Finally, if the Employer terminates the Plan, which it has the right to do, you would receive benefits under the Plan based on your account balance accumulated to the date of the termination of the Plan. Termination of the Plan could occur before you attain normal retirement age. If the Employer terminates the Plan, your account will become 100% vested, if not already 100% vested, unless you forfeited the nonvested portion prior to the termination date.</w:t>
      </w:r>
    </w:p>
    <w:p>
      <w:pPr>
        <w:spacing w:after="0" w:line="251" w:lineRule="exact"/>
        <w:rPr>
          <w:sz w:val="20"/>
          <w:szCs w:val="20"/>
          <w:color w:val="auto"/>
        </w:rPr>
      </w:pPr>
    </w:p>
    <w:p>
      <w:pPr>
        <w:ind w:right="3279" w:firstLine="451"/>
        <w:spacing w:after="0" w:line="285" w:lineRule="auto"/>
        <w:rPr>
          <w:sz w:val="20"/>
          <w:szCs w:val="20"/>
          <w:color w:val="auto"/>
        </w:rPr>
      </w:pPr>
      <w:r>
        <w:rPr>
          <w:rFonts w:ascii="Courier New" w:cs="Courier New" w:eastAsia="Courier New" w:hAnsi="Courier New"/>
          <w:sz w:val="15"/>
          <w:szCs w:val="15"/>
          <w:color w:val="auto"/>
        </w:rPr>
        <w:t>The fact that the Employer has established this Plan does not confer any right to future employment with the Employer. Furthermore, you may not assign your interest in the Plan to another person or use your Plan interest as collateral for a loan from a commercial lender.</w:t>
      </w:r>
    </w:p>
    <w:p>
      <w:pPr>
        <w:spacing w:after="0" w:line="60" w:lineRule="exact"/>
        <w:rPr>
          <w:sz w:val="20"/>
          <w:szCs w:val="20"/>
          <w:color w:val="auto"/>
        </w:rPr>
      </w:pPr>
    </w:p>
    <w:p>
      <w:pPr>
        <w:ind w:left="900" w:hanging="457"/>
        <w:spacing w:after="0"/>
        <w:tabs>
          <w:tab w:leader="none" w:pos="9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PROCEDURE. You need not file a formal claim with the</w:t>
      </w:r>
    </w:p>
    <w:p>
      <w:pPr>
        <w:spacing w:after="0" w:line="31" w:lineRule="exact"/>
        <w:rPr>
          <w:rFonts w:ascii="Courier New" w:cs="Courier New" w:eastAsia="Courier New" w:hAnsi="Courier New"/>
          <w:sz w:val="15"/>
          <w:szCs w:val="15"/>
          <w:color w:val="auto"/>
        </w:rPr>
      </w:pPr>
    </w:p>
    <w:p>
      <w:pPr>
        <w:ind w:right="309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Committee in order to receive your benefits under the Plan. When an event occurs which entitles you to a distribution of your benefits under the Plan, the Administrative Committee automatically will notify you regarding the distribution of your benefits. However, if you disagree with the Administrative Committee's determination of the amount of your benefits under the Plan or with respect to any other decision the Administrative Committee may make regarding your interest in the Plan, the Plan contains the appeal procedure you should follow. In brief, if the Administrative Committee of the Plan determines it should deny benefits to you or to your beneficiary making a claim for benefits, the Plan Administrator will give you or your beneficiary adequate notice in writing setting forth specific reasons for the denial and referring you or your</w:t>
      </w:r>
    </w:p>
    <w:p>
      <w:pPr>
        <w:sectPr>
          <w:pgSz w:w="11900" w:h="16868" w:orient="portrait"/>
          <w:cols w:equalWidth="0" w:num="1">
            <w:col w:w="10219"/>
          </w:cols>
          <w:pgMar w:left="240" w:top="113" w:right="1440" w:bottom="0" w:gutter="0" w:footer="0" w:header="0"/>
        </w:sectPr>
      </w:pPr>
    </w:p>
    <w:bookmarkStart w:id="21" w:name="page22"/>
    <w:bookmarkEnd w:id="21"/>
    <w:p>
      <w:pPr>
        <w:spacing w:after="0" w:line="117" w:lineRule="exact"/>
        <w:rPr>
          <w:sz w:val="20"/>
          <w:szCs w:val="20"/>
          <w:color w:val="auto"/>
        </w:rPr>
      </w:pPr>
    </w:p>
    <w:p>
      <w:pPr>
        <w:ind w:right="3199"/>
        <w:spacing w:after="0" w:line="262" w:lineRule="auto"/>
        <w:rPr>
          <w:sz w:val="20"/>
          <w:szCs w:val="20"/>
          <w:color w:val="auto"/>
        </w:rPr>
      </w:pPr>
      <w:r>
        <w:rPr>
          <w:rFonts w:ascii="Courier New" w:cs="Courier New" w:eastAsia="Courier New" w:hAnsi="Courier New"/>
          <w:sz w:val="15"/>
          <w:szCs w:val="15"/>
          <w:color w:val="auto"/>
        </w:rPr>
        <w:t>beneficiary to the pertinent provisions of the Plan supporting the Administrative Committee's decision. If you or your beneficiary disagrees with the Administrative Committee, you or your beneficiary, or a duly authorized representative, must appeal the adverse determination in writing to the Administrative Committee within 75 days after the receipt of the notice of denial of benefits. If you or your beneficiary fails to appeal a denial within the 75-day period, the Administrative Committee's determination will be final and binding.</w:t>
      </w:r>
    </w:p>
    <w:p>
      <w:pPr>
        <w:spacing w:after="0" w:line="76" w:lineRule="exact"/>
        <w:rPr>
          <w:sz w:val="20"/>
          <w:szCs w:val="20"/>
          <w:color w:val="auto"/>
        </w:rPr>
      </w:pPr>
    </w:p>
    <w:p>
      <w:pPr>
        <w:ind w:right="3019" w:firstLine="451"/>
        <w:spacing w:after="0" w:line="259" w:lineRule="auto"/>
        <w:rPr>
          <w:sz w:val="20"/>
          <w:szCs w:val="20"/>
          <w:color w:val="auto"/>
        </w:rPr>
      </w:pPr>
      <w:r>
        <w:rPr>
          <w:rFonts w:ascii="Courier New" w:cs="Courier New" w:eastAsia="Courier New" w:hAnsi="Courier New"/>
          <w:sz w:val="15"/>
          <w:szCs w:val="15"/>
          <w:color w:val="auto"/>
        </w:rPr>
        <w:t>If you or your beneficiary appeals to the Administrative Committee, you, or your duly authorized representative, must submit the issues and comments you feel are pertinent to permit the Administrative Committee to reexamine all facts and make a final determination with respect to the denial. The Administrative Committee, in most cases, will make a decision within 60 days of a request on appeal unless special circumstances would make the rendering of a decision within the 60-day period unfeasible. In any event, the Administrative Committee must render a decision within 120 days after its receipt of a request for review.</w:t>
      </w:r>
    </w:p>
    <w:p>
      <w:pPr>
        <w:spacing w:after="0" w:line="83" w:lineRule="exact"/>
        <w:rPr>
          <w:sz w:val="20"/>
          <w:szCs w:val="20"/>
          <w:color w:val="auto"/>
        </w:rPr>
      </w:pPr>
    </w:p>
    <w:p>
      <w:pPr>
        <w:ind w:right="3099" w:firstLine="443"/>
        <w:spacing w:after="0" w:line="258" w:lineRule="auto"/>
        <w:tabs>
          <w:tab w:leader="none" w:pos="902"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RETIRED PARTICIPANT, SEPARATED PARTICIPANT WITH VESTED BENEFIT, BENEFICIARY RECEIVING BENEFITS. If you are a retired participant or beneficiary receiving benefits, the benefits you presently are receiving will continue in the same amount and for the same period provided in the mode of settlement selected at retirement. If you are a separated participant with a vested benefit, you may obtain a statement of the dollar amount of your vested benefit upon request to the Plan Administrator. There is no Plan provision which reduces, changes, terminates, forfeits, or suspends the benefits of a retired participant, a beneficiary receiving benefits or a separated participant's vested benefit amount, except as provided in Section (15).</w:t>
      </w:r>
    </w:p>
    <w:p>
      <w:pPr>
        <w:spacing w:after="0" w:line="80" w:lineRule="exact"/>
        <w:rPr>
          <w:rFonts w:ascii="Courier New" w:cs="Courier New" w:eastAsia="Courier New" w:hAnsi="Courier New"/>
          <w:sz w:val="15"/>
          <w:szCs w:val="15"/>
          <w:color w:val="auto"/>
        </w:rPr>
      </w:pPr>
    </w:p>
    <w:p>
      <w:pPr>
        <w:ind w:right="3199" w:firstLine="443"/>
        <w:spacing w:after="0" w:line="285" w:lineRule="auto"/>
        <w:tabs>
          <w:tab w:leader="none" w:pos="902"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RIGHTS UNDER ERISA. As a participant in this Plan, you are entitled to certain rights and protections under the Employee Retirement Income Security Act of 1974 (ERISA). ERISA provides that all Plan participants shall be entitled to:</w:t>
      </w:r>
    </w:p>
    <w:p>
      <w:pPr>
        <w:spacing w:after="0" w:line="60" w:lineRule="exact"/>
        <w:rPr>
          <w:sz w:val="20"/>
          <w:szCs w:val="20"/>
          <w:color w:val="auto"/>
        </w:rPr>
      </w:pPr>
    </w:p>
    <w:p>
      <w:pPr>
        <w:ind w:left="440" w:right="3019" w:firstLine="3"/>
        <w:spacing w:after="0" w:line="274" w:lineRule="auto"/>
        <w:tabs>
          <w:tab w:leader="none" w:pos="80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Examine, without charge, at the Plan Administrator's office and at other specified locations (such as work sites) all Plan documents, including insurance contracts and copies of all documents filed by the Plan with the U S. Department of Labor, such as detailed annual reports and plan descriptions.</w:t>
      </w:r>
    </w:p>
    <w:p>
      <w:pPr>
        <w:spacing w:after="0" w:line="70" w:lineRule="exact"/>
        <w:rPr>
          <w:rFonts w:ascii="Courier New" w:cs="Courier New" w:eastAsia="Courier New" w:hAnsi="Courier New"/>
          <w:sz w:val="15"/>
          <w:szCs w:val="15"/>
          <w:color w:val="auto"/>
        </w:rPr>
      </w:pPr>
    </w:p>
    <w:p>
      <w:pPr>
        <w:ind w:left="440" w:right="3099" w:firstLine="3"/>
        <w:spacing w:after="0" w:line="305" w:lineRule="auto"/>
        <w:tabs>
          <w:tab w:leader="none" w:pos="80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copies of all Plan documents and other Plan information upon written request to the Plan Administrator. The Plan Administrator may make a reasonable charge for the copies.</w:t>
      </w:r>
    </w:p>
    <w:p>
      <w:pPr>
        <w:spacing w:after="0" w:line="45" w:lineRule="exact"/>
        <w:rPr>
          <w:rFonts w:ascii="Courier New" w:cs="Courier New" w:eastAsia="Courier New" w:hAnsi="Courier New"/>
          <w:sz w:val="15"/>
          <w:szCs w:val="15"/>
          <w:color w:val="auto"/>
        </w:rPr>
      </w:pPr>
    </w:p>
    <w:p>
      <w:pPr>
        <w:ind w:left="440" w:right="3019" w:firstLine="3"/>
        <w:spacing w:after="0" w:line="305" w:lineRule="auto"/>
        <w:tabs>
          <w:tab w:leader="none" w:pos="80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a summary of the Plan's annual financial report. ERISA requires the Plan Administrator to furnish each participant with a copy of this summary annual report.</w:t>
      </w:r>
    </w:p>
    <w:p>
      <w:pPr>
        <w:spacing w:after="0" w:line="45" w:lineRule="exact"/>
        <w:rPr>
          <w:rFonts w:ascii="Courier New" w:cs="Courier New" w:eastAsia="Courier New" w:hAnsi="Courier New"/>
          <w:sz w:val="15"/>
          <w:szCs w:val="15"/>
          <w:color w:val="auto"/>
        </w:rPr>
      </w:pPr>
    </w:p>
    <w:p>
      <w:pPr>
        <w:ind w:left="440" w:right="3019" w:firstLine="3"/>
        <w:spacing w:after="0" w:line="259" w:lineRule="auto"/>
        <w:tabs>
          <w:tab w:leader="none" w:pos="80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a statement telling you that you have a right to receive a retirement benefit at the normal retirement age under the Plan and what your benefit could be at normal retirement age if you stop working under the Plan now. See the second paragraph of Section (3). If you do not have a right to a retirement benefit, the statement will advise you of the number of additional years you must work to receive a retirement benefit. You must request this statement in writing. The law does not require the Plan Administrator to give this statement more than once a year. The Plan must provide the statement free of charge.</w:t>
      </w:r>
    </w:p>
    <w:p>
      <w:pPr>
        <w:spacing w:after="0" w:line="83"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5"/>
          <w:szCs w:val="15"/>
          <w:color w:val="auto"/>
        </w:rPr>
        <w:t>In addition to creating rights for Plan participants, ERISA imposes duties upon the people who are responsible for the operation of the employee benefit plan. The people who operate this Plan, called "fiduciaries" of the Plan, have a duty to do so prudently and in the interest of you and other Plan participants and beneficiaries. No one, including your Employer, your union or any other person may fire you or otherwise discriminate against you in any way to prevent you from obtaining a retirement benefit or from exercising your rights under ERISA.</w:t>
      </w:r>
    </w:p>
    <w:p>
      <w:pPr>
        <w:spacing w:after="0" w:line="76" w:lineRule="exact"/>
        <w:rPr>
          <w:sz w:val="20"/>
          <w:szCs w:val="20"/>
          <w:color w:val="auto"/>
        </w:rPr>
      </w:pPr>
    </w:p>
    <w:p>
      <w:pPr>
        <w:ind w:right="3199" w:firstLine="451"/>
        <w:spacing w:after="0" w:line="305" w:lineRule="auto"/>
        <w:rPr>
          <w:sz w:val="20"/>
          <w:szCs w:val="20"/>
          <w:color w:val="auto"/>
        </w:rPr>
      </w:pPr>
      <w:r>
        <w:rPr>
          <w:rFonts w:ascii="Courier New" w:cs="Courier New" w:eastAsia="Courier New" w:hAnsi="Courier New"/>
          <w:sz w:val="15"/>
          <w:szCs w:val="15"/>
          <w:color w:val="auto"/>
        </w:rPr>
        <w:t>If your claim for a retirement benefit is denied in whole or in part, you must receive a written explanation of the reason for the denial. You have the right to have the Plan review and reconsider your claim.</w:t>
      </w:r>
    </w:p>
    <w:p>
      <w:pPr>
        <w:spacing w:after="0" w:line="46" w:lineRule="exact"/>
        <w:rPr>
          <w:sz w:val="20"/>
          <w:szCs w:val="20"/>
          <w:color w:val="auto"/>
        </w:rPr>
      </w:pPr>
    </w:p>
    <w:p>
      <w:pPr>
        <w:ind w:right="3019" w:firstLine="451"/>
        <w:spacing w:after="0" w:line="253" w:lineRule="auto"/>
        <w:rPr>
          <w:sz w:val="20"/>
          <w:szCs w:val="20"/>
          <w:color w:val="auto"/>
        </w:rPr>
      </w:pPr>
      <w:r>
        <w:rPr>
          <w:rFonts w:ascii="Courier New" w:cs="Courier New" w:eastAsia="Courier New" w:hAnsi="Courier New"/>
          <w:sz w:val="15"/>
          <w:szCs w:val="15"/>
          <w:color w:val="auto"/>
        </w:rPr>
        <w:t>Under ERISA, there are steps you can take to enforce the above rights. For instance, if you request materials from the Plan and do not receive the materials within 30 days, you may file suit in a Federal court. In such a case, the court may require the Plan Administrator to provide the materials and pay you up to $100 a day until you receive the materials, unless the materials were not sent because of reasons beyond the control of the Plan Administrator. If you have a claim for benefits which is denied or ignored, in whole or in part, you may file suit in a state or Federal court. If it should happen that Plan fiduciaries misuse the Plan's money, or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87" w:lineRule="exact"/>
        <w:rPr>
          <w:sz w:val="20"/>
          <w:szCs w:val="20"/>
          <w:color w:val="auto"/>
        </w:rPr>
      </w:pPr>
    </w:p>
    <w:p>
      <w:pPr>
        <w:jc w:val="both"/>
        <w:ind w:right="3459" w:firstLine="451"/>
        <w:spacing w:after="0" w:line="285" w:lineRule="auto"/>
        <w:rPr>
          <w:sz w:val="20"/>
          <w:szCs w:val="20"/>
          <w:color w:val="auto"/>
        </w:rPr>
      </w:pPr>
      <w:r>
        <w:rPr>
          <w:rFonts w:ascii="Courier New" w:cs="Courier New" w:eastAsia="Courier New" w:hAnsi="Courier New"/>
          <w:sz w:val="15"/>
          <w:szCs w:val="15"/>
          <w:color w:val="auto"/>
        </w:rPr>
        <w:t>If you have any questions about your Plan, you should contact the Plan Administrator. If you have any questions about this statement or about your rights under ERISA, you should contact the nearest Area Office of the U.S. Labor-Management Services Administration, Department of Labor.</w:t>
      </w:r>
    </w:p>
    <w:p>
      <w:pPr>
        <w:spacing w:after="0" w:line="60" w:lineRule="exact"/>
        <w:rPr>
          <w:sz w:val="20"/>
          <w:szCs w:val="20"/>
          <w:color w:val="auto"/>
        </w:rPr>
      </w:pPr>
    </w:p>
    <w:p>
      <w:pPr>
        <w:ind w:right="3099" w:firstLine="443"/>
        <w:spacing w:after="0" w:line="365" w:lineRule="auto"/>
        <w:tabs>
          <w:tab w:leader="none" w:pos="90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INCOME TAXATION OF BENEFITS PAID. Existing Federal income tax laws do not require you to report currently as income amounts the Employer</w:t>
      </w:r>
    </w:p>
    <w:p>
      <w:pPr>
        <w:sectPr>
          <w:pgSz w:w="11900" w:h="16955" w:orient="portrait"/>
          <w:cols w:equalWidth="0" w:num="1">
            <w:col w:w="10219"/>
          </w:cols>
          <w:pgMar w:left="240" w:top="113" w:right="1440" w:bottom="0" w:gutter="0" w:footer="0" w:header="0"/>
        </w:sectPr>
      </w:pPr>
    </w:p>
    <w:bookmarkStart w:id="22" w:name="page23"/>
    <w:bookmarkEnd w:id="22"/>
    <w:p>
      <w:pPr>
        <w:spacing w:after="0" w:line="74" w:lineRule="exact"/>
        <w:rPr>
          <w:sz w:val="20"/>
          <w:szCs w:val="20"/>
          <w:color w:val="auto"/>
        </w:rPr>
      </w:pPr>
    </w:p>
    <w:p>
      <w:pPr>
        <w:ind w:left="8" w:right="3019"/>
        <w:spacing w:after="0" w:line="254" w:lineRule="auto"/>
        <w:rPr>
          <w:sz w:val="20"/>
          <w:szCs w:val="20"/>
          <w:color w:val="auto"/>
        </w:rPr>
      </w:pPr>
      <w:r>
        <w:rPr>
          <w:rFonts w:ascii="Courier New" w:cs="Courier New" w:eastAsia="Courier New" w:hAnsi="Courier New"/>
          <w:sz w:val="15"/>
          <w:szCs w:val="15"/>
          <w:color w:val="auto"/>
        </w:rPr>
        <w:t>contributes to the Plan and which the Administrative Committee allocates to your account. However, when the Trustee ultimately distributes your account balance to you, such as upon your retirement, you must report as income the Plan distributions you receive. The Federal tax laws may permit you to report a Plan distribution under a special averaging provision. Also, it may be possible for you to defer Federal income taxation of a distribution by making a "roll-over" contribution to your own rollover individual retirement account or to another qualified plan. Mandatory income tax withholding rules apply to some distributions you do not rollover directly to an individual retirement account or to another qualified plan. At the time you receive a distribution, you also will receive a notice explaining the withholding requirements and the options available to you. We emphasize you should consult your own tax adviser with respect to the proper method of reporting any distribution you receive from the Plan. See Section (14).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December 16, 1993</w:t>
      </w:r>
    </w:p>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Norwest Bank Iowa, N.A.</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P.O. Box 837</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Des Moines, IA 50304</w:t>
      </w:r>
    </w:p>
    <w:p>
      <w:pPr>
        <w:spacing w:after="0" w:line="149" w:lineRule="exact"/>
        <w:rPr>
          <w:sz w:val="20"/>
          <w:szCs w:val="20"/>
          <w:color w:val="auto"/>
        </w:rPr>
      </w:pPr>
    </w:p>
    <w:p>
      <w:pPr>
        <w:ind w:left="8"/>
        <w:spacing w:after="0"/>
        <w:tabs>
          <w:tab w:leader="none" w:pos="1067" w:val="left"/>
        </w:tabs>
        <w:rPr>
          <w:sz w:val="20"/>
          <w:szCs w:val="20"/>
          <w:color w:val="auto"/>
        </w:rPr>
      </w:pPr>
      <w:r>
        <w:rPr>
          <w:rFonts w:ascii="Courier New" w:cs="Courier New" w:eastAsia="Courier New" w:hAnsi="Courier New"/>
          <w:sz w:val="15"/>
          <w:szCs w:val="15"/>
          <w:color w:val="auto"/>
        </w:rPr>
        <w:t>Attention:</w:t>
        <w:tab/>
        <w:t>Janet J. Jenkins</w:t>
      </w:r>
    </w:p>
    <w:p>
      <w:pPr>
        <w:spacing w:after="0" w:line="31"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Vice President</w:t>
      </w:r>
    </w:p>
    <w:p>
      <w:pPr>
        <w:spacing w:after="0" w:line="149" w:lineRule="exact"/>
        <w:rPr>
          <w:sz w:val="20"/>
          <w:szCs w:val="20"/>
          <w:color w:val="auto"/>
        </w:rPr>
      </w:pPr>
    </w:p>
    <w:p>
      <w:pPr>
        <w:ind w:left="3248"/>
        <w:spacing w:after="0"/>
        <w:tabs>
          <w:tab w:leader="none" w:pos="3847"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5"/>
          <w:szCs w:val="15"/>
          <w:color w:val="auto"/>
        </w:rPr>
        <w:t>Winnebago Industries, Inc. Employees</w:t>
      </w:r>
    </w:p>
    <w:p>
      <w:pPr>
        <w:spacing w:after="0" w:line="31" w:lineRule="exact"/>
        <w:rPr>
          <w:sz w:val="20"/>
          <w:szCs w:val="20"/>
          <w:color w:val="auto"/>
        </w:rPr>
      </w:pPr>
    </w:p>
    <w:p>
      <w:pPr>
        <w:jc w:val="center"/>
        <w:ind w:right="132"/>
        <w:spacing w:after="0"/>
        <w:rPr>
          <w:sz w:val="20"/>
          <w:szCs w:val="20"/>
          <w:color w:val="auto"/>
        </w:rPr>
      </w:pPr>
      <w:r>
        <w:rPr>
          <w:rFonts w:ascii="Courier New" w:cs="Courier New" w:eastAsia="Courier New" w:hAnsi="Courier New"/>
          <w:sz w:val="15"/>
          <w:szCs w:val="15"/>
          <w:color w:val="auto"/>
        </w:rPr>
        <w:t>Stock Bonus Plan and Trust</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Dear Janet:</w:t>
      </w:r>
    </w:p>
    <w:p>
      <w:pPr>
        <w:spacing w:after="0" w:line="177" w:lineRule="exact"/>
        <w:rPr>
          <w:sz w:val="20"/>
          <w:szCs w:val="20"/>
          <w:color w:val="auto"/>
        </w:rPr>
      </w:pPr>
    </w:p>
    <w:p>
      <w:pPr>
        <w:ind w:left="8" w:right="3019"/>
        <w:spacing w:after="0" w:line="264" w:lineRule="auto"/>
        <w:rPr>
          <w:sz w:val="20"/>
          <w:szCs w:val="20"/>
          <w:color w:val="auto"/>
        </w:rPr>
      </w:pPr>
      <w:r>
        <w:rPr>
          <w:rFonts w:ascii="Courier New" w:cs="Courier New" w:eastAsia="Courier New" w:hAnsi="Courier New"/>
          <w:sz w:val="15"/>
          <w:szCs w:val="15"/>
          <w:color w:val="auto"/>
        </w:rPr>
        <w:t>Pursuant to your letter of November 22, 1993, I enclose herewith two copies of the Winnebago Industries, Inc. Stock Bonus Plan and Trust Agreement (together with an extra signature page) which have been executed by the Presidents of Winnebago Industries, Inc. and its various subsidiaries. The Amendment and Restatement of such Plan has been approved by the Board of Directors this date. Please execute the Plan on behalf of Norwest Bank lowa, N.A. and provide me with a fully executed copy.</w:t>
      </w:r>
    </w:p>
    <w:p>
      <w:pPr>
        <w:spacing w:after="0" w:line="79"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WINNEBAGO INDUSTRIES, INC.</w:t>
      </w:r>
    </w:p>
    <w:p>
      <w:pPr>
        <w:spacing w:after="0" w:line="35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Raymond M. Beebe</w:t>
      </w:r>
    </w:p>
    <w:p>
      <w:pPr>
        <w:spacing w:after="0" w:line="31"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Vice President, General Counsel</w:t>
      </w:r>
    </w:p>
    <w:p>
      <w:pPr>
        <w:spacing w:after="0" w:line="3"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and Secretary</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RMB/kcj</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Enclosures</w:t>
      </w:r>
    </w:p>
    <w:p>
      <w:pPr>
        <w:spacing w:after="0" w:line="3" w:lineRule="exact"/>
        <w:rPr>
          <w:sz w:val="20"/>
          <w:szCs w:val="20"/>
          <w:color w:val="auto"/>
        </w:rPr>
      </w:pPr>
    </w:p>
    <w:p>
      <w:pPr>
        <w:ind w:left="448" w:hanging="448"/>
        <w:spacing w:after="0"/>
        <w:tabs>
          <w:tab w:leader="none" w:pos="44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 Green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WINNEBAGO INDUSTRIES, INC.</w:t>
      </w:r>
    </w:p>
    <w:p>
      <w:pPr>
        <w:spacing w:after="0" w:line="31"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EMPLOYEES' STOCK BONUS PLAN</w:t>
      </w:r>
    </w:p>
    <w:p>
      <w:pPr>
        <w:spacing w:after="0" w:line="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AND</w:t>
      </w:r>
    </w:p>
    <w:p>
      <w:pPr>
        <w:spacing w:after="0" w:line="3" w:lineRule="exact"/>
        <w:rPr>
          <w:sz w:val="20"/>
          <w:szCs w:val="20"/>
          <w:color w:val="auto"/>
        </w:rPr>
      </w:pPr>
    </w:p>
    <w:p>
      <w:pPr>
        <w:ind w:left="2968"/>
        <w:spacing w:after="0"/>
        <w:rPr>
          <w:sz w:val="20"/>
          <w:szCs w:val="20"/>
          <w:color w:val="auto"/>
        </w:rPr>
      </w:pPr>
      <w:r>
        <w:rPr>
          <w:rFonts w:ascii="Courier New" w:cs="Courier New" w:eastAsia="Courier New" w:hAnsi="Courier New"/>
          <w:sz w:val="15"/>
          <w:szCs w:val="15"/>
          <w:color w:val="auto"/>
        </w:rPr>
        <w:t>TRUST AGREEMENT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WINNEBAGO INDUSTRIES, INC.</w:t>
      </w:r>
    </w:p>
    <w:p>
      <w:pPr>
        <w:spacing w:after="0" w:line="31"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EMPLOYEES' STOCK BONUS PLAN</w:t>
      </w:r>
    </w:p>
    <w:p>
      <w:pPr>
        <w:spacing w:after="0" w:line="3" w:lineRule="exact"/>
        <w:rPr>
          <w:sz w:val="20"/>
          <w:szCs w:val="20"/>
          <w:color w:val="auto"/>
        </w:rPr>
      </w:pPr>
    </w:p>
    <w:p>
      <w:pPr>
        <w:ind w:left="2788"/>
        <w:spacing w:after="0"/>
        <w:rPr>
          <w:sz w:val="20"/>
          <w:szCs w:val="20"/>
          <w:color w:val="auto"/>
        </w:rPr>
      </w:pPr>
      <w:r>
        <w:rPr>
          <w:rFonts w:ascii="Courier New" w:cs="Courier New" w:eastAsia="Courier New" w:hAnsi="Courier New"/>
          <w:sz w:val="15"/>
          <w:szCs w:val="15"/>
          <w:color w:val="auto"/>
        </w:rPr>
        <w:t>AND TRUST AGREEMENT</w:t>
      </w:r>
    </w:p>
    <w:p>
      <w:pPr>
        <w:spacing w:after="0" w:line="149" w:lineRule="exact"/>
        <w:rPr>
          <w:sz w:val="20"/>
          <w:szCs w:val="20"/>
          <w:color w:val="auto"/>
        </w:rPr>
      </w:pPr>
    </w:p>
    <w:p>
      <w:pPr>
        <w:ind w:left="8" w:right="3199" w:firstLine="451"/>
        <w:spacing w:after="0" w:line="393" w:lineRule="auto"/>
        <w:rPr>
          <w:sz w:val="20"/>
          <w:szCs w:val="20"/>
          <w:color w:val="auto"/>
        </w:rPr>
      </w:pPr>
      <w:r>
        <w:rPr>
          <w:rFonts w:ascii="Courier New" w:cs="Courier New" w:eastAsia="Courier New" w:hAnsi="Courier New"/>
          <w:sz w:val="14"/>
          <w:szCs w:val="14"/>
          <w:color w:val="auto"/>
        </w:rPr>
        <w:t>WINNEBAGO INDUSTRIES, INC., a corporation organized under the laws of the State of Iowa, makes this Agreement with NORWEST BANK IOWA, NA, as Trustee.</w:t>
      </w:r>
    </w:p>
    <w:p>
      <w:pPr>
        <w:spacing w:after="0" w:line="1" w:lineRule="exact"/>
        <w:rPr>
          <w:sz w:val="20"/>
          <w:szCs w:val="20"/>
          <w:color w:val="auto"/>
        </w:rPr>
      </w:pPr>
    </w:p>
    <w:p>
      <w:pPr>
        <w:jc w:val="center"/>
        <w:ind w:right="2932"/>
        <w:spacing w:after="0"/>
        <w:rPr>
          <w:sz w:val="20"/>
          <w:szCs w:val="20"/>
          <w:color w:val="auto"/>
        </w:rPr>
      </w:pPr>
      <w:r>
        <w:rPr>
          <w:rFonts w:ascii="Courier New" w:cs="Courier New" w:eastAsia="Courier New" w:hAnsi="Courier New"/>
          <w:sz w:val="15"/>
          <w:szCs w:val="15"/>
          <w:color w:val="auto"/>
        </w:rPr>
        <w:t>WITNESSETH:</w:t>
      </w:r>
    </w:p>
    <w:p>
      <w:pPr>
        <w:spacing w:after="0" w:line="177" w:lineRule="exact"/>
        <w:rPr>
          <w:sz w:val="20"/>
          <w:szCs w:val="20"/>
          <w:color w:val="auto"/>
        </w:rPr>
      </w:pPr>
    </w:p>
    <w:p>
      <w:pPr>
        <w:ind w:left="8" w:right="3019" w:firstLine="451"/>
        <w:spacing w:after="0" w:line="258" w:lineRule="auto"/>
        <w:rPr>
          <w:sz w:val="20"/>
          <w:szCs w:val="20"/>
          <w:color w:val="auto"/>
        </w:rPr>
      </w:pPr>
      <w:r>
        <w:rPr>
          <w:rFonts w:ascii="Courier New" w:cs="Courier New" w:eastAsia="Courier New" w:hAnsi="Courier New"/>
          <w:sz w:val="15"/>
          <w:szCs w:val="15"/>
          <w:color w:val="auto"/>
        </w:rPr>
        <w:t>WINNEBAGO INDUSTRIES, INC. continues, within this Trust Agreement, a Plan for the administration and distribution of contributions made by the Employer for the purpose of providing retirement benefits for eligible Employees. This Plan is an amended plan, in restated form, the original plan being established as of September 1, 1980. The provisions of this Plan, as amended, apply solely to an Employee whose employment with the Employer terminates on or after the restated Effective Date of the Employer's Plan. If an Employee's employment with the Employer terminates prior to the restated Effective Date, that Employee is entitled to benefits under the Plan as the Plan existed on the date of the Employee's termination of employment.</w:t>
      </w:r>
    </w:p>
    <w:p>
      <w:pPr>
        <w:spacing w:after="0" w:line="81" w:lineRule="exact"/>
        <w:rPr>
          <w:sz w:val="20"/>
          <w:szCs w:val="20"/>
          <w:color w:val="auto"/>
        </w:rPr>
      </w:pPr>
    </w:p>
    <w:p>
      <w:pPr>
        <w:ind w:left="8" w:right="3279" w:firstLine="451"/>
        <w:spacing w:after="0" w:line="365" w:lineRule="auto"/>
        <w:rPr>
          <w:sz w:val="20"/>
          <w:szCs w:val="20"/>
          <w:color w:val="auto"/>
        </w:rPr>
      </w:pPr>
      <w:r>
        <w:rPr>
          <w:rFonts w:ascii="Courier New" w:cs="Courier New" w:eastAsia="Courier New" w:hAnsi="Courier New"/>
          <w:sz w:val="15"/>
          <w:szCs w:val="15"/>
          <w:color w:val="auto"/>
        </w:rPr>
        <w:t>Now, therefore, in consideration of their mutual covenants, the Employer and the Trustee agree as follows:</w:t>
      </w:r>
    </w:p>
    <w:p>
      <w:pPr>
        <w:spacing w:after="0" w:line="3" w:lineRule="exact"/>
        <w:rPr>
          <w:sz w:val="20"/>
          <w:szCs w:val="20"/>
          <w:color w:val="auto"/>
        </w:rPr>
      </w:pPr>
    </w:p>
    <w:p>
      <w:pPr>
        <w:jc w:val="center"/>
        <w:ind w:right="2932"/>
        <w:spacing w:after="0"/>
        <w:rPr>
          <w:sz w:val="20"/>
          <w:szCs w:val="20"/>
          <w:color w:val="auto"/>
        </w:rPr>
      </w:pPr>
      <w:r>
        <w:rPr>
          <w:rFonts w:ascii="Courier New" w:cs="Courier New" w:eastAsia="Courier New" w:hAnsi="Courier New"/>
          <w:sz w:val="15"/>
          <w:szCs w:val="15"/>
          <w:color w:val="auto"/>
        </w:rPr>
        <w:t>ARTICLE I</w:t>
      </w:r>
    </w:p>
    <w:p>
      <w:pPr>
        <w:spacing w:after="0" w:line="31" w:lineRule="exact"/>
        <w:rPr>
          <w:sz w:val="20"/>
          <w:szCs w:val="20"/>
          <w:color w:val="auto"/>
        </w:rPr>
      </w:pPr>
    </w:p>
    <w:p>
      <w:pPr>
        <w:jc w:val="center"/>
        <w:ind w:right="2932"/>
        <w:spacing w:after="0"/>
        <w:rPr>
          <w:sz w:val="20"/>
          <w:szCs w:val="20"/>
          <w:color w:val="auto"/>
        </w:rPr>
      </w:pPr>
      <w:r>
        <w:rPr>
          <w:rFonts w:ascii="Courier New" w:cs="Courier New" w:eastAsia="Courier New" w:hAnsi="Courier New"/>
          <w:sz w:val="15"/>
          <w:szCs w:val="15"/>
          <w:color w:val="auto"/>
        </w:rPr>
        <w:t>DEFINITIONS</w:t>
      </w:r>
    </w:p>
    <w:p>
      <w:pPr>
        <w:spacing w:after="0" w:line="149" w:lineRule="exact"/>
        <w:rPr>
          <w:sz w:val="20"/>
          <w:szCs w:val="20"/>
          <w:color w:val="auto"/>
        </w:rPr>
      </w:pPr>
    </w:p>
    <w:p>
      <w:pPr>
        <w:ind w:left="8" w:right="3099" w:firstLine="451"/>
        <w:spacing w:after="0" w:line="305" w:lineRule="auto"/>
        <w:rPr>
          <w:sz w:val="20"/>
          <w:szCs w:val="20"/>
          <w:color w:val="auto"/>
        </w:rPr>
      </w:pPr>
      <w:r>
        <w:rPr>
          <w:rFonts w:ascii="Courier New" w:cs="Courier New" w:eastAsia="Courier New" w:hAnsi="Courier New"/>
          <w:sz w:val="15"/>
          <w:szCs w:val="15"/>
          <w:color w:val="auto"/>
        </w:rPr>
        <w:t>1.01 "Plan" means the retirement plan established and continued by the Employer in the form of this Agreement, designated as the Winnebago Industries, Inc. Employees' Stock Bonus Plan. The Employer has designed this Plan to invest</w:t>
      </w:r>
    </w:p>
    <w:p>
      <w:pPr>
        <w:sectPr>
          <w:pgSz w:w="11900" w:h="16913" w:orient="portrait"/>
          <w:cols w:equalWidth="0" w:num="1">
            <w:col w:w="10227"/>
          </w:cols>
          <w:pgMar w:left="232" w:top="113" w:right="1440" w:bottom="0" w:gutter="0" w:footer="0" w:header="0"/>
        </w:sectPr>
      </w:pPr>
    </w:p>
    <w:bookmarkStart w:id="23" w:name="page24"/>
    <w:bookmarkEnd w:id="23"/>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in Employer Securities.</w:t>
      </w:r>
    </w:p>
    <w:p>
      <w:pPr>
        <w:spacing w:after="0" w:line="177" w:lineRule="exact"/>
        <w:rPr>
          <w:sz w:val="20"/>
          <w:szCs w:val="20"/>
          <w:color w:val="auto"/>
        </w:rPr>
      </w:pPr>
    </w:p>
    <w:p>
      <w:pPr>
        <w:ind w:right="3099" w:firstLine="451"/>
        <w:spacing w:after="0" w:line="365" w:lineRule="auto"/>
        <w:rPr>
          <w:sz w:val="20"/>
          <w:szCs w:val="20"/>
          <w:color w:val="auto"/>
        </w:rPr>
      </w:pPr>
      <w:r>
        <w:rPr>
          <w:rFonts w:ascii="Courier New" w:cs="Courier New" w:eastAsia="Courier New" w:hAnsi="Courier New"/>
          <w:sz w:val="15"/>
          <w:szCs w:val="15"/>
          <w:color w:val="auto"/>
        </w:rPr>
        <w:t>1.02 "Employer" means WINNEBAGO INDUSTRIES, INC. or any other employer who with the written consent of Winnebago Industries, Inc. adopts this Plan.</w:t>
      </w:r>
    </w:p>
    <w:p>
      <w:pPr>
        <w:spacing w:after="0" w:line="3" w:lineRule="exact"/>
        <w:rPr>
          <w:sz w:val="20"/>
          <w:szCs w:val="20"/>
          <w:color w:val="auto"/>
        </w:rPr>
      </w:pPr>
    </w:p>
    <w:p>
      <w:pPr>
        <w:ind w:right="3099" w:firstLine="451"/>
        <w:spacing w:after="0" w:line="365" w:lineRule="auto"/>
        <w:rPr>
          <w:sz w:val="20"/>
          <w:szCs w:val="20"/>
          <w:color w:val="auto"/>
        </w:rPr>
      </w:pPr>
      <w:r>
        <w:rPr>
          <w:rFonts w:ascii="Courier New" w:cs="Courier New" w:eastAsia="Courier New" w:hAnsi="Courier New"/>
          <w:sz w:val="15"/>
          <w:szCs w:val="15"/>
          <w:color w:val="auto"/>
        </w:rPr>
        <w:t>1.03 "Trustee" means Norwest Bank Iowa, NA, or any successor in office who in writing accepts the position of Trustee.</w:t>
      </w:r>
    </w:p>
    <w:p>
      <w:pPr>
        <w:spacing w:after="0" w:line="3" w:lineRule="exact"/>
        <w:rPr>
          <w:sz w:val="20"/>
          <w:szCs w:val="20"/>
          <w:color w:val="auto"/>
        </w:rPr>
      </w:pPr>
    </w:p>
    <w:p>
      <w:pPr>
        <w:ind w:right="3099" w:firstLine="451"/>
        <w:spacing w:after="0" w:line="274" w:lineRule="auto"/>
        <w:rPr>
          <w:sz w:val="20"/>
          <w:szCs w:val="20"/>
          <w:color w:val="auto"/>
        </w:rPr>
      </w:pPr>
      <w:r>
        <w:rPr>
          <w:rFonts w:ascii="Courier New" w:cs="Courier New" w:eastAsia="Courier New" w:hAnsi="Courier New"/>
          <w:sz w:val="15"/>
          <w:szCs w:val="15"/>
          <w:color w:val="auto"/>
        </w:rPr>
        <w:t>1.04 "Plan Administrator" is Winnebago Industries, Inc. unless Winnebago Industries, Inc. designates another person to hold the position of Plan Administrator. In addition to his other duties, the Plan Administrator has full responsibility for compliance with the reporting and disclosure rules under ERISA as respects this Agreement.</w:t>
      </w:r>
    </w:p>
    <w:p>
      <w:pPr>
        <w:spacing w:after="0" w:line="70" w:lineRule="exact"/>
        <w:rPr>
          <w:sz w:val="20"/>
          <w:szCs w:val="20"/>
          <w:color w:val="auto"/>
        </w:rPr>
      </w:pPr>
    </w:p>
    <w:p>
      <w:pPr>
        <w:ind w:right="3739" w:firstLine="451"/>
        <w:spacing w:after="0" w:line="365" w:lineRule="auto"/>
        <w:rPr>
          <w:sz w:val="20"/>
          <w:szCs w:val="20"/>
          <w:color w:val="auto"/>
        </w:rPr>
      </w:pPr>
      <w:r>
        <w:rPr>
          <w:rFonts w:ascii="Courier New" w:cs="Courier New" w:eastAsia="Courier New" w:hAnsi="Courier New"/>
          <w:sz w:val="15"/>
          <w:szCs w:val="15"/>
          <w:color w:val="auto"/>
        </w:rPr>
        <w:t>1.05 "Administrative Committee" means the Employer's Administrative Committee as from time to time constituted.</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1.06 "Employee" means any employee of the Employer.</w:t>
      </w:r>
    </w:p>
    <w:p>
      <w:pPr>
        <w:spacing w:after="0" w:line="177" w:lineRule="exact"/>
        <w:rPr>
          <w:sz w:val="20"/>
          <w:szCs w:val="20"/>
          <w:color w:val="auto"/>
        </w:rPr>
      </w:pPr>
    </w:p>
    <w:p>
      <w:pPr>
        <w:ind w:right="3199" w:firstLine="451"/>
        <w:spacing w:after="0" w:line="365" w:lineRule="auto"/>
        <w:rPr>
          <w:sz w:val="20"/>
          <w:szCs w:val="20"/>
          <w:color w:val="auto"/>
        </w:rPr>
      </w:pPr>
      <w:r>
        <w:rPr>
          <w:rFonts w:ascii="Courier New" w:cs="Courier New" w:eastAsia="Courier New" w:hAnsi="Courier New"/>
          <w:sz w:val="15"/>
          <w:szCs w:val="15"/>
          <w:color w:val="auto"/>
        </w:rPr>
        <w:t>1.07 "Highly Compensated Employee" means an Employee who, during the Plan Year or during the preceding 12-month period:</w:t>
      </w:r>
    </w:p>
    <w:p>
      <w:pPr>
        <w:spacing w:after="0" w:line="3" w:lineRule="exact"/>
        <w:rPr>
          <w:sz w:val="20"/>
          <w:szCs w:val="20"/>
          <w:color w:val="auto"/>
        </w:rPr>
      </w:pPr>
    </w:p>
    <w:p>
      <w:pPr>
        <w:ind w:left="440" w:right="3019" w:firstLine="3"/>
        <w:spacing w:after="0" w:line="305" w:lineRule="auto"/>
        <w:tabs>
          <w:tab w:leader="none" w:pos="801"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 more than 5% owner of the Employer (applying the constructive ownership rules of Code ss.318, and applying the principles of Code ss.318, for an unincorporated entity);</w:t>
      </w:r>
    </w:p>
    <w:p>
      <w:pPr>
        <w:spacing w:after="0" w:line="45" w:lineRule="exact"/>
        <w:rPr>
          <w:rFonts w:ascii="Courier New" w:cs="Courier New" w:eastAsia="Courier New" w:hAnsi="Courier New"/>
          <w:sz w:val="15"/>
          <w:szCs w:val="15"/>
          <w:color w:val="auto"/>
        </w:rPr>
      </w:pPr>
    </w:p>
    <w:p>
      <w:pPr>
        <w:ind w:left="440" w:right="3099" w:firstLine="3"/>
        <w:spacing w:after="0" w:line="365" w:lineRule="auto"/>
        <w:tabs>
          <w:tab w:leader="none" w:pos="801"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Compensation in excess of $75,000 (as adjusted by the Commissioner of Internal Revenue for the relevant year);</w:t>
      </w:r>
    </w:p>
    <w:p>
      <w:pPr>
        <w:spacing w:after="0" w:line="3" w:lineRule="exact"/>
        <w:rPr>
          <w:rFonts w:ascii="Courier New" w:cs="Courier New" w:eastAsia="Courier New" w:hAnsi="Courier New"/>
          <w:sz w:val="15"/>
          <w:szCs w:val="15"/>
          <w:color w:val="auto"/>
        </w:rPr>
      </w:pPr>
    </w:p>
    <w:p>
      <w:pPr>
        <w:jc w:val="both"/>
        <w:ind w:left="440" w:right="3099" w:firstLine="3"/>
        <w:spacing w:after="0" w:line="305" w:lineRule="auto"/>
        <w:tabs>
          <w:tab w:leader="none" w:pos="801"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Compensation in excess of $50,000 (as adjusted by the Commissioner of Internal Revenue for the relevant year) and is part of the top-paid 20% group of employees (based on Compensation for the relevant year); or</w:t>
      </w:r>
    </w:p>
    <w:p>
      <w:pPr>
        <w:spacing w:after="0" w:line="45" w:lineRule="exact"/>
        <w:rPr>
          <w:rFonts w:ascii="Courier New" w:cs="Courier New" w:eastAsia="Courier New" w:hAnsi="Courier New"/>
          <w:sz w:val="15"/>
          <w:szCs w:val="15"/>
          <w:color w:val="auto"/>
        </w:rPr>
      </w:pPr>
    </w:p>
    <w:p>
      <w:pPr>
        <w:ind w:left="440" w:right="3099" w:firstLine="3"/>
        <w:spacing w:after="0" w:line="305" w:lineRule="auto"/>
        <w:tabs>
          <w:tab w:leader="none" w:pos="801"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Compensation in excess of 50% of the dollar amount prescribed in Code ss.415(b)(1)(A) (relating to defined benefit plans) and is an officer of the Employer.</w:t>
      </w:r>
    </w:p>
    <w:p>
      <w:pPr>
        <w:spacing w:after="0" w:line="46" w:lineRule="exact"/>
        <w:rPr>
          <w:sz w:val="20"/>
          <w:szCs w:val="20"/>
          <w:color w:val="auto"/>
        </w:rPr>
      </w:pPr>
    </w:p>
    <w:p>
      <w:pPr>
        <w:ind w:right="3199" w:firstLine="451"/>
        <w:spacing w:after="0" w:line="283" w:lineRule="auto"/>
        <w:rPr>
          <w:sz w:val="20"/>
          <w:szCs w:val="20"/>
          <w:color w:val="auto"/>
        </w:rPr>
      </w:pPr>
      <w:r>
        <w:rPr>
          <w:rFonts w:ascii="Courier New" w:cs="Courier New" w:eastAsia="Courier New" w:hAnsi="Courier New"/>
          <w:sz w:val="14"/>
          <w:szCs w:val="14"/>
          <w:color w:val="auto"/>
        </w:rPr>
        <w:t>If the Employee satisfies the definition in clause (b), (c) or (d) in the Plan Year but does not satisfy clause (b), (c) or (d) during the preceding</w:t>
      </w:r>
    </w:p>
    <w:p>
      <w:pPr>
        <w:spacing w:after="0" w:line="1" w:lineRule="exact"/>
        <w:rPr>
          <w:sz w:val="20"/>
          <w:szCs w:val="20"/>
          <w:color w:val="auto"/>
        </w:rPr>
      </w:pPr>
    </w:p>
    <w:p>
      <w:pPr>
        <w:ind w:right="3019"/>
        <w:spacing w:after="0" w:line="256" w:lineRule="auto"/>
        <w:rPr>
          <w:sz w:val="20"/>
          <w:szCs w:val="20"/>
          <w:color w:val="auto"/>
        </w:rPr>
      </w:pPr>
      <w:r>
        <w:rPr>
          <w:rFonts w:ascii="Courier New" w:cs="Courier New" w:eastAsia="Courier New" w:hAnsi="Courier New"/>
          <w:sz w:val="15"/>
          <w:szCs w:val="15"/>
          <w:color w:val="auto"/>
        </w:rPr>
        <w:t>12-month period and does not satisfy clause (a) in either period, the Employee is a Highly Compensated Employee only if he is one of the 100 most highly compensated Employees for the Plan Year. The number of officers taken into account under clause (d) will not exceed the greater of 3 or 10% of the total number (after application of the Code ss.414(q) exclusions) of Employees, but no more than 50 officers. If no Employee satisfies the Compensation requirement in clause (d) for the relevant year, the Administrative Committee will treat the highest paid officer as satisfying clause (d) for that year.</w:t>
      </w:r>
    </w:p>
    <w:p>
      <w:pPr>
        <w:spacing w:after="0" w:line="82" w:lineRule="exact"/>
        <w:rPr>
          <w:sz w:val="20"/>
          <w:szCs w:val="20"/>
          <w:color w:val="auto"/>
        </w:rPr>
      </w:pPr>
    </w:p>
    <w:p>
      <w:pPr>
        <w:ind w:right="3019" w:firstLine="451"/>
        <w:spacing w:after="0" w:line="250" w:lineRule="auto"/>
        <w:rPr>
          <w:sz w:val="20"/>
          <w:szCs w:val="20"/>
          <w:color w:val="auto"/>
        </w:rPr>
      </w:pPr>
      <w:r>
        <w:rPr>
          <w:rFonts w:ascii="Courier New" w:cs="Courier New" w:eastAsia="Courier New" w:hAnsi="Courier New"/>
          <w:sz w:val="15"/>
          <w:szCs w:val="15"/>
          <w:color w:val="auto"/>
        </w:rPr>
        <w:t>For purposes of this Section 1.07, "Compensation" means Compensation as defined in Section 1.10, except no exclusions from Compensation apply other than the exclusions described in paragraphs (a), (b), (c) and (d) of Section 1.10, and Compensation must include "elective contributions" (as defined in Section 1.10). The Administrative Committee must make the determination of who is a Highly Compensated Employee, including the determinations of the number and identity of the top paid 20% group, the top 100 paid Employees, the number of officers includible in clause (d) and the relevant Compensation, consistent with Code ss.414(q) and regulations issued under that Code section. The Employer may make a calendar year election to determine the Highly Compensated Employees for the Plan Year, as prescribed by Treasury regulations. A calendar year election must apply to all plans and arrangements of the Employer. For purposes of applying any nondiscrimination test required under the Plan or under the Code, in a manner consistent with applicable Treasury regulations, the Administrative Committee will treat a Highly Compensated Employee and all family members (a spouse, a lineal ascendant or descendant, or a spouse of a lineal ascendant or descendant) as a single Highly Compensated Employee, but only if the Highly Compensated Employee is a more than 5% owner or is one of the 10 Highly Compensated Employees with the greatest Compensation for the Plan Year. This aggregation rule applies to a family member even if that family member is a Highly Compensated Employee without family aggregation.</w:t>
      </w:r>
    </w:p>
    <w:p>
      <w:pPr>
        <w:spacing w:after="0" w:line="97" w:lineRule="exact"/>
        <w:rPr>
          <w:sz w:val="20"/>
          <w:szCs w:val="20"/>
          <w:color w:val="auto"/>
        </w:rPr>
      </w:pPr>
    </w:p>
    <w:p>
      <w:pPr>
        <w:ind w:right="3099" w:firstLine="451"/>
        <w:spacing w:after="0" w:line="258" w:lineRule="auto"/>
        <w:rPr>
          <w:sz w:val="20"/>
          <w:szCs w:val="20"/>
          <w:color w:val="auto"/>
        </w:rPr>
      </w:pPr>
      <w:r>
        <w:rPr>
          <w:rFonts w:ascii="Courier New" w:cs="Courier New" w:eastAsia="Courier New" w:hAnsi="Courier New"/>
          <w:sz w:val="15"/>
          <w:szCs w:val="15"/>
          <w:color w:val="auto"/>
        </w:rPr>
        <w:t>The term "Highly Compensated Employee" also includes any former Employee who separated from Service (or has a deemed Separation from Service, as determined under Treasury regulations) prior to the Plan Year, performs no Service for the Employer during the Plan Year, and was a Highly Compensated Employee either for the separation year or any Plan Year ending on or after his 55th birthday. If the former Employee's Separation from Service occurred prior to January 1, 1987, he is a Highly Compensated Employee only if he satisfied clause (a) of this Section 1.07 or received Compensation in excess of $50,000 during: (1) the year of his Separation from Service (or the prior year); or (2) any year ending after his 54th birthday.</w:t>
      </w:r>
    </w:p>
    <w:p>
      <w:pPr>
        <w:spacing w:after="0" w:line="81" w:lineRule="exact"/>
        <w:rPr>
          <w:sz w:val="20"/>
          <w:szCs w:val="20"/>
          <w:color w:val="auto"/>
        </w:rPr>
      </w:pPr>
    </w:p>
    <w:p>
      <w:pPr>
        <w:ind w:right="3559" w:firstLine="451"/>
        <w:spacing w:after="0" w:line="365" w:lineRule="auto"/>
        <w:rPr>
          <w:sz w:val="20"/>
          <w:szCs w:val="20"/>
          <w:color w:val="auto"/>
        </w:rPr>
      </w:pPr>
      <w:r>
        <w:rPr>
          <w:rFonts w:ascii="Courier New" w:cs="Courier New" w:eastAsia="Courier New" w:hAnsi="Courier New"/>
          <w:sz w:val="15"/>
          <w:szCs w:val="15"/>
          <w:color w:val="auto"/>
        </w:rPr>
        <w:t>1.08 "Participant" is an Employee who is eligible to be and becomes a Participant in accordance with the provisions of Section 2.01.</w:t>
      </w:r>
    </w:p>
    <w:p>
      <w:pPr>
        <w:spacing w:after="0" w:line="3" w:lineRule="exact"/>
        <w:rPr>
          <w:sz w:val="20"/>
          <w:szCs w:val="20"/>
          <w:color w:val="auto"/>
        </w:rPr>
      </w:pPr>
    </w:p>
    <w:p>
      <w:pPr>
        <w:ind w:right="3099" w:firstLine="451"/>
        <w:spacing w:after="0" w:line="264" w:lineRule="auto"/>
        <w:rPr>
          <w:sz w:val="20"/>
          <w:szCs w:val="20"/>
          <w:color w:val="auto"/>
        </w:rPr>
      </w:pPr>
      <w:r>
        <w:rPr>
          <w:rFonts w:ascii="Courier New" w:cs="Courier New" w:eastAsia="Courier New" w:hAnsi="Courier New"/>
          <w:sz w:val="15"/>
          <w:szCs w:val="15"/>
          <w:color w:val="auto"/>
        </w:rPr>
        <w:t>1.09 "Beneficiary" is a person designated by a Participant who is or may become entitled to a benefit under the Plan. A Beneficiary who becomes entitled to a benefit under the Plan remains a Beneficiary under the Plan until the Trustee has fully distributed his benefit to him. A Beneficiary's right to (and the Plan Administrator's, the Administrative Committee's or a Trustee's duty to provide to the Beneficiary) information or data concerning the Plan does not arise until he first becomes entitled to receive a benefit under the Plan.</w:t>
      </w:r>
    </w:p>
    <w:p>
      <w:pPr>
        <w:spacing w:after="0" w:line="79" w:lineRule="exact"/>
        <w:rPr>
          <w:sz w:val="20"/>
          <w:szCs w:val="20"/>
          <w:color w:val="auto"/>
        </w:rPr>
      </w:pPr>
    </w:p>
    <w:p>
      <w:pPr>
        <w:ind w:right="3199" w:firstLine="451"/>
        <w:spacing w:after="0" w:line="335" w:lineRule="auto"/>
        <w:rPr>
          <w:sz w:val="20"/>
          <w:szCs w:val="20"/>
          <w:color w:val="auto"/>
        </w:rPr>
      </w:pPr>
      <w:r>
        <w:rPr>
          <w:rFonts w:ascii="Courier New" w:cs="Courier New" w:eastAsia="Courier New" w:hAnsi="Courier New"/>
          <w:sz w:val="14"/>
          <w:szCs w:val="14"/>
          <w:color w:val="auto"/>
        </w:rPr>
        <w:t>1.10 "Compensation" means the Participant's wages, salaries, fees for professional service and other amounts received for personal services actually rendered in the course of employment with the Employer maintaining the plan</w:t>
      </w:r>
    </w:p>
    <w:p>
      <w:pPr>
        <w:sectPr>
          <w:pgSz w:w="11900" w:h="16929" w:orient="portrait"/>
          <w:cols w:equalWidth="0" w:num="1">
            <w:col w:w="10219"/>
          </w:cols>
          <w:pgMar w:left="240" w:top="113" w:right="1440" w:bottom="0" w:gutter="0" w:footer="0" w:header="0"/>
        </w:sectPr>
      </w:pPr>
    </w:p>
    <w:bookmarkStart w:id="24" w:name="page25"/>
    <w:bookmarkEnd w:id="24"/>
    <w:p>
      <w:pPr>
        <w:ind w:left="8" w:right="3019"/>
        <w:spacing w:after="0" w:line="254" w:lineRule="auto"/>
        <w:rPr>
          <w:sz w:val="20"/>
          <w:szCs w:val="20"/>
          <w:color w:val="auto"/>
        </w:rPr>
      </w:pPr>
      <w:r>
        <w:rPr>
          <w:rFonts w:ascii="Courier New" w:cs="Courier New" w:eastAsia="Courier New" w:hAnsi="Courier New"/>
          <w:sz w:val="15"/>
          <w:szCs w:val="15"/>
          <w:color w:val="auto"/>
        </w:rPr>
        <w:t>(including, but not limited to, compensation paid salesman, compensation for services on the basis of a percentage of profits, commissions on insurance premiums, tips and bonuses), except Compensation does not include reimbursements or other expense allowances, fringe benefits (cash and noncash), moving expenses, welfare benefits and director's fees. Compensation excludes elective contributions made by the Employer on the Employee's behalf. "Elective contributions" are amounts excludable from the Employee's gross income under Code ss.ss.125, 402(a)(8), 402(h) or 403(b), and contributed by the Employer, at the Employee's election, to a Code ss.401(k) arrangement, a Simplified Employee Pension, cafeteria plan or tax-sheltered annuity. A Compensation payment includes Compensation paid by the Employer to an Employee through another person under the common paymaster provisions of Code ss.ss.3121(s) and 3306(p). The term "Compensation" does not include:</w:t>
      </w:r>
    </w:p>
    <w:p>
      <w:pPr>
        <w:spacing w:after="0" w:line="90" w:lineRule="exact"/>
        <w:rPr>
          <w:sz w:val="20"/>
          <w:szCs w:val="20"/>
          <w:color w:val="auto"/>
        </w:rPr>
      </w:pPr>
    </w:p>
    <w:p>
      <w:pPr>
        <w:ind w:left="448" w:right="3019" w:firstLine="3"/>
        <w:spacing w:after="0" w:line="262" w:lineRule="auto"/>
        <w:tabs>
          <w:tab w:leader="none" w:pos="80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 contributions (other than "elective contributions") to a plan of deferred compensation to the extent the contributions are not included in the gross income of the Employee for the taxable year in which contributed, on behalf of an Employee to a Simplified Employee Pension Plan to the extent such contributions are excludable from the Employee's gross income, and any distributions from a plan of deferred compensation, regardless of whether such amounts are includible in the gross income of the Employee when distributed.</w:t>
      </w:r>
    </w:p>
    <w:p>
      <w:pPr>
        <w:spacing w:after="0" w:line="76" w:lineRule="exact"/>
        <w:rPr>
          <w:rFonts w:ascii="Courier New" w:cs="Courier New" w:eastAsia="Courier New" w:hAnsi="Courier New"/>
          <w:sz w:val="15"/>
          <w:szCs w:val="15"/>
          <w:color w:val="auto"/>
        </w:rPr>
      </w:pPr>
    </w:p>
    <w:p>
      <w:pPr>
        <w:ind w:left="448" w:right="3099" w:firstLine="3"/>
        <w:spacing w:after="0" w:line="285" w:lineRule="auto"/>
        <w:tabs>
          <w:tab w:leader="none" w:pos="80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realized from the exercise of a non-qualified stock option, or when restricted stock (or property) held by an Employee either becomes freely transferable or is no longer subject to a substantial risk of forfeiture.</w:t>
      </w:r>
    </w:p>
    <w:p>
      <w:pPr>
        <w:spacing w:after="0" w:line="59" w:lineRule="exact"/>
        <w:rPr>
          <w:rFonts w:ascii="Courier New" w:cs="Courier New" w:eastAsia="Courier New" w:hAnsi="Courier New"/>
          <w:sz w:val="15"/>
          <w:szCs w:val="15"/>
          <w:color w:val="auto"/>
        </w:rPr>
      </w:pPr>
    </w:p>
    <w:p>
      <w:pPr>
        <w:ind w:left="448" w:right="3019" w:firstLine="3"/>
        <w:spacing w:after="0" w:line="305" w:lineRule="auto"/>
        <w:tabs>
          <w:tab w:leader="none" w:pos="80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realized from the sale, exchange or other disposition of stock acquired under a stock option described in Part II, Subchapter D, Chapter 1 of the Code.</w:t>
      </w:r>
    </w:p>
    <w:p>
      <w:pPr>
        <w:spacing w:after="0" w:line="45" w:lineRule="exact"/>
        <w:rPr>
          <w:rFonts w:ascii="Courier New" w:cs="Courier New" w:eastAsia="Courier New" w:hAnsi="Courier New"/>
          <w:sz w:val="15"/>
          <w:szCs w:val="15"/>
          <w:color w:val="auto"/>
        </w:rPr>
      </w:pPr>
    </w:p>
    <w:p>
      <w:pPr>
        <w:ind w:left="448" w:right="3019" w:firstLine="3"/>
        <w:spacing w:after="0" w:line="264" w:lineRule="auto"/>
        <w:tabs>
          <w:tab w:leader="none" w:pos="80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amounts which receive special tax benefits, such as premiums for group term life insurance (but only to the extent that the premiums are not includible in the gross income of the Employee), or contributions made by an Employer (whether or not under a salary reduction agreement) towards the purchase of an annuity contract described in Code ss.403(b) (whether or not the contributions are excludable from the gross income of the Employee), other than "elective contributions."</w:t>
      </w:r>
    </w:p>
    <w:p>
      <w:pPr>
        <w:spacing w:after="0" w:line="79" w:lineRule="exact"/>
        <w:rPr>
          <w:sz w:val="20"/>
          <w:szCs w:val="20"/>
          <w:color w:val="auto"/>
        </w:rPr>
      </w:pPr>
    </w:p>
    <w:p>
      <w:pPr>
        <w:ind w:left="8" w:right="3019" w:firstLine="451"/>
        <w:spacing w:after="0" w:line="285" w:lineRule="auto"/>
        <w:rPr>
          <w:sz w:val="20"/>
          <w:szCs w:val="20"/>
          <w:color w:val="auto"/>
        </w:rPr>
      </w:pPr>
      <w:r>
        <w:rPr>
          <w:rFonts w:ascii="Courier New" w:cs="Courier New" w:eastAsia="Courier New" w:hAnsi="Courier New"/>
          <w:sz w:val="15"/>
          <w:szCs w:val="15"/>
          <w:color w:val="auto"/>
        </w:rPr>
        <w:t>Any reference in this Plan to Compensation is a reference to the definition in this Section 1.10, unless the Plan reference specifies a modification to this definition. The Administrative Committee will take into account only Compensation actually paid for the relevant period.</w:t>
      </w:r>
    </w:p>
    <w:p>
      <w:pPr>
        <w:spacing w:after="0" w:line="60" w:lineRule="exact"/>
        <w:rPr>
          <w:sz w:val="20"/>
          <w:szCs w:val="20"/>
          <w:color w:val="auto"/>
        </w:rPr>
      </w:pPr>
    </w:p>
    <w:p>
      <w:pPr>
        <w:ind w:left="448" w:hanging="448"/>
        <w:spacing w:after="0"/>
        <w:tabs>
          <w:tab w:leader="none" w:pos="44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COMPENSATION.</w:t>
      </w:r>
    </w:p>
    <w:p>
      <w:pPr>
        <w:spacing w:after="0" w:line="176" w:lineRule="exact"/>
        <w:rPr>
          <w:rFonts w:ascii="Courier New" w:cs="Courier New" w:eastAsia="Courier New" w:hAnsi="Courier New"/>
          <w:sz w:val="15"/>
          <w:szCs w:val="15"/>
          <w:color w:val="auto"/>
        </w:rPr>
      </w:pPr>
    </w:p>
    <w:p>
      <w:pPr>
        <w:ind w:left="8" w:right="3019" w:firstLine="443"/>
        <w:spacing w:after="0" w:line="264" w:lineRule="auto"/>
        <w:tabs>
          <w:tab w:leader="none" w:pos="819"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DOLLAR LIMITATION. For any Plan Year beginning after December 31, 1988, the Administrative Committee must take into account only the first $200,000 (or beginning January 1, 1990, such larger amount as the Commissioner of Internal Revenue may prescribe) of any Participant's Compensation. For any Plan Year beginning prior to January 1, 1989, this $200,000 limitation (but not the family aggregation requirement) applies only if the Plan is top heavy for such Plan Year.</w:t>
      </w:r>
    </w:p>
    <w:p>
      <w:pPr>
        <w:spacing w:after="0" w:line="78" w:lineRule="exact"/>
        <w:rPr>
          <w:rFonts w:ascii="Courier New" w:cs="Courier New" w:eastAsia="Courier New" w:hAnsi="Courier New"/>
          <w:sz w:val="15"/>
          <w:szCs w:val="15"/>
          <w:color w:val="auto"/>
        </w:rPr>
      </w:pPr>
    </w:p>
    <w:p>
      <w:pPr>
        <w:ind w:left="8" w:right="3099" w:firstLine="443"/>
        <w:spacing w:after="0" w:line="254" w:lineRule="auto"/>
        <w:tabs>
          <w:tab w:leader="none" w:pos="819"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COMPENSATION LIMITATION TO CERTAIN FAMILY MEMBERS. The $200,000 Compensation limitation applies to the combined Compensation of the Employee and of any family member aggregated with the Employee under Section 1.07 who is either (i) the Employee's spouse; or (ii) the Employee's lineal descendant under the age of 19. If, for a Plan Year, the combined Compensation of the Employee and such family members who are Participants entitled to an allocation for that Plan Year exceeds the $200,000 (or adjusted) limitation, "Compensation" for each such Participant, for purposes of the contribution and allocation provisions of Article III, means his Adjusted Compensation. Adjusted Compensation is the amount which bears the same ratio to the $200,000 (or adjusted) limitation as the affected Participant's Compensation (without regard to the $200,000 Compensation limitation) bears to the combined Compensation of all the affected Participants in the family unit.</w:t>
      </w:r>
    </w:p>
    <w:p>
      <w:pPr>
        <w:spacing w:after="0" w:line="89" w:lineRule="exact"/>
        <w:rPr>
          <w:rFonts w:ascii="Courier New" w:cs="Courier New" w:eastAsia="Courier New" w:hAnsi="Courier New"/>
          <w:sz w:val="15"/>
          <w:szCs w:val="15"/>
          <w:color w:val="auto"/>
        </w:rPr>
      </w:pPr>
    </w:p>
    <w:p>
      <w:pPr>
        <w:ind w:left="8" w:right="3019" w:hanging="8"/>
        <w:spacing w:after="0" w:line="254" w:lineRule="auto"/>
        <w:tabs>
          <w:tab w:leader="none" w:pos="36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NONDISCRIMINATION. FOR PURPOSES OF DETERMINING WHETHER the Plan discriminates in favor of Highly Compensated Employees, Compensation means Compensation as defined in this Section 1.10 except any exclusions from Compensation, other than the exclusions described in paragraphs (a), (b), (c) and (d), do not apply. The Employer also may elect to use an alternate nondiscriminatory definition, in accordance with the requirements of Code ss.414(s) and the regulations issued under that Code section. In determining Compensation under this Section 1.10(B), the Employer may elect to include all elective contributions made by the Employer on behalf of the Employees. The Employer's election to include elective contributions must be consistent and uniform with respect to Employees. The Employer may make this election to include elective contributions for nondiscrimination testing purposes, irrespective of whether this Section 1.10 includes elective contributions in the general Compensation definition applicable to the Plan.</w:t>
      </w:r>
    </w:p>
    <w:p>
      <w:pPr>
        <w:spacing w:after="0" w:line="83" w:lineRule="exact"/>
        <w:rPr>
          <w:sz w:val="20"/>
          <w:szCs w:val="20"/>
          <w:color w:val="auto"/>
        </w:rPr>
      </w:pPr>
    </w:p>
    <w:p>
      <w:pPr>
        <w:ind w:left="8" w:right="3559" w:firstLine="451"/>
        <w:spacing w:after="0" w:line="393" w:lineRule="auto"/>
        <w:rPr>
          <w:sz w:val="20"/>
          <w:szCs w:val="20"/>
          <w:color w:val="auto"/>
        </w:rPr>
      </w:pPr>
      <w:r>
        <w:rPr>
          <w:rFonts w:ascii="Courier New" w:cs="Courier New" w:eastAsia="Courier New" w:hAnsi="Courier New"/>
          <w:sz w:val="14"/>
          <w:szCs w:val="14"/>
          <w:color w:val="auto"/>
        </w:rPr>
        <w:t>1.11 "Account" means the separate account(s) which the Administrative Committee or the Trustee maintains for a Participant under the Plan.</w:t>
      </w:r>
    </w:p>
    <w:p>
      <w:pPr>
        <w:spacing w:after="0" w:line="1" w:lineRule="exact"/>
        <w:rPr>
          <w:sz w:val="20"/>
          <w:szCs w:val="20"/>
          <w:color w:val="auto"/>
        </w:rPr>
      </w:pPr>
    </w:p>
    <w:p>
      <w:pPr>
        <w:ind w:left="8" w:right="3739" w:firstLine="451"/>
        <w:spacing w:after="0" w:line="393" w:lineRule="auto"/>
        <w:rPr>
          <w:sz w:val="20"/>
          <w:szCs w:val="20"/>
          <w:color w:val="auto"/>
        </w:rPr>
      </w:pPr>
      <w:r>
        <w:rPr>
          <w:rFonts w:ascii="Courier New" w:cs="Courier New" w:eastAsia="Courier New" w:hAnsi="Courier New"/>
          <w:sz w:val="14"/>
          <w:szCs w:val="14"/>
          <w:color w:val="auto"/>
        </w:rPr>
        <w:t>1.12 "Accrued Benefit" means the amount standing in a Participant's Account(s) as of any date derived from both Employer contributions.</w:t>
      </w:r>
    </w:p>
    <w:p>
      <w:pPr>
        <w:spacing w:after="0" w:line="1" w:lineRule="exact"/>
        <w:rPr>
          <w:sz w:val="20"/>
          <w:szCs w:val="20"/>
          <w:color w:val="auto"/>
        </w:rPr>
      </w:pPr>
    </w:p>
    <w:p>
      <w:pPr>
        <w:ind w:left="8" w:right="3099" w:firstLine="451"/>
        <w:spacing w:after="0" w:line="305" w:lineRule="auto"/>
        <w:rPr>
          <w:sz w:val="20"/>
          <w:szCs w:val="20"/>
          <w:color w:val="auto"/>
        </w:rPr>
      </w:pPr>
      <w:r>
        <w:rPr>
          <w:rFonts w:ascii="Courier New" w:cs="Courier New" w:eastAsia="Courier New" w:hAnsi="Courier New"/>
          <w:sz w:val="15"/>
          <w:szCs w:val="15"/>
          <w:color w:val="auto"/>
        </w:rPr>
        <w:t>1.13 "Nonforfeitable" means a Participant's or Beneficiary's unconditional claim, legally enforceable against the Plan, to the Participant's Accrued Benefit.</w:t>
      </w:r>
    </w:p>
    <w:p>
      <w:pPr>
        <w:spacing w:after="0" w:line="4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1.14 "Plan Year" means the fiscal year of the Plan, a 12 consecutive month</w:t>
      </w:r>
    </w:p>
    <w:p>
      <w:pPr>
        <w:sectPr>
          <w:pgSz w:w="11900" w:h="16838" w:orient="portrait"/>
          <w:cols w:equalWidth="0" w:num="1">
            <w:col w:w="10227"/>
          </w:cols>
          <w:pgMar w:left="232" w:top="113" w:right="1440" w:bottom="0" w:gutter="0" w:footer="0" w:header="0"/>
        </w:sectPr>
      </w:pPr>
    </w:p>
    <w:bookmarkStart w:id="25" w:name="page26"/>
    <w:bookmarkEnd w:id="25"/>
    <w:p>
      <w:pPr>
        <w:spacing w:after="0" w:line="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period ending every August 31.</w:t>
      </w:r>
    </w:p>
    <w:p>
      <w:pPr>
        <w:spacing w:after="0" w:line="177" w:lineRule="exact"/>
        <w:rPr>
          <w:sz w:val="20"/>
          <w:szCs w:val="20"/>
          <w:color w:val="auto"/>
        </w:rPr>
      </w:pPr>
    </w:p>
    <w:p>
      <w:pPr>
        <w:ind w:left="8" w:right="3099" w:firstLine="451"/>
        <w:spacing w:after="0" w:line="259" w:lineRule="auto"/>
        <w:rPr>
          <w:sz w:val="20"/>
          <w:szCs w:val="20"/>
          <w:color w:val="auto"/>
        </w:rPr>
      </w:pPr>
      <w:r>
        <w:rPr>
          <w:rFonts w:ascii="Courier New" w:cs="Courier New" w:eastAsia="Courier New" w:hAnsi="Courier New"/>
          <w:sz w:val="15"/>
          <w:szCs w:val="15"/>
          <w:color w:val="auto"/>
        </w:rPr>
        <w:t>1.15 "Effective Date" of this Plan, as restated, is September 1, 1987, except the following special effective dates apply: (1) The semiannual Plan Entry Dates under Section 2.01 are effective for Plan Years beginning after September 1, 1990, and the quarterly Plan Entry Dates under Section 2.01 are effective beginning March 1, 1993. (2) The method of allocation of Section 3.04 is effective for Plan Years beginning after August 31, 1992. (3) The Normal Retirement Age provision of Section 5.01 is effective for Plan Years beginning after August 31, 1991. (4) The distribution provision under Section 6.05 is effective for Plan Years beginning after August 31, 1993.</w:t>
      </w:r>
    </w:p>
    <w:p>
      <w:pPr>
        <w:spacing w:after="0" w:line="8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1.16 "Plan Entry Date" means the dates prescribed by Section 2.01.</w:t>
      </w:r>
    </w:p>
    <w:p>
      <w:pPr>
        <w:spacing w:after="0" w:line="177" w:lineRule="exact"/>
        <w:rPr>
          <w:sz w:val="20"/>
          <w:szCs w:val="20"/>
          <w:color w:val="auto"/>
        </w:rPr>
      </w:pPr>
    </w:p>
    <w:p>
      <w:pPr>
        <w:ind w:left="8" w:right="3199" w:firstLine="451"/>
        <w:spacing w:after="0" w:line="285" w:lineRule="auto"/>
        <w:rPr>
          <w:sz w:val="20"/>
          <w:szCs w:val="20"/>
          <w:color w:val="auto"/>
        </w:rPr>
      </w:pPr>
      <w:r>
        <w:rPr>
          <w:rFonts w:ascii="Courier New" w:cs="Courier New" w:eastAsia="Courier New" w:hAnsi="Courier New"/>
          <w:sz w:val="15"/>
          <w:szCs w:val="15"/>
          <w:color w:val="auto"/>
        </w:rPr>
        <w:t>1.17 "Accounting Date" is the last day of the Plan Year. Unless otherwise specified in the Plan, the Administrative Committee will make all Plan allocations for a particular Plan Year as of the Accounting Date of that Plan Year.</w:t>
      </w:r>
    </w:p>
    <w:p>
      <w:pPr>
        <w:spacing w:after="0" w:line="60"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1.18 "Trust" means the separate Trust created under the Plan.</w:t>
      </w:r>
    </w:p>
    <w:p>
      <w:pPr>
        <w:spacing w:after="0" w:line="177" w:lineRule="exact"/>
        <w:rPr>
          <w:sz w:val="20"/>
          <w:szCs w:val="20"/>
          <w:color w:val="auto"/>
        </w:rPr>
      </w:pPr>
    </w:p>
    <w:p>
      <w:pPr>
        <w:ind w:left="8" w:right="3099" w:firstLine="451"/>
        <w:spacing w:after="0" w:line="268" w:lineRule="auto"/>
        <w:rPr>
          <w:sz w:val="20"/>
          <w:szCs w:val="20"/>
          <w:color w:val="auto"/>
        </w:rPr>
      </w:pPr>
      <w:r>
        <w:rPr>
          <w:rFonts w:ascii="Courier New" w:cs="Courier New" w:eastAsia="Courier New" w:hAnsi="Courier New"/>
          <w:sz w:val="15"/>
          <w:szCs w:val="15"/>
          <w:color w:val="auto"/>
        </w:rPr>
        <w:t>1.19 "Trust Fund" means all property of every kind held or acquired by the Trustee under the Plan. This Plan creates a single Trust for all Employers participating under the Winnebago Industries, Inc. Employees' Stock Bonus Plan. However, the Trustee will maintain separate records of account in order to reflect property each Participant's Accrued Benefit derived from each participating Employer.</w:t>
      </w:r>
    </w:p>
    <w:p>
      <w:pPr>
        <w:spacing w:after="0" w:line="75" w:lineRule="exact"/>
        <w:rPr>
          <w:sz w:val="20"/>
          <w:szCs w:val="20"/>
          <w:color w:val="auto"/>
        </w:rPr>
      </w:pPr>
    </w:p>
    <w:p>
      <w:pPr>
        <w:ind w:left="8" w:right="3019" w:firstLine="451"/>
        <w:spacing w:after="0" w:line="274" w:lineRule="auto"/>
        <w:rPr>
          <w:sz w:val="20"/>
          <w:szCs w:val="20"/>
          <w:color w:val="auto"/>
        </w:rPr>
      </w:pPr>
      <w:r>
        <w:rPr>
          <w:rFonts w:ascii="Courier New" w:cs="Courier New" w:eastAsia="Courier New" w:hAnsi="Courier New"/>
          <w:sz w:val="15"/>
          <w:szCs w:val="15"/>
          <w:color w:val="auto"/>
        </w:rPr>
        <w:t>1.20 "Nontransferable Annuity" means an annuity which by its terms provides that it may not be sold, assigned, discounted, pledged as collateral for a loan or security for the performance of an obligation or for any purpose to any person other than the insurance company If the Plan distributes an annuity contract, the contract must be a Nontransferable Annuity.</w:t>
      </w:r>
    </w:p>
    <w:p>
      <w:pPr>
        <w:spacing w:after="0" w:line="70" w:lineRule="exact"/>
        <w:rPr>
          <w:sz w:val="20"/>
          <w:szCs w:val="20"/>
          <w:color w:val="auto"/>
        </w:rPr>
      </w:pPr>
    </w:p>
    <w:p>
      <w:pPr>
        <w:ind w:left="8" w:right="3099" w:firstLine="451"/>
        <w:spacing w:after="0" w:line="365" w:lineRule="auto"/>
        <w:rPr>
          <w:sz w:val="20"/>
          <w:szCs w:val="20"/>
          <w:color w:val="auto"/>
        </w:rPr>
      </w:pPr>
      <w:r>
        <w:rPr>
          <w:rFonts w:ascii="Courier New" w:cs="Courier New" w:eastAsia="Courier New" w:hAnsi="Courier New"/>
          <w:sz w:val="15"/>
          <w:szCs w:val="15"/>
          <w:color w:val="auto"/>
        </w:rPr>
        <w:t>1.21 "ERISA" means the Employee Retirement Income Security Act of 1974, as amended.</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1.22 "Code" means the Internal Revenue Code of 1986, as amended.</w:t>
      </w:r>
    </w:p>
    <w:p>
      <w:pPr>
        <w:spacing w:after="0" w:line="177" w:lineRule="exact"/>
        <w:rPr>
          <w:sz w:val="20"/>
          <w:szCs w:val="20"/>
          <w:color w:val="auto"/>
        </w:rPr>
      </w:pPr>
    </w:p>
    <w:p>
      <w:pPr>
        <w:ind w:left="8" w:right="3019" w:firstLine="451"/>
        <w:spacing w:after="0" w:line="274" w:lineRule="auto"/>
        <w:rPr>
          <w:sz w:val="20"/>
          <w:szCs w:val="20"/>
          <w:color w:val="auto"/>
        </w:rPr>
      </w:pPr>
      <w:r>
        <w:rPr>
          <w:rFonts w:ascii="Courier New" w:cs="Courier New" w:eastAsia="Courier New" w:hAnsi="Courier New"/>
          <w:sz w:val="15"/>
          <w:szCs w:val="15"/>
          <w:color w:val="auto"/>
        </w:rPr>
        <w:t>1.23 "Service" means any period of time the Employee is in the employ of the Employer, including any period the Employee is on an unpaid leave of absence authorized by the Employer under a uniform, nondiscriminatory policy applicable to all Employees. "Separation from Service" means the Employee no longer has an employment relationship which the Employer maintaining this Plan.</w:t>
      </w:r>
    </w:p>
    <w:p>
      <w:pPr>
        <w:spacing w:after="0" w:line="70"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1.24 "Hour of Service" means:</w:t>
      </w:r>
    </w:p>
    <w:p>
      <w:pPr>
        <w:spacing w:after="0" w:line="177" w:lineRule="exact"/>
        <w:rPr>
          <w:sz w:val="20"/>
          <w:szCs w:val="20"/>
          <w:color w:val="auto"/>
        </w:rPr>
      </w:pPr>
    </w:p>
    <w:p>
      <w:pPr>
        <w:ind w:left="448" w:right="3099" w:firstLine="3"/>
        <w:spacing w:after="0" w:line="268" w:lineRule="auto"/>
        <w:tabs>
          <w:tab w:leader="none" w:pos="80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Hour of Service for which the Employer, either directly or indirectly, pays an Employee, or for which the Employee is entitled to payment, for the performance of duties. The Administrative Committee credits Hours of Service under this paragraph (a) to the Employee for the computation period in which the Employee performs the duties, irrespective of when paid;</w:t>
      </w:r>
    </w:p>
    <w:p>
      <w:pPr>
        <w:spacing w:after="0" w:line="75" w:lineRule="exact"/>
        <w:rPr>
          <w:rFonts w:ascii="Courier New" w:cs="Courier New" w:eastAsia="Courier New" w:hAnsi="Courier New"/>
          <w:sz w:val="15"/>
          <w:szCs w:val="15"/>
          <w:color w:val="auto"/>
        </w:rPr>
      </w:pPr>
    </w:p>
    <w:p>
      <w:pPr>
        <w:ind w:left="448" w:right="3199" w:firstLine="3"/>
        <w:spacing w:after="0" w:line="268" w:lineRule="auto"/>
        <w:tabs>
          <w:tab w:leader="none" w:pos="80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Hour of Service for back pay, irrespective of mitigation of damages, to which the Employer has agreed or for which the Employee has received an award. The Administrative Committee credits Hours of Service under this paragraph (b) to the Employee for the computation period(s) to which the award or the agreement pertains rather than for the computation period in which the award, agreement or payment is made; and</w:t>
      </w:r>
    </w:p>
    <w:p>
      <w:pPr>
        <w:spacing w:after="0" w:line="75" w:lineRule="exact"/>
        <w:rPr>
          <w:rFonts w:ascii="Courier New" w:cs="Courier New" w:eastAsia="Courier New" w:hAnsi="Courier New"/>
          <w:sz w:val="15"/>
          <w:szCs w:val="15"/>
          <w:color w:val="auto"/>
        </w:rPr>
      </w:pPr>
    </w:p>
    <w:p>
      <w:pPr>
        <w:ind w:left="448" w:right="3099" w:firstLine="3"/>
        <w:spacing w:after="0" w:line="254" w:lineRule="auto"/>
        <w:tabs>
          <w:tab w:leader="none" w:pos="80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Hour of Service for which the Employer, either directly or indirectly, pays an Employee, or for which the Employee is entitled to payment (irrespective of whether the employment relationship is terminated), for reasons other than for the performance of duties during a computation period, such as leave of absence, vacation, holiday, sick leave, illness, incapacity (including disability), layoff, jury duty or military duty. The Administrative Committee will credit no more than 501 Hours of Service under this paragraph (c) to an Employee on account of any single continuous period during which the Employee does not perform any duties (whether or not such period occurs during a single computation period). The Administrative Committee credits Hours of Service under this paragraph (c) in accordance with the rules of paragraphs (b) and (c) of Labor Reg. 2530.200b-2, which the Plan, by this reference, specifically incorporates in full within this paragraph (c).</w:t>
      </w:r>
    </w:p>
    <w:p>
      <w:pPr>
        <w:spacing w:after="0" w:line="83" w:lineRule="exact"/>
        <w:rPr>
          <w:sz w:val="20"/>
          <w:szCs w:val="20"/>
          <w:color w:val="auto"/>
        </w:rPr>
      </w:pPr>
    </w:p>
    <w:p>
      <w:pPr>
        <w:ind w:left="8" w:right="3099" w:firstLine="451"/>
        <w:spacing w:after="0" w:line="264" w:lineRule="auto"/>
        <w:rPr>
          <w:sz w:val="20"/>
          <w:szCs w:val="20"/>
          <w:color w:val="auto"/>
        </w:rPr>
      </w:pPr>
      <w:r>
        <w:rPr>
          <w:rFonts w:ascii="Courier New" w:cs="Courier New" w:eastAsia="Courier New" w:hAnsi="Courier New"/>
          <w:sz w:val="15"/>
          <w:szCs w:val="15"/>
          <w:color w:val="auto"/>
        </w:rPr>
        <w:t>The Administrative Committee will not credit an Hour of Service under more than one of the above paragraphs. A computation period for purposes of this Section 1.24 is the Plan Year, Year of Service period, Break in Service period or other period, as determined under the Plan provision for which the Administrative Committee is measuring an Employee's Hours of Service. The Administrative Committee will resolve any ambiguity with respect to the crediting of an Hour of Service in favor of the Employee.</w:t>
      </w:r>
    </w:p>
    <w:p>
      <w:pPr>
        <w:spacing w:after="0" w:line="79" w:lineRule="exact"/>
        <w:rPr>
          <w:sz w:val="20"/>
          <w:szCs w:val="20"/>
          <w:color w:val="auto"/>
        </w:rPr>
      </w:pPr>
    </w:p>
    <w:p>
      <w:pPr>
        <w:ind w:left="8" w:right="3019" w:hanging="8"/>
        <w:spacing w:after="0" w:line="274" w:lineRule="auto"/>
        <w:tabs>
          <w:tab w:leader="none" w:pos="36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CREDITING HOURS OF SERVICE. The Employer will credit every Employee with Hours of Service on the basis of the "actual" method. For purposes of the Plan, "actual" method means the determination of Hours of Service from records of hours worked and hours for which the Employer makes payment or for which payment is due from the Employer.</w:t>
      </w:r>
    </w:p>
    <w:p>
      <w:pPr>
        <w:spacing w:after="0" w:line="70" w:lineRule="exact"/>
        <w:rPr>
          <w:rFonts w:ascii="Courier New" w:cs="Courier New" w:eastAsia="Courier New" w:hAnsi="Courier New"/>
          <w:sz w:val="15"/>
          <w:szCs w:val="15"/>
          <w:color w:val="auto"/>
        </w:rPr>
      </w:pPr>
    </w:p>
    <w:p>
      <w:pPr>
        <w:ind w:left="8" w:right="3279" w:hanging="8"/>
        <w:spacing w:after="0" w:line="274" w:lineRule="auto"/>
        <w:tabs>
          <w:tab w:leader="none" w:pos="36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MATERNITY/PATERNITY LEAVE. Solely for purposes of determining whether the Employee incurs a Break in Service under any provision of this Plan, the Administrative Committee must credit Hours of Service during an Employee's unpaid absence period due to maternity or paternity leave. The Administrative Committee considers an Employee on maternity or paternity leave if the</w:t>
      </w:r>
    </w:p>
    <w:p>
      <w:pPr>
        <w:sectPr>
          <w:pgSz w:w="11900" w:h="16888" w:orient="portrait"/>
          <w:cols w:equalWidth="0" w:num="1">
            <w:col w:w="10227"/>
          </w:cols>
          <w:pgMar w:left="232" w:top="113" w:right="1440" w:bottom="0" w:gutter="0" w:footer="0" w:header="0"/>
        </w:sectPr>
      </w:pPr>
    </w:p>
    <w:bookmarkStart w:id="26" w:name="page27"/>
    <w:bookmarkEnd w:id="26"/>
    <w:p>
      <w:pPr>
        <w:spacing w:after="0" w:line="47" w:lineRule="exact"/>
        <w:rPr>
          <w:sz w:val="20"/>
          <w:szCs w:val="20"/>
          <w:color w:val="auto"/>
        </w:rPr>
      </w:pPr>
    </w:p>
    <w:p>
      <w:pPr>
        <w:ind w:left="8" w:right="3019"/>
        <w:spacing w:after="0" w:line="252" w:lineRule="auto"/>
        <w:rPr>
          <w:sz w:val="20"/>
          <w:szCs w:val="20"/>
          <w:color w:val="auto"/>
        </w:rPr>
      </w:pPr>
      <w:r>
        <w:rPr>
          <w:rFonts w:ascii="Courier New" w:cs="Courier New" w:eastAsia="Courier New" w:hAnsi="Courier New"/>
          <w:sz w:val="15"/>
          <w:szCs w:val="15"/>
          <w:color w:val="auto"/>
        </w:rPr>
        <w:t>Employee's absence is due to the Employee's pregnancy, the birth of the Employee's child, the placement with the Employee of an adopted child, or the care of the Employee's child immediately following the child's birth or placement. The Administrative Committee credits Hours of Service under this paragraph on the basis of the number of Hours of Service the Employee would receive if he were paid during the absence period or, if the Administrative Committee cannot determine the number of Hours of Service the Employee would receive, on the basis of 8 hours per day during the absence period. The Administrative Committee will credit only the number (not exceeding 501) of Hours of Service necessary to prevent an Employee's Break in Service. The Administrative Committee credits all Hours of Service described in this paragraph to the computation period in which the absence period begins or, if the Employee does not need these Hours of Service to prevent a Break in Service in the computation period in which his absence period begins, the Administrative Committee credits these Hours of Service to the immediately following computation period.</w:t>
      </w:r>
    </w:p>
    <w:p>
      <w:pPr>
        <w:spacing w:after="0" w:line="93" w:lineRule="exact"/>
        <w:rPr>
          <w:sz w:val="20"/>
          <w:szCs w:val="20"/>
          <w:color w:val="auto"/>
        </w:rPr>
      </w:pPr>
    </w:p>
    <w:p>
      <w:pPr>
        <w:ind w:left="8" w:right="3019" w:firstLine="451"/>
        <w:spacing w:after="0" w:line="275" w:lineRule="auto"/>
        <w:rPr>
          <w:sz w:val="20"/>
          <w:szCs w:val="20"/>
          <w:color w:val="auto"/>
        </w:rPr>
      </w:pPr>
      <w:r>
        <w:rPr>
          <w:rFonts w:ascii="Courier New" w:cs="Courier New" w:eastAsia="Courier New" w:hAnsi="Courier New"/>
          <w:sz w:val="14"/>
          <w:szCs w:val="14"/>
          <w:color w:val="auto"/>
        </w:rPr>
        <w:t>1.25 "Disability" means the Participant, because of a physical or mental disability, will be unable to perform the duties of his customary position of employment (or is unable to engage in any substantial gainful activity) for an indefinite period which the Administrative Committee considers will be of long continued duration. A Participant also is disabled if he incurs the permanent loss or loss of use of a member or function of the body, or is permanently disfigured, and incurs a Separation from Service. The Plan considers a Participant disabled on the date the Administrative Committee determines the Participant satisfies the definition of disability. The Administrative Committee may require a Participant to submit to a physical examination in order to confirm disability. The Administrative Committee will apply the provisions of this Section 1.25 in a nondiscriminatory, consistent and uniform manner.</w:t>
      </w:r>
    </w:p>
    <w:p>
      <w:pPr>
        <w:spacing w:after="0" w:line="73" w:lineRule="exact"/>
        <w:rPr>
          <w:sz w:val="20"/>
          <w:szCs w:val="20"/>
          <w:color w:val="auto"/>
        </w:rPr>
      </w:pPr>
    </w:p>
    <w:p>
      <w:pPr>
        <w:ind w:left="8" w:right="3199" w:firstLine="451"/>
        <w:spacing w:after="0" w:line="305" w:lineRule="auto"/>
        <w:rPr>
          <w:sz w:val="20"/>
          <w:szCs w:val="20"/>
          <w:color w:val="auto"/>
        </w:rPr>
      </w:pPr>
      <w:r>
        <w:rPr>
          <w:rFonts w:ascii="Courier New" w:cs="Courier New" w:eastAsia="Courier New" w:hAnsi="Courier New"/>
          <w:sz w:val="15"/>
          <w:szCs w:val="15"/>
          <w:color w:val="auto"/>
        </w:rPr>
        <w:t>1.26 SERVICE FOR PREDECESSOR EMPLOYER. If the Employer maintains the plan of a predecessor employer, the Plan treats service of the Employee with the predecessor employer as service with the Employer.</w:t>
      </w:r>
    </w:p>
    <w:p>
      <w:pPr>
        <w:spacing w:after="0" w:line="46" w:lineRule="exact"/>
        <w:rPr>
          <w:sz w:val="20"/>
          <w:szCs w:val="20"/>
          <w:color w:val="auto"/>
        </w:rPr>
      </w:pPr>
    </w:p>
    <w:p>
      <w:pPr>
        <w:ind w:left="8" w:right="3019" w:firstLine="451"/>
        <w:spacing w:after="0" w:line="252" w:lineRule="auto"/>
        <w:rPr>
          <w:sz w:val="20"/>
          <w:szCs w:val="20"/>
          <w:color w:val="auto"/>
        </w:rPr>
      </w:pPr>
      <w:r>
        <w:rPr>
          <w:rFonts w:ascii="Courier New" w:cs="Courier New" w:eastAsia="Courier New" w:hAnsi="Courier New"/>
          <w:sz w:val="15"/>
          <w:szCs w:val="15"/>
          <w:color w:val="auto"/>
        </w:rPr>
        <w:t>1.27 RELATED EMPLOYERS. A related group is a controlled group of corporations (as defined in Code ss.414(b)), trades or businesses (whether or not incorporated) which are under common control (as defined in Code ss.414(c)) or an affiliated service group (as defined in Code ss.414(m) or in Code ss.414(o)). If the Employer is a member of a related group, the term "Employer" includes the related group members for purposes of crediting Hours of Service, determining Years of Service and Breaks in Service under Articles II and V, applying the limitations on allocations in Part 2 of Article III, applying the top heavy rules and the minimum allocation requirements of Article III, the definitions of Employee, Highly Compensated Employee, Compensation and Leased Employee, and for any other purpose required by the applicable Code section or by a Plan provision. However, only an Employer described in Section 1.02 may contribute to the Plan and only an Employee employed by an Employer described in Section 1.02 is eligible to participate in this Plan. For Plan allocation purposes, "Compensation" does not include Compensation received from a related employer that is not participating in this Plan.</w:t>
      </w:r>
    </w:p>
    <w:p>
      <w:pPr>
        <w:spacing w:after="0" w:line="93" w:lineRule="exact"/>
        <w:rPr>
          <w:sz w:val="20"/>
          <w:szCs w:val="20"/>
          <w:color w:val="auto"/>
        </w:rPr>
      </w:pPr>
    </w:p>
    <w:p>
      <w:pPr>
        <w:ind w:left="8" w:right="3019" w:firstLine="451"/>
        <w:spacing w:after="0" w:line="258" w:lineRule="auto"/>
        <w:rPr>
          <w:sz w:val="20"/>
          <w:szCs w:val="20"/>
          <w:color w:val="auto"/>
        </w:rPr>
      </w:pPr>
      <w:r>
        <w:rPr>
          <w:rFonts w:ascii="Courier New" w:cs="Courier New" w:eastAsia="Courier New" w:hAnsi="Courier New"/>
          <w:sz w:val="15"/>
          <w:szCs w:val="15"/>
          <w:color w:val="auto"/>
        </w:rPr>
        <w:t>1.28 LEASED EMPLOYEES. The Plan treats a Leased Employee as an Employee of the Employer. A Leased Employee is an individual (who otherwise is not an Employee of the Employer) who, pursuant to a leasing agreement between the Employer and any other person, has performed services for the Employer (or for the Employer and any persons related to the Employer within the meaning of Code ss.144(a)(3)) on a substantially full time basis for at least one year and who performs services historically performed by employees in the Employer's business field. If a Leased Employee is treated as an Employee by reason of this Section 1.28, "Compensation" includes Compensation from the leasing organization which is attributable to services performed for the Employer.</w:t>
      </w:r>
    </w:p>
    <w:p>
      <w:pPr>
        <w:spacing w:after="0" w:line="81" w:lineRule="exact"/>
        <w:rPr>
          <w:sz w:val="20"/>
          <w:szCs w:val="20"/>
          <w:color w:val="auto"/>
        </w:rPr>
      </w:pPr>
    </w:p>
    <w:p>
      <w:pPr>
        <w:ind w:left="8" w:right="3019" w:hanging="8"/>
        <w:spacing w:after="0" w:line="256" w:lineRule="auto"/>
        <w:tabs>
          <w:tab w:leader="none" w:pos="36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SAFE HARBOR PLAN EXCEPTION. The Plan does not treat a Leased Employee as an Employee if the leasing organization covers the employee in a safe harbor plan and, prior to application of this safe harbor plan exception, 20% or less of the Employer's Employees (other than Highly Compensated Employees) are Leased Employees. A safe harbor plan is a money purchase pension plan providing immediate participation, full and immediate vesting, and a nonintegrated contribution formula equal to at least 10% of the employee's compensation without regard to employment by the leasing organization on a specified date. The safe harbor plan must determine the 10% contribution on the basis of compensation as defined in Code ss.415(c)(3) plus elective contributions (as defined in Section 1.10).</w:t>
      </w:r>
    </w:p>
    <w:p>
      <w:pPr>
        <w:spacing w:after="0" w:line="86"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REQUIREMENTS. The Administrative Committee must apply this Section</w:t>
      </w:r>
    </w:p>
    <w:p>
      <w:pPr>
        <w:spacing w:after="0" w:line="31" w:lineRule="exact"/>
        <w:rPr>
          <w:sz w:val="20"/>
          <w:szCs w:val="20"/>
          <w:color w:val="auto"/>
        </w:rPr>
      </w:pPr>
    </w:p>
    <w:p>
      <w:pPr>
        <w:ind w:left="8" w:right="3099"/>
        <w:spacing w:after="0" w:line="261" w:lineRule="auto"/>
        <w:rPr>
          <w:sz w:val="20"/>
          <w:szCs w:val="20"/>
          <w:color w:val="auto"/>
        </w:rPr>
      </w:pPr>
      <w:r>
        <w:rPr>
          <w:rFonts w:ascii="Courier New" w:cs="Courier New" w:eastAsia="Courier New" w:hAnsi="Courier New"/>
          <w:sz w:val="15"/>
          <w:szCs w:val="15"/>
          <w:color w:val="auto"/>
        </w:rPr>
        <w:t>1.28 in a manner consistent with Code ss.ss.414(n) and 414(o) and the regulations issued under those Code sections. The Administrative Committee will reduce a Leased Employee's allocation of Employer contributions under this Plan by the Leased Employee's allocation under the leasing organization's plan, but only to the extent that allocation is attributable to the Leased Employee's service provided to the Employer.</w:t>
      </w:r>
    </w:p>
    <w:p>
      <w:pPr>
        <w:spacing w:after="0" w:line="77" w:lineRule="exact"/>
        <w:rPr>
          <w:sz w:val="20"/>
          <w:szCs w:val="20"/>
          <w:color w:val="auto"/>
        </w:rPr>
      </w:pPr>
    </w:p>
    <w:p>
      <w:pPr>
        <w:ind w:left="8" w:right="3019" w:firstLine="451"/>
        <w:spacing w:after="0" w:line="274" w:lineRule="auto"/>
        <w:rPr>
          <w:sz w:val="20"/>
          <w:szCs w:val="20"/>
          <w:color w:val="auto"/>
        </w:rPr>
      </w:pPr>
      <w:r>
        <w:rPr>
          <w:rFonts w:ascii="Courier New" w:cs="Courier New" w:eastAsia="Courier New" w:hAnsi="Courier New"/>
          <w:sz w:val="14"/>
          <w:szCs w:val="14"/>
          <w:color w:val="auto"/>
        </w:rPr>
        <w:t>1.29 DETERMINATION OF TOP HEAVY STATUS. If this Plan is the only qualified plan maintained by the Employer, the Plan is top heavy for a Plan Year if the top heavy ratio as of the Determination Date exceeds 60%. The top heavy ratio is a fraction, the numerator of which is the sum of the present value of Accrued Benefits of all Key Employees as of the Determination Date and the denominator of which is a similar sum determined for all Employees. The Administrative Committee must include in the top heavy ratio, as part of the present value of Accrued Benefits, any contribution not made as of the Determination Date but includible under Code ss.416 and the applicable Treasury regulations, and distributions made within the Determination Period. The Administrative Committee must calculate the top heavy ratio by disregarding the Accrued Benefit (and distributions, if any, of the Accrued Benefit) of any Non-Key Employee who was formerly a Key Employee, and by disregarding the Accrued Benefit (including</w:t>
      </w:r>
    </w:p>
    <w:p>
      <w:pPr>
        <w:sectPr>
          <w:pgSz w:w="11900" w:h="16885" w:orient="portrait"/>
          <w:cols w:equalWidth="0" w:num="1">
            <w:col w:w="10227"/>
          </w:cols>
          <w:pgMar w:left="232" w:top="113" w:right="1440" w:bottom="0" w:gutter="0" w:footer="0" w:header="0"/>
        </w:sectPr>
      </w:pPr>
    </w:p>
    <w:bookmarkStart w:id="27" w:name="page28"/>
    <w:bookmarkEnd w:id="27"/>
    <w:p>
      <w:pPr>
        <w:spacing w:after="0" w:line="60" w:lineRule="exact"/>
        <w:rPr>
          <w:sz w:val="20"/>
          <w:szCs w:val="20"/>
          <w:color w:val="auto"/>
        </w:rPr>
      </w:pPr>
    </w:p>
    <w:p>
      <w:pPr>
        <w:ind w:right="3099"/>
        <w:spacing w:after="0" w:line="268" w:lineRule="auto"/>
        <w:rPr>
          <w:sz w:val="20"/>
          <w:szCs w:val="20"/>
          <w:color w:val="auto"/>
        </w:rPr>
      </w:pPr>
      <w:r>
        <w:rPr>
          <w:rFonts w:ascii="Courier New" w:cs="Courier New" w:eastAsia="Courier New" w:hAnsi="Courier New"/>
          <w:sz w:val="15"/>
          <w:szCs w:val="15"/>
          <w:color w:val="auto"/>
        </w:rPr>
        <w:t>distributions, if any, of the Accrued Benefit) of an individual who has not received credit for at least one Hour of Service with the Employer during the Determination Period. The Administrative Committee must calculate the top heavy ratio, including the extent to which it must take into account distributions, rollovers and transfers, in accordance with Code ss.416 and the regulations under that Code section.</w:t>
      </w:r>
    </w:p>
    <w:p>
      <w:pPr>
        <w:spacing w:after="0" w:line="75" w:lineRule="exact"/>
        <w:rPr>
          <w:sz w:val="20"/>
          <w:szCs w:val="20"/>
          <w:color w:val="auto"/>
        </w:rPr>
      </w:pPr>
    </w:p>
    <w:p>
      <w:pPr>
        <w:ind w:right="3019" w:firstLine="451"/>
        <w:spacing w:after="0" w:line="248" w:lineRule="auto"/>
        <w:rPr>
          <w:sz w:val="20"/>
          <w:szCs w:val="20"/>
          <w:color w:val="auto"/>
        </w:rPr>
      </w:pPr>
      <w:r>
        <w:rPr>
          <w:rFonts w:ascii="Courier New" w:cs="Courier New" w:eastAsia="Courier New" w:hAnsi="Courier New"/>
          <w:sz w:val="15"/>
          <w:szCs w:val="15"/>
          <w:color w:val="auto"/>
        </w:rPr>
        <w:t>If the Employer maintains other qualified plans (including a simplified employee pension plan), or maintained another such plan which now is terminated, this Plan is top heavy only if it is part of the Required Aggregation Group, and the top heavy ratio for the Required Aggregation Group and for the Permissive Aggregation Group, if any, each exceeds 60%. The Administrative Committee will calculate the top heavy ratio in the same manner as required by the first paragraph of this Section 1.29, taking into account all plans within the Aggregation Group. To the extent the Administrative Committee must take into account distributions to a Participant, the Administrative Committee must include distributions from a terminated plan which would have been part of the Required Aggregation Group if it were in existence on the Determination Date. The Administrative Committee will calculate the present value of Accrued Benefits under defined benefit plans or simplified employee pension plans included within the group in accordance with the terms of those plans, Code ss.416 and the regulations under that Code section. If a Participant in a defined benefit plan is a Non-Key Employee, the Administrative Committee will determine his Accrued Benefit under the accrual method, if any, which is applicable uniformly to all defined benefit plans maintained by the Employer or, if there is no uniform method, in accordance with the slowest accrual rate permitted under the fractional rule accrual method described in Code ss.411(b)(1)(C). To calculate the present value of benefits from a defined benefit plan, the Administrative Committee will use the actuarial assumptions (interest and mortality only) prescribed by the defend benefit plan(s) to value benefits for top heavy purposes. If an aggregated plan does not have a valuation date coinciding with the Determination Date, the Administrative Committee must value the Accrued Benefits in the aggregated plan as of the most recent valuation date falling within the twelve-month period ending on the Determination Date, except as Code ss.416 and applicable Treasury regulations require for the first and second plan year of a defined benefit plan. The Administrative Committee will calculate the top heavy ratio with reference to the Determination Dates that fall within the same calendar year.</w:t>
      </w:r>
    </w:p>
    <w:p>
      <w:pPr>
        <w:spacing w:after="0" w:line="105" w:lineRule="exact"/>
        <w:rPr>
          <w:sz w:val="20"/>
          <w:szCs w:val="20"/>
          <w:color w:val="auto"/>
        </w:rPr>
      </w:pPr>
    </w:p>
    <w:p>
      <w:pPr>
        <w:ind w:left="440"/>
        <w:spacing w:after="0"/>
        <w:tabs>
          <w:tab w:leader="none" w:pos="1680" w:val="left"/>
        </w:tabs>
        <w:rPr>
          <w:sz w:val="20"/>
          <w:szCs w:val="20"/>
          <w:color w:val="auto"/>
        </w:rPr>
      </w:pPr>
      <w:r>
        <w:rPr>
          <w:rFonts w:ascii="Courier New" w:cs="Courier New" w:eastAsia="Courier New" w:hAnsi="Courier New"/>
          <w:sz w:val="15"/>
          <w:szCs w:val="15"/>
          <w:color w:val="auto"/>
        </w:rPr>
        <w:t>DEFINITIONS.</w:t>
        <w:tab/>
        <w:t>For purposes of applying the provisions of this Section 1.29:</w:t>
      </w:r>
    </w:p>
    <w:p>
      <w:pPr>
        <w:spacing w:after="0" w:line="177" w:lineRule="exact"/>
        <w:rPr>
          <w:sz w:val="20"/>
          <w:szCs w:val="20"/>
          <w:color w:val="auto"/>
        </w:rPr>
      </w:pPr>
    </w:p>
    <w:p>
      <w:pPr>
        <w:ind w:left="800" w:hanging="357"/>
        <w:spacing w:after="0"/>
        <w:tabs>
          <w:tab w:leader="none" w:pos="8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"Key Employee" means, as of any Determination Date, any Employee or</w:t>
      </w:r>
    </w:p>
    <w:p>
      <w:pPr>
        <w:spacing w:after="0" w:line="31" w:lineRule="exact"/>
        <w:rPr>
          <w:rFonts w:ascii="Courier New" w:cs="Courier New" w:eastAsia="Courier New" w:hAnsi="Courier New"/>
          <w:sz w:val="15"/>
          <w:szCs w:val="15"/>
          <w:color w:val="auto"/>
        </w:rPr>
      </w:pPr>
    </w:p>
    <w:p>
      <w:pPr>
        <w:ind w:left="440" w:right="301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former Employee (or Beneficiary of such Employee) who, for any Plan Year in the Determination Period: (i) has Compensation in excess of 50% of the dollar amount prescribed in Code ss.415(b)(1)(A) (relating to defined benefit plans) and is an officer of the Employer; (ii) has Compensation in excess of the dollar amount prescribed in Code ss.415(c)(1)(A) (relating to defined contribution plans) and is one of the Employees owning the ten largest interests in the Employer; (iii) is a more than 5% owner of the Employer; or (iv) is a more than 1% owner of the Employer and has Compensation of more than $150,000. The constructive ownership rules of Code ss.318 (or the principles of that section, in the case of an unincorporated Employer,) will apply to determine ownership in the Employer. The number of officers taken into account under clause (i) will not exceed the greater of 3 or 10% of the total number (after application of the Code ss.414(q) exclusions) of Employees, but no more than 50 officers. The Administrative Committee will make the determination of who is a Key Employee in accordance with Code ss.416(i)(1) and the regulations under that Code section.</w:t>
      </w:r>
    </w:p>
    <w:p>
      <w:pPr>
        <w:spacing w:after="0" w:line="95" w:lineRule="exact"/>
        <w:rPr>
          <w:rFonts w:ascii="Courier New" w:cs="Courier New" w:eastAsia="Courier New" w:hAnsi="Courier New"/>
          <w:sz w:val="15"/>
          <w:szCs w:val="15"/>
          <w:color w:val="auto"/>
        </w:rPr>
      </w:pPr>
    </w:p>
    <w:p>
      <w:pPr>
        <w:ind w:left="440" w:right="3199" w:firstLine="3"/>
        <w:spacing w:after="0" w:line="365" w:lineRule="auto"/>
        <w:tabs>
          <w:tab w:leader="none" w:pos="801"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"Non-Key Employee" is an employee who does not meet the definition of Key Employee.</w:t>
      </w:r>
    </w:p>
    <w:p>
      <w:pPr>
        <w:spacing w:after="0" w:line="3" w:lineRule="exact"/>
        <w:rPr>
          <w:rFonts w:ascii="Courier New" w:cs="Courier New" w:eastAsia="Courier New" w:hAnsi="Courier New"/>
          <w:sz w:val="15"/>
          <w:szCs w:val="15"/>
          <w:color w:val="auto"/>
        </w:rPr>
      </w:pPr>
    </w:p>
    <w:p>
      <w:pPr>
        <w:ind w:left="440" w:right="3099" w:firstLine="3"/>
        <w:spacing w:after="0" w:line="365" w:lineRule="auto"/>
        <w:tabs>
          <w:tab w:leader="none" w:pos="801"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means Compensation as determined under Section 1.07 for purposes of identifying Highly Compensated Employees.</w:t>
      </w:r>
    </w:p>
    <w:p>
      <w:pPr>
        <w:spacing w:after="0" w:line="3" w:lineRule="exact"/>
        <w:rPr>
          <w:rFonts w:ascii="Courier New" w:cs="Courier New" w:eastAsia="Courier New" w:hAnsi="Courier New"/>
          <w:sz w:val="15"/>
          <w:szCs w:val="15"/>
          <w:color w:val="auto"/>
        </w:rPr>
      </w:pPr>
    </w:p>
    <w:p>
      <w:pPr>
        <w:ind w:left="440" w:right="3019" w:firstLine="3"/>
        <w:spacing w:after="0" w:line="274" w:lineRule="auto"/>
        <w:tabs>
          <w:tab w:leader="none" w:pos="801"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Aggregation Group" means: (1) each qualified plan of the Employer in which at least one Key Employee participates at any time during the Determination Period; and (2) any other qualified plan of the Employer which enables a plan described in clause (1) to meet the requirements of Code ss.401(a)(4) or of Code ss.410.</w:t>
      </w:r>
    </w:p>
    <w:p>
      <w:pPr>
        <w:spacing w:after="0" w:line="70" w:lineRule="exact"/>
        <w:rPr>
          <w:rFonts w:ascii="Courier New" w:cs="Courier New" w:eastAsia="Courier New" w:hAnsi="Courier New"/>
          <w:sz w:val="15"/>
          <w:szCs w:val="15"/>
          <w:color w:val="auto"/>
        </w:rPr>
      </w:pPr>
    </w:p>
    <w:p>
      <w:pPr>
        <w:ind w:left="440" w:right="3099" w:firstLine="3"/>
        <w:spacing w:after="0" w:line="274" w:lineRule="auto"/>
        <w:tabs>
          <w:tab w:leader="none" w:pos="801"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"Permissive Aggregation Group" is the Required Aggregation Group plus any other qualified plans maintained by the Employer, but only if such group would satisfy in the aggregate the requirements of Code ss.401(a)(4) and of Code ss.410. The Administrative Committee will determine the Permissive Aggregation Group.</w:t>
      </w:r>
    </w:p>
    <w:p>
      <w:pPr>
        <w:spacing w:after="0" w:line="70" w:lineRule="exact"/>
        <w:rPr>
          <w:rFonts w:ascii="Courier New" w:cs="Courier New" w:eastAsia="Courier New" w:hAnsi="Courier New"/>
          <w:sz w:val="15"/>
          <w:szCs w:val="15"/>
          <w:color w:val="auto"/>
        </w:rPr>
      </w:pPr>
    </w:p>
    <w:p>
      <w:pPr>
        <w:ind w:left="440" w:right="3379" w:firstLine="3"/>
        <w:spacing w:after="0" w:line="365" w:lineRule="auto"/>
        <w:tabs>
          <w:tab w:leader="none" w:pos="801"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 means the Employer that adopts this Plan and any related employers described in Section 1.27.</w:t>
      </w:r>
    </w:p>
    <w:p>
      <w:pPr>
        <w:spacing w:after="0" w:line="3" w:lineRule="exact"/>
        <w:rPr>
          <w:rFonts w:ascii="Courier New" w:cs="Courier New" w:eastAsia="Courier New" w:hAnsi="Courier New"/>
          <w:sz w:val="15"/>
          <w:szCs w:val="15"/>
          <w:color w:val="auto"/>
        </w:rPr>
      </w:pPr>
    </w:p>
    <w:p>
      <w:pPr>
        <w:ind w:left="440" w:right="3019" w:firstLine="3"/>
        <w:spacing w:after="0" w:line="285" w:lineRule="auto"/>
        <w:tabs>
          <w:tab w:leader="none" w:pos="801"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Date" for any Plan Year is the Accounting Date of the preceding Plan Year or, in the case of the first Plan Year of the Plan, the Accounting Date of that Plan Year. The "Determination Period" is the five-year period ending on the Determination Date.</w:t>
      </w:r>
    </w:p>
    <w:p>
      <w:pPr>
        <w:spacing w:after="0" w:line="60" w:lineRule="exact"/>
        <w:rPr>
          <w:sz w:val="20"/>
          <w:szCs w:val="20"/>
          <w:color w:val="auto"/>
        </w:rPr>
      </w:pPr>
    </w:p>
    <w:p>
      <w:pPr>
        <w:ind w:right="3019" w:firstLine="451"/>
        <w:spacing w:after="0" w:line="393" w:lineRule="auto"/>
        <w:rPr>
          <w:sz w:val="20"/>
          <w:szCs w:val="20"/>
          <w:color w:val="auto"/>
        </w:rPr>
      </w:pPr>
      <w:r>
        <w:rPr>
          <w:rFonts w:ascii="Courier New" w:cs="Courier New" w:eastAsia="Courier New" w:hAnsi="Courier New"/>
          <w:sz w:val="14"/>
          <w:szCs w:val="14"/>
          <w:color w:val="auto"/>
        </w:rPr>
        <w:t>1.30 "Employer Securities" means common stock issued by the Employer, or by a corporation which is a member of the same controlled group of corporations.</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1.31 "Plan Maintained By More Than One Employer."</w:t>
      </w:r>
    </w:p>
    <w:p>
      <w:pPr>
        <w:spacing w:after="0" w:line="177" w:lineRule="exact"/>
        <w:rPr>
          <w:sz w:val="20"/>
          <w:szCs w:val="20"/>
          <w:color w:val="auto"/>
        </w:rPr>
      </w:pPr>
    </w:p>
    <w:p>
      <w:pPr>
        <w:ind w:left="440" w:right="3099" w:firstLine="3"/>
        <w:spacing w:after="0" w:line="285" w:lineRule="auto"/>
        <w:tabs>
          <w:tab w:leader="none" w:pos="801"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TREATMENT OF EMPLOYERS. If more than one employer maintains this Plan, then for purposes of determining Service and Hours of Service, the Administrative Committee will treat all Employers maintaining this Plan as a single employer.</w:t>
      </w:r>
    </w:p>
    <w:p>
      <w:pPr>
        <w:sectPr>
          <w:pgSz w:w="11900" w:h="16899" w:orient="portrait"/>
          <w:cols w:equalWidth="0" w:num="1">
            <w:col w:w="10219"/>
          </w:cols>
          <w:pgMar w:left="240" w:top="113" w:right="1440" w:bottom="0" w:gutter="0" w:footer="0" w:header="0"/>
        </w:sectPr>
      </w:pPr>
    </w:p>
    <w:bookmarkStart w:id="28" w:name="page29"/>
    <w:bookmarkEnd w:id="28"/>
    <w:p>
      <w:pPr>
        <w:spacing w:after="0" w:line="41" w:lineRule="exact"/>
        <w:rPr>
          <w:sz w:val="20"/>
          <w:szCs w:val="20"/>
          <w:color w:val="auto"/>
        </w:rPr>
      </w:pPr>
    </w:p>
    <w:p>
      <w:pPr>
        <w:ind w:left="440" w:right="3019" w:firstLine="3"/>
        <w:spacing w:after="0" w:line="268" w:lineRule="auto"/>
        <w:tabs>
          <w:tab w:leader="none" w:pos="80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ALLOCATIONS. The Administrative Committee must allocate all Employer contributions and forfeitures to each Participant in the Plan, in accordance with Article III, without regard to which contributing Employer employs the Participant. A Participant's Compensation includes Compensation from all participating Employers, irrespective of which Employers are contributing to the Plan.</w:t>
      </w:r>
    </w:p>
    <w:p>
      <w:pPr>
        <w:spacing w:after="0" w:line="75" w:lineRule="exact"/>
        <w:rPr>
          <w:rFonts w:ascii="Courier New" w:cs="Courier New" w:eastAsia="Courier New" w:hAnsi="Courier New"/>
          <w:sz w:val="15"/>
          <w:szCs w:val="15"/>
          <w:color w:val="auto"/>
        </w:rPr>
      </w:pPr>
    </w:p>
    <w:p>
      <w:pPr>
        <w:ind w:left="2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 * * * * * * *</w:t>
      </w:r>
    </w:p>
    <w:p>
      <w:pPr>
        <w:spacing w:after="0" w:line="35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II</w:t>
      </w:r>
    </w:p>
    <w:p>
      <w:pPr>
        <w:spacing w:after="0" w:line="31"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EMPLOYEE PARTICIPANTS</w:t>
      </w:r>
    </w:p>
    <w:p>
      <w:pPr>
        <w:spacing w:after="0" w:line="149" w:lineRule="exact"/>
        <w:rPr>
          <w:sz w:val="20"/>
          <w:szCs w:val="20"/>
          <w:color w:val="auto"/>
        </w:rPr>
      </w:pPr>
    </w:p>
    <w:p>
      <w:pPr>
        <w:ind w:right="3199" w:firstLine="451"/>
        <w:spacing w:after="0" w:line="268" w:lineRule="auto"/>
        <w:rPr>
          <w:sz w:val="20"/>
          <w:szCs w:val="20"/>
          <w:color w:val="auto"/>
        </w:rPr>
      </w:pPr>
      <w:r>
        <w:rPr>
          <w:rFonts w:ascii="Courier New" w:cs="Courier New" w:eastAsia="Courier New" w:hAnsi="Courier New"/>
          <w:sz w:val="15"/>
          <w:szCs w:val="15"/>
          <w:color w:val="auto"/>
        </w:rPr>
        <w:t>2.01 ELIGIBILITY. Each Employee becomes a Participant in the Plan on the Plan Entry Date (if employed on that date) immediately following the date on which he completes one Year of Service. "Plan Entry Date" means the Effective Date and March 1, June 1, September 1, and December 1. Each Employee who was a Participant in the Plan on the day before the Effective Date of this restated Plan continues as a Participant in the Plan.</w:t>
      </w:r>
    </w:p>
    <w:p>
      <w:pPr>
        <w:spacing w:after="0" w:line="75" w:lineRule="exact"/>
        <w:rPr>
          <w:sz w:val="20"/>
          <w:szCs w:val="20"/>
          <w:color w:val="auto"/>
        </w:rPr>
      </w:pPr>
    </w:p>
    <w:p>
      <w:pPr>
        <w:ind w:right="3019" w:firstLine="451"/>
        <w:spacing w:after="0" w:line="278" w:lineRule="auto"/>
        <w:rPr>
          <w:sz w:val="20"/>
          <w:szCs w:val="20"/>
          <w:color w:val="auto"/>
        </w:rPr>
      </w:pPr>
      <w:r>
        <w:rPr>
          <w:rFonts w:ascii="Courier New" w:cs="Courier New" w:eastAsia="Courier New" w:hAnsi="Courier New"/>
          <w:sz w:val="14"/>
          <w:szCs w:val="14"/>
          <w:color w:val="auto"/>
        </w:rPr>
        <w:t>2.02 YEAR OF SERVICE - PARTICIPATION. For purposes of an Employee's participation in the Plan under Section 2.01, the Plan takes into account all of his Years of Service with the Employer. "Year of Service" means an eligibility computation period during which the Employee completes not less than 1,000 Hours of Service. The initial eligibility computation period is the first 12 consecutive month period measured from the Employment Commencement Date. The Plan measures subsequent periods by reference to the Plan Year, beginning with the Plan Year which includes the first anniversary of the Employee's Employment Commencement Date. "Employment Commencement Date" means the date on which the Employee first performs an Hour of Service for the Employer.</w:t>
      </w:r>
    </w:p>
    <w:p>
      <w:pPr>
        <w:spacing w:after="0" w:line="70" w:lineRule="exact"/>
        <w:rPr>
          <w:sz w:val="20"/>
          <w:szCs w:val="20"/>
          <w:color w:val="auto"/>
        </w:rPr>
      </w:pPr>
    </w:p>
    <w:p>
      <w:pPr>
        <w:ind w:right="3019" w:firstLine="451"/>
        <w:spacing w:after="0" w:line="365" w:lineRule="auto"/>
        <w:rPr>
          <w:sz w:val="20"/>
          <w:szCs w:val="20"/>
          <w:color w:val="auto"/>
        </w:rPr>
      </w:pPr>
      <w:r>
        <w:rPr>
          <w:rFonts w:ascii="Courier New" w:cs="Courier New" w:eastAsia="Courier New" w:hAnsi="Courier New"/>
          <w:sz w:val="15"/>
          <w:szCs w:val="15"/>
          <w:color w:val="auto"/>
        </w:rPr>
        <w:t>2.03 BREAK IN SERVICE - PARTICIPATION. For purposes of participation in the Plan, the Plan does apply any Break in Service rule.</w:t>
      </w:r>
    </w:p>
    <w:p>
      <w:pPr>
        <w:spacing w:after="0" w:line="3" w:lineRule="exact"/>
        <w:rPr>
          <w:sz w:val="20"/>
          <w:szCs w:val="20"/>
          <w:color w:val="auto"/>
        </w:rPr>
      </w:pPr>
    </w:p>
    <w:p>
      <w:pPr>
        <w:ind w:right="3099" w:firstLine="451"/>
        <w:spacing w:after="0" w:line="259" w:lineRule="auto"/>
        <w:rPr>
          <w:sz w:val="20"/>
          <w:szCs w:val="20"/>
          <w:color w:val="auto"/>
        </w:rPr>
      </w:pPr>
      <w:r>
        <w:rPr>
          <w:rFonts w:ascii="Courier New" w:cs="Courier New" w:eastAsia="Courier New" w:hAnsi="Courier New"/>
          <w:sz w:val="15"/>
          <w:szCs w:val="15"/>
          <w:color w:val="auto"/>
        </w:rPr>
        <w:t>2.04 PARTICIPATION UPON RE-EMPLOYMENT. A Participant whose employment with the Employer terminates will reenter the Plan as a Participant on the date of his reemployment. An Employee who satisfies the Plan's eligibility conditions but who terminates employment with the Employer prior to becoming a Participant will become a Participant on the later of the Plan Entry Date on which he would have entered the Plan had he not terminated employment or the date of his reemployment. Any Employee who terminates employment prior to satisfying the Plan's eligibility conditions becomes a Participant in accordance with the provisions of Section 2.01.</w:t>
      </w:r>
    </w:p>
    <w:p>
      <w:pPr>
        <w:spacing w:after="0" w:line="8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 * * * * * * * * * *</w:t>
      </w:r>
    </w:p>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III</w:t>
      </w:r>
    </w:p>
    <w:p>
      <w:pPr>
        <w:spacing w:after="0" w:line="3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EMPLOYER CONTRIBUTIONS AND FORFEITURES</w:t>
      </w:r>
    </w:p>
    <w:p>
      <w:pPr>
        <w:spacing w:after="0" w:line="149" w:lineRule="exact"/>
        <w:rPr>
          <w:sz w:val="20"/>
          <w:szCs w:val="20"/>
          <w:color w:val="auto"/>
        </w:rPr>
      </w:pPr>
    </w:p>
    <w:p>
      <w:pPr>
        <w:ind w:left="720" w:right="3379" w:hanging="720"/>
        <w:spacing w:after="0" w:line="365" w:lineRule="auto"/>
        <w:rPr>
          <w:sz w:val="20"/>
          <w:szCs w:val="20"/>
          <w:color w:val="auto"/>
        </w:rPr>
      </w:pPr>
      <w:r>
        <w:rPr>
          <w:rFonts w:ascii="Courier New" w:cs="Courier New" w:eastAsia="Courier New" w:hAnsi="Courier New"/>
          <w:sz w:val="15"/>
          <w:szCs w:val="15"/>
          <w:color w:val="auto"/>
        </w:rPr>
        <w:t>Part 1. Amount of Employer Contributions and Plan Allocations: Sections 3.01 through 3.06</w:t>
      </w:r>
    </w:p>
    <w:p>
      <w:pPr>
        <w:spacing w:after="0" w:line="3"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5"/>
          <w:szCs w:val="15"/>
          <w:color w:val="auto"/>
        </w:rPr>
        <w:t>3.01 AMOUNT. For each Plan Year, the Employer will contribute to the Trust the amount which the Employer may from time to time deem advisable. The Employer may contribute to this Plan irrespective of whether it has net profits. The Employer intends the Plan to be a stock bonus plan for all purposes of the Code. The Employer may not make a contribution to the Trust for any Plan Year to the extent the contribution would exceed the Participants' Maximum Permissible Amounts. See Part 2 of this Article III.</w:t>
      </w:r>
    </w:p>
    <w:p>
      <w:pPr>
        <w:spacing w:after="0" w:line="79" w:lineRule="exact"/>
        <w:rPr>
          <w:sz w:val="20"/>
          <w:szCs w:val="20"/>
          <w:color w:val="auto"/>
        </w:rPr>
      </w:pPr>
    </w:p>
    <w:p>
      <w:pPr>
        <w:ind w:right="3099" w:firstLine="451"/>
        <w:spacing w:after="0" w:line="262" w:lineRule="auto"/>
        <w:rPr>
          <w:sz w:val="20"/>
          <w:szCs w:val="20"/>
          <w:color w:val="auto"/>
        </w:rPr>
      </w:pPr>
      <w:r>
        <w:rPr>
          <w:rFonts w:ascii="Courier New" w:cs="Courier New" w:eastAsia="Courier New" w:hAnsi="Courier New"/>
          <w:sz w:val="15"/>
          <w:szCs w:val="15"/>
          <w:color w:val="auto"/>
        </w:rPr>
        <w:t>The Employer contributes to this Plan on the condition its contribution is not due to a mistake of fact and the Revenue Service will not disallow the deduction for its contribution. The Trustee, upon written request from the Employer, must return to the Employer the amount of the Employer's contribution made by the Employer by mistake of fact or the amount of the Employer's contribution disallowed as a deduction under Code ss.404. The Trustee will not return any portion of the Employer's contribution under the provisions of this paragraph more than one year after:</w:t>
      </w:r>
    </w:p>
    <w:p>
      <w:pPr>
        <w:spacing w:after="0" w:line="76" w:lineRule="exact"/>
        <w:rPr>
          <w:sz w:val="20"/>
          <w:szCs w:val="20"/>
          <w:color w:val="auto"/>
        </w:rPr>
      </w:pPr>
    </w:p>
    <w:p>
      <w:pPr>
        <w:ind w:left="800" w:hanging="357"/>
        <w:spacing w:after="0"/>
        <w:tabs>
          <w:tab w:leader="none" w:pos="8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Employer made the contribution by mistake of fact; or</w:t>
      </w:r>
    </w:p>
    <w:p>
      <w:pPr>
        <w:spacing w:after="0" w:line="176" w:lineRule="exact"/>
        <w:rPr>
          <w:rFonts w:ascii="Courier New" w:cs="Courier New" w:eastAsia="Courier New" w:hAnsi="Courier New"/>
          <w:sz w:val="15"/>
          <w:szCs w:val="15"/>
          <w:color w:val="auto"/>
        </w:rPr>
      </w:pPr>
    </w:p>
    <w:p>
      <w:pPr>
        <w:ind w:left="440" w:right="3099" w:firstLine="3"/>
        <w:spacing w:after="0" w:line="365" w:lineRule="auto"/>
        <w:tabs>
          <w:tab w:leader="none" w:pos="801"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disallowance of the contribution as a deduction, and then, only to the extent of the disallowance.</w:t>
      </w:r>
    </w:p>
    <w:p>
      <w:pPr>
        <w:spacing w:after="0" w:line="3"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5"/>
          <w:szCs w:val="15"/>
          <w:color w:val="auto"/>
        </w:rPr>
        <w:t>The Trustee will not increase the amount of the Employer contribution returnable under this Section 3.01 for any earnings attributable to the contribution, but the Trustee will decrease the Employer contribution returnable for any losses attributable to it. The Trustee may require the Employer to furnish it whatever evidence the Trustee deems necessary to enable the Trustee to confirm the amount the Employer has requested be returned is properly returnable under ERISA.</w:t>
      </w:r>
    </w:p>
    <w:p>
      <w:pPr>
        <w:spacing w:after="0" w:line="79" w:lineRule="exact"/>
        <w:rPr>
          <w:sz w:val="20"/>
          <w:szCs w:val="20"/>
          <w:color w:val="auto"/>
        </w:rPr>
      </w:pPr>
    </w:p>
    <w:p>
      <w:pPr>
        <w:ind w:right="3199" w:firstLine="451"/>
        <w:spacing w:after="0" w:line="305" w:lineRule="auto"/>
        <w:rPr>
          <w:sz w:val="20"/>
          <w:szCs w:val="20"/>
          <w:color w:val="auto"/>
        </w:rPr>
      </w:pPr>
      <w:r>
        <w:rPr>
          <w:rFonts w:ascii="Courier New" w:cs="Courier New" w:eastAsia="Courier New" w:hAnsi="Courier New"/>
          <w:sz w:val="15"/>
          <w:szCs w:val="15"/>
          <w:color w:val="auto"/>
        </w:rPr>
        <w:t>3.02 DETERMINATION OF CONTRIBUTION. The Employer, from its records, determines the amount of any contributions to be made by it to the Trust under the terms of the Plan.</w:t>
      </w:r>
    </w:p>
    <w:p>
      <w:pPr>
        <w:spacing w:after="0" w:line="46"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5"/>
          <w:szCs w:val="15"/>
          <w:color w:val="auto"/>
        </w:rPr>
        <w:t>3.03 TIME OF PAYMENT OF CONTRIBUTION. The Employer may pay its contribution for each Plan Year in one or more installments without interest. The Employer must make its contribution to the Plan within the time prescribed by the Code or applicable Treasury regulations. Subject to the consent of the Trustee, the Employer may make its contribution in property (including Employer Securities) rather than cash, provided the contribution of property is not a prohibited transaction under the Code or under ERISA.</w:t>
      </w:r>
    </w:p>
    <w:p>
      <w:pPr>
        <w:sectPr>
          <w:pgSz w:w="11900" w:h="16880" w:orient="portrait"/>
          <w:cols w:equalWidth="0" w:num="1">
            <w:col w:w="10219"/>
          </w:cols>
          <w:pgMar w:left="240" w:top="287" w:right="1440" w:bottom="0" w:gutter="0" w:footer="0" w:header="0"/>
        </w:sectPr>
      </w:pPr>
    </w:p>
    <w:bookmarkStart w:id="29" w:name="page30"/>
    <w:bookmarkEnd w:id="29"/>
    <w:p>
      <w:pPr>
        <w:ind w:left="448"/>
        <w:spacing w:after="0"/>
        <w:rPr>
          <w:sz w:val="20"/>
          <w:szCs w:val="20"/>
          <w:color w:val="auto"/>
        </w:rPr>
      </w:pPr>
      <w:r>
        <w:rPr>
          <w:rFonts w:ascii="Courier New" w:cs="Courier New" w:eastAsia="Courier New" w:hAnsi="Courier New"/>
          <w:sz w:val="15"/>
          <w:szCs w:val="15"/>
          <w:color w:val="auto"/>
        </w:rPr>
        <w:t>3.04 CONTRIBUTION ALLOCATION.</w:t>
      </w:r>
    </w:p>
    <w:p>
      <w:pPr>
        <w:spacing w:after="0" w:line="177" w:lineRule="exact"/>
        <w:rPr>
          <w:sz w:val="20"/>
          <w:szCs w:val="20"/>
          <w:color w:val="auto"/>
        </w:rPr>
      </w:pPr>
    </w:p>
    <w:p>
      <w:pPr>
        <w:ind w:left="8" w:right="3099" w:hanging="8"/>
        <w:spacing w:after="0" w:line="256" w:lineRule="auto"/>
        <w:tabs>
          <w:tab w:leader="none" w:pos="36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ALLOCATION. The Administrative Committee will allocate and credit each annual Employer contribution (and Participant forfeitures, if any) to the Account of each Participant who satisfies the conditions of Section 3.06. The Administrative Committee will allocate the annual Employer contributions (and Participant forfeitures, if any) in the same ratio that each Participant's number of Years of Service (as defined under Section 5.06) completed as of the last day of the Plan Year bears to the total number of Years of Service completed by all Participants as of the last day of the Plan Year. In determining the number of Years of Service a Participant accumulated as of August 31, 1992, Years of Service means "Full Years of Continuous Service" as defined in the Plan prior to this restatement.</w:t>
      </w:r>
    </w:p>
    <w:p>
      <w:pPr>
        <w:spacing w:after="0" w:line="86"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TOP HEAVY MINIMUM ALLOCATION.</w:t>
      </w:r>
    </w:p>
    <w:p>
      <w:pPr>
        <w:spacing w:after="0" w:line="176" w:lineRule="exact"/>
        <w:rPr>
          <w:rFonts w:ascii="Courier New" w:cs="Courier New" w:eastAsia="Courier New" w:hAnsi="Courier New"/>
          <w:sz w:val="15"/>
          <w:szCs w:val="15"/>
          <w:color w:val="auto"/>
        </w:rPr>
      </w:pPr>
    </w:p>
    <w:p>
      <w:pPr>
        <w:ind w:left="808" w:hanging="357"/>
        <w:spacing w:after="0"/>
        <w:tabs>
          <w:tab w:leader="none" w:pos="808"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MINIMUM ALLOCATION. If the Plan is top heavy in any Plan Year:</w:t>
      </w:r>
    </w:p>
    <w:p>
      <w:pPr>
        <w:spacing w:after="0" w:line="176" w:lineRule="exact"/>
        <w:rPr>
          <w:rFonts w:ascii="Courier New" w:cs="Courier New" w:eastAsia="Courier New" w:hAnsi="Courier New"/>
          <w:sz w:val="15"/>
          <w:szCs w:val="15"/>
          <w:color w:val="auto"/>
        </w:rPr>
      </w:pPr>
    </w:p>
    <w:p>
      <w:pPr>
        <w:ind w:left="808" w:right="3199" w:firstLine="4"/>
        <w:spacing w:after="0" w:line="285" w:lineRule="auto"/>
        <w:tabs>
          <w:tab w:leader="none" w:pos="1168" w:val="left"/>
        </w:tabs>
        <w:numPr>
          <w:ilvl w:val="2"/>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Non-Key Employee who is a Participant and is employed by the Employer on the last day of the Plan Year will receive a top heavy minimum allocation for that Plan Year, irrespective of whether he satisfies the Hours of Service condition under Section 3.06; and</w:t>
      </w:r>
    </w:p>
    <w:p>
      <w:pPr>
        <w:spacing w:after="0" w:line="59" w:lineRule="exact"/>
        <w:rPr>
          <w:rFonts w:ascii="Courier New" w:cs="Courier New" w:eastAsia="Courier New" w:hAnsi="Courier New"/>
          <w:sz w:val="15"/>
          <w:szCs w:val="15"/>
          <w:color w:val="auto"/>
        </w:rPr>
      </w:pPr>
    </w:p>
    <w:p>
      <w:pPr>
        <w:ind w:left="808" w:right="3019" w:firstLine="4"/>
        <w:spacing w:after="0" w:line="259" w:lineRule="auto"/>
        <w:tabs>
          <w:tab w:leader="none" w:pos="1168" w:val="left"/>
        </w:tabs>
        <w:numPr>
          <w:ilvl w:val="2"/>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top heavy minimum allocation is the lesser of 3% of the Non-Key Employee's Compensation for the Plan Year or the highest contribution rate for the Plan Year made on behalf of any Key Employee. However, if a defined benefit plan maintained by the Employer which benefits a Key Employee depends on this Plan to satisfy the antidiscrimination rules of Code ss.401(a)(4) or the coverage rules of Code ss.410 (or another plan benefiting the Key Employee so depends on such defined benefit plan), the top heavy minimum allocation is 3% of the Non-Key Employee's Compensation regardless of the contribution rate for the Key Employees.</w:t>
      </w:r>
    </w:p>
    <w:p>
      <w:pPr>
        <w:spacing w:after="0" w:line="83" w:lineRule="exact"/>
        <w:rPr>
          <w:rFonts w:ascii="Courier New" w:cs="Courier New" w:eastAsia="Courier New" w:hAnsi="Courier New"/>
          <w:sz w:val="15"/>
          <w:szCs w:val="15"/>
          <w:color w:val="auto"/>
        </w:rPr>
      </w:pPr>
    </w:p>
    <w:p>
      <w:pPr>
        <w:ind w:left="448" w:right="3099" w:firstLine="3"/>
        <w:spacing w:after="0" w:line="264" w:lineRule="auto"/>
        <w:tabs>
          <w:tab w:leader="none" w:pos="808"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DEFINITIONS. For purposes of clause (1)(b), "Compensation" means Compensation as defined in Section 1.10, except: (i) Compensation does not include elective contributions; (ii) any exclusions from Compensation (other than the exclusion of elective contributions and the exclusions described in paragraphs (a), (b), (c) and (d) of Section 1.10) do not apply; and (iii) any modification to the definition of Compensation in Section 3.06 does not apply.</w:t>
      </w:r>
    </w:p>
    <w:p>
      <w:pPr>
        <w:spacing w:after="0" w:line="78" w:lineRule="exact"/>
        <w:rPr>
          <w:rFonts w:ascii="Courier New" w:cs="Courier New" w:eastAsia="Courier New" w:hAnsi="Courier New"/>
          <w:sz w:val="15"/>
          <w:szCs w:val="15"/>
          <w:color w:val="auto"/>
        </w:rPr>
      </w:pPr>
    </w:p>
    <w:p>
      <w:pPr>
        <w:ind w:left="448" w:right="3019" w:firstLine="3"/>
        <w:spacing w:after="0" w:line="254" w:lineRule="auto"/>
        <w:tabs>
          <w:tab w:leader="none" w:pos="808"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DETERMINING CONTRIBUTION RATES. For purposes of this Section 3.04(B), a Participant's contribution rate is the sum of Employer contributions (not including Employer contributions to Social Security) and forfeitures allocated to the Participant's Account for the Plan Year divided by his Compensation for the entire Plan Year. However, for purposes of satisfying a Participant's top heavy minimum allocation in Plan Years beginning after December 31, 1988, a Participant's contribution rate does not include any elective contributions under a Code ss.401(k) arrangement nor any Employer matching contributions necessary to satisfy the nondiscrimination requirements of Code ss.401(k) or of Code ss.401(m). To determine a Participant's contribution rate, the Administrative Committee must treat all qualified top heavy defined contribution plans maintained by the Employer (or by any related Employers described in Section 1.27) as a single plan.</w:t>
      </w:r>
    </w:p>
    <w:p>
      <w:pPr>
        <w:spacing w:after="0" w:line="83" w:lineRule="exact"/>
        <w:rPr>
          <w:rFonts w:ascii="Courier New" w:cs="Courier New" w:eastAsia="Courier New" w:hAnsi="Courier New"/>
          <w:sz w:val="15"/>
          <w:szCs w:val="15"/>
          <w:color w:val="auto"/>
        </w:rPr>
      </w:pPr>
    </w:p>
    <w:p>
      <w:pPr>
        <w:ind w:left="448" w:right="3199" w:firstLine="3"/>
        <w:spacing w:after="0" w:line="274" w:lineRule="auto"/>
        <w:tabs>
          <w:tab w:leader="none" w:pos="808"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ALLOCATIONS. If, for a Plan Year, there are no allocations of Employer contributions or forfeitures for any Key Employee, the Plan does not require any top heavy minimum allocation for the Plan Year, unless a top heavy minimum allocation applies because of the maintenance by the Employer of more than one plan.</w:t>
      </w:r>
    </w:p>
    <w:p>
      <w:pPr>
        <w:spacing w:after="0" w:line="70" w:lineRule="exact"/>
        <w:rPr>
          <w:rFonts w:ascii="Courier New" w:cs="Courier New" w:eastAsia="Courier New" w:hAnsi="Courier New"/>
          <w:sz w:val="15"/>
          <w:szCs w:val="15"/>
          <w:color w:val="auto"/>
        </w:rPr>
      </w:pPr>
    </w:p>
    <w:p>
      <w:pPr>
        <w:ind w:left="448" w:right="3019" w:firstLine="3"/>
        <w:spacing w:after="0" w:line="254" w:lineRule="auto"/>
        <w:tabs>
          <w:tab w:leader="none" w:pos="808"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COMPLIANCE. The Plan will satisfy the top heavy minimum allocation in accordance with this Section 3.04(B)(5). The Employer guarantees the top heavy minimum allocation in the Winnebago Industries, Inc. Profit Sharing and Deferred S&amp;I Plan it maintains. This Plan does not provide the top heavy minimum allocation. However, the Employer will contribute an additional amount for the Account of any Participant who is entitled under this Section 3.04(B) to a top heavy minimum allocation but who is not a Participant in the Winnebago Industries, Inc. Profit Sharing and Deferred S&amp;I Plan, if that Participant's contribution rate for the Plan Year is less than the top heavy minimum allocation. The additional amount is the amount necessary to increase the Participant's contribution rate to the top heavy minimum allocation. The Administrative Committee will allocate the additional contribution to the Account of the Participant on whose behalf the Employer makes the contribution.</w:t>
      </w:r>
    </w:p>
    <w:p>
      <w:pPr>
        <w:spacing w:after="0" w:line="83" w:lineRule="exact"/>
        <w:rPr>
          <w:sz w:val="20"/>
          <w:szCs w:val="20"/>
          <w:color w:val="auto"/>
        </w:rPr>
      </w:pPr>
    </w:p>
    <w:p>
      <w:pPr>
        <w:ind w:left="8" w:right="3019" w:firstLine="451"/>
        <w:spacing w:after="0" w:line="272" w:lineRule="auto"/>
        <w:rPr>
          <w:sz w:val="20"/>
          <w:szCs w:val="20"/>
          <w:color w:val="auto"/>
        </w:rPr>
      </w:pPr>
      <w:r>
        <w:rPr>
          <w:rFonts w:ascii="Courier New" w:cs="Courier New" w:eastAsia="Courier New" w:hAnsi="Courier New"/>
          <w:sz w:val="14"/>
          <w:szCs w:val="14"/>
          <w:color w:val="auto"/>
        </w:rPr>
        <w:t>3.05 FORFEITURE ALLOCATION. The amount of a Participant's Accrued Benefit forfeited under the Plan is a Participant forfeiture. Subject to any restoration allocation required under Section 9.14, the Administrative Committee will allocate a Participant forfeiture in accordance with Section 3.04, as an Employer contribution for the Plan Year in which the forfeiture occurs, as if the Participant forfeiture were an additional Employer contribution for that Plan Year. The Administrative Committee will continue to hold the undistributed, non-vested portion of a terminated Participant's Accrued Benefit in his Account solely for his benefit until a forfeiture occurs at the time specified in Section 5.09, or, if applicable, until the time specified in Section 9.14. Except as provided under Section 5.04, a Participant will not share in the allocation of a forfeiture of any portion of his Accrued Benefit. In making a forfeiture allocation under this Section 3.05, the Administrative Committee, shall base forfeitures of Employer Securities upon the fair market value of the Employer Securities as of the Accounting Date of the forfeitures.</w:t>
      </w:r>
    </w:p>
    <w:p>
      <w:pPr>
        <w:spacing w:after="0" w:line="258"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3.06 ACCRUAL OF BENEFIT. The Administrative Committee will determine the</w:t>
      </w:r>
    </w:p>
    <w:p>
      <w:pPr>
        <w:sectPr>
          <w:pgSz w:w="11900" w:h="16838" w:orient="portrait"/>
          <w:cols w:equalWidth="0" w:num="1">
            <w:col w:w="10227"/>
          </w:cols>
          <w:pgMar w:left="232" w:top="287" w:right="1440" w:bottom="0" w:gutter="0" w:footer="0" w:header="0"/>
        </w:sectPr>
      </w:pPr>
    </w:p>
    <w:bookmarkStart w:id="30" w:name="page31"/>
    <w:bookmarkEnd w:id="30"/>
    <w:p>
      <w:pPr>
        <w:spacing w:after="0" w:line="64" w:lineRule="exact"/>
        <w:rPr>
          <w:sz w:val="20"/>
          <w:szCs w:val="20"/>
          <w:color w:val="auto"/>
        </w:rPr>
      </w:pPr>
    </w:p>
    <w:p>
      <w:pPr>
        <w:ind w:left="8" w:right="3199"/>
        <w:spacing w:after="0" w:line="365" w:lineRule="auto"/>
        <w:rPr>
          <w:sz w:val="20"/>
          <w:szCs w:val="20"/>
          <w:color w:val="auto"/>
        </w:rPr>
      </w:pPr>
      <w:r>
        <w:rPr>
          <w:rFonts w:ascii="Courier New" w:cs="Courier New" w:eastAsia="Courier New" w:hAnsi="Courier New"/>
          <w:sz w:val="15"/>
          <w:szCs w:val="15"/>
          <w:color w:val="auto"/>
        </w:rPr>
        <w:t>accrual of benefit (Employer contributions and Participant forfeitures) on the basis of the Plan Year.</w:t>
      </w:r>
    </w:p>
    <w:p>
      <w:pPr>
        <w:spacing w:after="0" w:line="3" w:lineRule="exact"/>
        <w:rPr>
          <w:sz w:val="20"/>
          <w:szCs w:val="20"/>
          <w:color w:val="auto"/>
        </w:rPr>
      </w:pPr>
    </w:p>
    <w:p>
      <w:pPr>
        <w:ind w:left="368" w:hanging="368"/>
        <w:spacing w:after="0"/>
        <w:tabs>
          <w:tab w:leader="none" w:pos="36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TAKEN INTO ACCOUNT.  [Reserved]</w:t>
      </w:r>
    </w:p>
    <w:p>
      <w:pPr>
        <w:spacing w:after="0" w:line="176" w:lineRule="exact"/>
        <w:rPr>
          <w:rFonts w:ascii="Courier New" w:cs="Courier New" w:eastAsia="Courier New" w:hAnsi="Courier New"/>
          <w:sz w:val="15"/>
          <w:szCs w:val="15"/>
          <w:color w:val="auto"/>
        </w:rPr>
      </w:pPr>
    </w:p>
    <w:p>
      <w:pPr>
        <w:ind w:left="8" w:right="3019" w:hanging="8"/>
        <w:spacing w:after="0" w:line="286" w:lineRule="auto"/>
        <w:tabs>
          <w:tab w:leader="none" w:pos="368"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HOURS OF SERVICE REQUIREMENT. Subject to the top heavy minimum allocation requirement of Section 3.04(B), the Administrative Committee will not allocate any portion of an Employer contribution for a Plan Year to any Participant's Account if the Participant does not complete a minimum of 1,000 Hours of Service during the Plan Year, unless the Participant terminates employment during the Plan Year because of death or disability or because of the attainment of Normal Retirement Age in the current Plan Year or in a prior Plan Year.</w:t>
      </w:r>
    </w:p>
    <w:p>
      <w:pPr>
        <w:spacing w:after="0" w:line="64" w:lineRule="exact"/>
        <w:rPr>
          <w:rFonts w:ascii="Courier New" w:cs="Courier New" w:eastAsia="Courier New" w:hAnsi="Courier New"/>
          <w:sz w:val="14"/>
          <w:szCs w:val="14"/>
          <w:color w:val="auto"/>
        </w:rPr>
      </w:pPr>
    </w:p>
    <w:p>
      <w:pPr>
        <w:ind w:left="8" w:right="3019" w:hanging="8"/>
        <w:spacing w:after="0" w:line="264" w:lineRule="auto"/>
        <w:tabs>
          <w:tab w:leader="none" w:pos="36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REQUIREMENT. A Participant who, during a particular Plan Year, completes the Hours of Service requirement under this Section 3.06 will share in the allocation of Employer contributions and Participant forfeitures, if any, for that Plan Year only if employed by the Employer on the Accounting Date of that Plan Year, unless the Participant terminates employment during the Plan Year because of death or disability or because of the attainment of Normal Retirement Age in the current Plan Year or in a prior Plan Year.</w:t>
      </w:r>
    </w:p>
    <w:p>
      <w:pPr>
        <w:spacing w:after="0" w:line="78"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SUSPENSION OF ACCRUAL REQUIREMENTS.  [Reserved]</w:t>
      </w:r>
    </w:p>
    <w:p>
      <w:pPr>
        <w:spacing w:after="0" w:line="350" w:lineRule="exact"/>
        <w:rPr>
          <w:sz w:val="20"/>
          <w:szCs w:val="20"/>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color w:val="auto"/>
        </w:rPr>
        <w:t>Part 2.</w:t>
        <w:tab/>
        <w:t>Limitations on Allocations: Sections 3.07 and 3.08</w:t>
      </w:r>
    </w:p>
    <w:p>
      <w:pPr>
        <w:spacing w:after="0" w:line="177" w:lineRule="exact"/>
        <w:rPr>
          <w:sz w:val="20"/>
          <w:szCs w:val="20"/>
          <w:color w:val="auto"/>
        </w:rPr>
      </w:pPr>
    </w:p>
    <w:p>
      <w:pPr>
        <w:ind w:left="8" w:right="3019" w:firstLine="451"/>
        <w:spacing w:after="0" w:line="252" w:lineRule="auto"/>
        <w:rPr>
          <w:sz w:val="20"/>
          <w:szCs w:val="20"/>
          <w:color w:val="auto"/>
        </w:rPr>
      </w:pPr>
      <w:r>
        <w:rPr>
          <w:rFonts w:ascii="Courier New" w:cs="Courier New" w:eastAsia="Courier New" w:hAnsi="Courier New"/>
          <w:sz w:val="15"/>
          <w:szCs w:val="15"/>
          <w:color w:val="auto"/>
        </w:rPr>
        <w:t>3.07 LIMITATIONS ON ALLOCATIONS TO PARTICIPANTS' ACCOUNTS. The amount of Annual Additions which the Administrative Committee may allocate under this Plan on a Participant's behalf for a Limitation Year may not exceed the Maximum Permissible Amount. If the amount the Employer otherwise would contribute to the Participant's Account would cause the Annual Additions for the Limitation Year to exceed the Maximum Permissible Amount, the Employer will reduce the amount of its contribution so the Annual Additions for the Limitation Year will equal the Maximum Permissible Amount. If an allocation of Employer contributions, pursuant to Section 3.04, would result in an Excess Amount (other than an Excess Amount resulting from the circumstances described in Section 3.07(B)) to the Participant's Account, the Administrative Committee will reallocate the Excess Amount to the remaining Participants who are eligible for an allocation of Employer contributions for the Plan Year in which the Limitation Year ends. The Administrative Committee will make this reallocation on the basis of the allocation method under the Plan as if the Participant whose Account otherwise would receive the Excess Amount is not eligible for an allocation of Employer contributions.</w:t>
      </w:r>
    </w:p>
    <w:p>
      <w:pPr>
        <w:spacing w:after="0" w:line="88" w:lineRule="exact"/>
        <w:rPr>
          <w:sz w:val="20"/>
          <w:szCs w:val="20"/>
          <w:color w:val="auto"/>
        </w:rPr>
      </w:pPr>
    </w:p>
    <w:p>
      <w:pPr>
        <w:ind w:left="8" w:right="3019" w:hanging="8"/>
        <w:spacing w:after="0" w:line="255" w:lineRule="auto"/>
        <w:tabs>
          <w:tab w:leader="none" w:pos="36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ESTIMATION OF COMPENSATION. Prior to the determination of the Participant's - - actual Compensation for a Limitation Year, the Administrative Committee may determine the Maximum Permissible Amount on the basis of the Participant's estimated annual Compensation for such Limitation Year. The Administrative Committee must make this determination on a reasonable and uniform basis for all Participants similarly situated. The Administrative Committee must reduce any Employer contributions (including any allocation of forfeitures) based on estimated annual Compensation by any Excess Amount carried over from prior years. As soon as is administratively feasible after the end of the Limitation Year, the Administrative Committee will determine the Maximum Permissible Amount for such Limitation Year on the basis of the Participant's actual Compensation for such Limitation Year.</w:t>
      </w:r>
    </w:p>
    <w:p>
      <w:pPr>
        <w:spacing w:after="0" w:line="87" w:lineRule="exact"/>
        <w:rPr>
          <w:rFonts w:ascii="Courier New" w:cs="Courier New" w:eastAsia="Courier New" w:hAnsi="Courier New"/>
          <w:sz w:val="15"/>
          <w:szCs w:val="15"/>
          <w:color w:val="auto"/>
        </w:rPr>
      </w:pPr>
    </w:p>
    <w:p>
      <w:pPr>
        <w:ind w:left="8" w:right="3019" w:hanging="8"/>
        <w:spacing w:after="0" w:line="285" w:lineRule="auto"/>
        <w:tabs>
          <w:tab w:leader="none" w:pos="36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DISPOSITION OF EXCESS AMOUNT. If, pursuant to Section 3.07(A), or because of the allocation of forfeitures, there is an Excess Amount with respect to a Participant for a Limitation Year, the Administrative Committee will dispose of such Excess Amount as follows:</w:t>
      </w:r>
    </w:p>
    <w:p>
      <w:pPr>
        <w:spacing w:after="0" w:line="59" w:lineRule="exact"/>
        <w:rPr>
          <w:rFonts w:ascii="Courier New" w:cs="Courier New" w:eastAsia="Courier New" w:hAnsi="Courier New"/>
          <w:sz w:val="15"/>
          <w:szCs w:val="15"/>
          <w:color w:val="auto"/>
        </w:rPr>
      </w:pPr>
    </w:p>
    <w:p>
      <w:pPr>
        <w:jc w:val="both"/>
        <w:ind w:left="448" w:right="3279" w:firstLine="3"/>
        <w:spacing w:after="0" w:line="305" w:lineRule="auto"/>
        <w:tabs>
          <w:tab w:leader="none" w:pos="808"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Committee will return any nondeductible voluntary Employee contributions to the Participant to the extent the return would reduce the Excess Amount.</w:t>
      </w:r>
    </w:p>
    <w:p>
      <w:pPr>
        <w:spacing w:after="0" w:line="45" w:lineRule="exact"/>
        <w:rPr>
          <w:rFonts w:ascii="Courier New" w:cs="Courier New" w:eastAsia="Courier New" w:hAnsi="Courier New"/>
          <w:sz w:val="15"/>
          <w:szCs w:val="15"/>
          <w:color w:val="auto"/>
        </w:rPr>
      </w:pPr>
    </w:p>
    <w:p>
      <w:pPr>
        <w:ind w:left="448" w:right="3099" w:firstLine="3"/>
        <w:spacing w:after="0" w:line="259" w:lineRule="auto"/>
        <w:tabs>
          <w:tab w:leader="none" w:pos="808"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the application of paragraph (a), an Excess Amount still exists, and the Plan covers the Participant at the end of the Limitation Year, then the Administrative Committee will use the Excess Amount(s) to reduce future Employer contributions (including any allocation of forfeitures) under the Plan for the next Limitation Year and for each succeeding Limitation Year, as is necessary, for the Participant. The Participant may elect to limit his Compensation for allocation purposes to the extent necessary to reduce his allocation for the limitation Year to the Maximum Permissible Amount and eliminate the Excess Amount.</w:t>
      </w:r>
    </w:p>
    <w:p>
      <w:pPr>
        <w:spacing w:after="0" w:line="83" w:lineRule="exact"/>
        <w:rPr>
          <w:rFonts w:ascii="Courier New" w:cs="Courier New" w:eastAsia="Courier New" w:hAnsi="Courier New"/>
          <w:sz w:val="15"/>
          <w:szCs w:val="15"/>
          <w:color w:val="auto"/>
        </w:rPr>
      </w:pPr>
    </w:p>
    <w:p>
      <w:pPr>
        <w:ind w:left="448" w:right="3019" w:firstLine="3"/>
        <w:spacing w:after="0" w:line="258" w:lineRule="auto"/>
        <w:tabs>
          <w:tab w:leader="none" w:pos="808"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the application of paragraph (a), an Excess Amount still exists, and the Plan does not cover the Participant at the end of the Limitation Year, then the Administrative Committee will hold the Excess Amount unallocated in a suspense account. The Administrative Committee will apply the suspense account to reduce Employer Contributions (including allocation of forfeitures) for all remaining Participants in the next Limitation Year, and in each succeeding Limitation Year if necessary. Neither the Employer nor any Employee may contribute to the Plan for any Limitation Year in which the Plan is unable to allocate fully a suspense account maintained pursuant to this paragraph (c).</w:t>
      </w:r>
    </w:p>
    <w:p>
      <w:pPr>
        <w:spacing w:after="0" w:line="80" w:lineRule="exact"/>
        <w:rPr>
          <w:rFonts w:ascii="Courier New" w:cs="Courier New" w:eastAsia="Courier New" w:hAnsi="Courier New"/>
          <w:sz w:val="15"/>
          <w:szCs w:val="15"/>
          <w:color w:val="auto"/>
        </w:rPr>
      </w:pPr>
    </w:p>
    <w:p>
      <w:pPr>
        <w:ind w:left="448" w:right="3199" w:firstLine="3"/>
        <w:spacing w:after="0" w:line="365" w:lineRule="auto"/>
        <w:tabs>
          <w:tab w:leader="none" w:pos="808"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Committee will not distribute any Excess Amount(s) to Participants or to former Participants.</w:t>
      </w:r>
    </w:p>
    <w:p>
      <w:pPr>
        <w:spacing w:after="0" w:line="3" w:lineRule="exact"/>
        <w:rPr>
          <w:rFonts w:ascii="Courier New" w:cs="Courier New" w:eastAsia="Courier New" w:hAnsi="Courier New"/>
          <w:sz w:val="15"/>
          <w:szCs w:val="15"/>
          <w:color w:val="auto"/>
        </w:rPr>
      </w:pPr>
    </w:p>
    <w:p>
      <w:pPr>
        <w:ind w:left="8" w:right="3019" w:hanging="8"/>
        <w:spacing w:after="0" w:line="298" w:lineRule="auto"/>
        <w:tabs>
          <w:tab w:leader="none" w:pos="368"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MORE THAN ONE PLAN. The Employer contributes under a 401(k) profit sharing plan in addition to its contributions under this Plan. If the Administrative Committee allocated an Excess Amount to a Participant's Account on an allocation date of this Plan which coincides with an allocation date of the 401(k) profit sharing plan, the Administrative Committee will attribute the total Excess</w:t>
      </w:r>
    </w:p>
    <w:p>
      <w:pPr>
        <w:sectPr>
          <w:pgSz w:w="11900" w:h="16903" w:orient="portrait"/>
          <w:cols w:equalWidth="0" w:num="1">
            <w:col w:w="10227"/>
          </w:cols>
          <w:pgMar w:left="232" w:top="113" w:right="1440" w:bottom="0" w:gutter="0" w:footer="0" w:header="0"/>
        </w:sectPr>
      </w:pPr>
    </w:p>
    <w:bookmarkStart w:id="31" w:name="page32"/>
    <w:bookmarkEnd w:id="31"/>
    <w:p>
      <w:pPr>
        <w:ind w:left="8"/>
        <w:spacing w:after="0"/>
        <w:rPr>
          <w:sz w:val="20"/>
          <w:szCs w:val="20"/>
          <w:color w:val="auto"/>
        </w:rPr>
      </w:pPr>
      <w:r>
        <w:rPr>
          <w:rFonts w:ascii="Courier New" w:cs="Courier New" w:eastAsia="Courier New" w:hAnsi="Courier New"/>
          <w:sz w:val="15"/>
          <w:szCs w:val="15"/>
          <w:color w:val="auto"/>
        </w:rPr>
        <w:t>Amount allocated as of such date to the 401(k) profit sharing plan.</w:t>
      </w:r>
    </w:p>
    <w:p>
      <w:pPr>
        <w:spacing w:after="0" w:line="177" w:lineRule="exact"/>
        <w:rPr>
          <w:sz w:val="20"/>
          <w:szCs w:val="20"/>
          <w:color w:val="auto"/>
        </w:rPr>
      </w:pPr>
    </w:p>
    <w:p>
      <w:pPr>
        <w:ind w:left="8" w:right="3199" w:hanging="8"/>
        <w:spacing w:after="0" w:line="335" w:lineRule="auto"/>
        <w:tabs>
          <w:tab w:leader="none" w:pos="368"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DEFINED BENEFIT PLAN LIMITATION. The Employer does not maintain and never has maintained a defined benefit plan covering any Participant in this Plan. Accordingly, a special defined plan limitation does not apply under this Plan.</w:t>
      </w:r>
    </w:p>
    <w:p>
      <w:pPr>
        <w:spacing w:after="0" w:line="29" w:lineRule="exact"/>
        <w:rPr>
          <w:sz w:val="20"/>
          <w:szCs w:val="20"/>
          <w:color w:val="auto"/>
        </w:rPr>
      </w:pPr>
    </w:p>
    <w:p>
      <w:pPr>
        <w:ind w:left="8" w:right="3099" w:firstLine="451"/>
        <w:spacing w:after="0" w:line="365" w:lineRule="auto"/>
        <w:rPr>
          <w:sz w:val="20"/>
          <w:szCs w:val="20"/>
          <w:color w:val="auto"/>
        </w:rPr>
      </w:pPr>
      <w:r>
        <w:rPr>
          <w:rFonts w:ascii="Courier New" w:cs="Courier New" w:eastAsia="Courier New" w:hAnsi="Courier New"/>
          <w:sz w:val="15"/>
          <w:szCs w:val="15"/>
          <w:color w:val="auto"/>
        </w:rPr>
        <w:t>3.08 DEFINITIONS - ARTICLE III. For purposes of Article III, the following terms mean:</w:t>
      </w:r>
    </w:p>
    <w:p>
      <w:pPr>
        <w:spacing w:after="0" w:line="3" w:lineRule="exact"/>
        <w:rPr>
          <w:sz w:val="20"/>
          <w:szCs w:val="20"/>
          <w:color w:val="auto"/>
        </w:rPr>
      </w:pPr>
    </w:p>
    <w:p>
      <w:pPr>
        <w:ind w:left="448" w:right="3019" w:firstLine="3"/>
        <w:spacing w:after="0" w:line="251" w:lineRule="auto"/>
        <w:tabs>
          <w:tab w:leader="none" w:pos="80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Addition" - The sum of the following amounts allocated on behalf of a Participant for a Limitation Year: (i) all Employer contributions; (ii) all forfeitures; and (iii) all Employee contributions. Except to the extent provided in Treasury regulations, Annual Additions include excess contributions described in Code ss.401(k), excess aggregate contributions described in Code ss.401(m) and excess deferrals described in Code ss.402(g), irrespective of whether the plan distributes or forfeits such excess amounts. Annual Additions also include Excess Amounts reapplied to reduce Employer contributions under Section 3.07. Amounts allocated after March 31, 1984, to an individual medical account (as defined in Code ss.415(1)(2)) included as part of a defined benefit plan maintained by the Employer are Annual Additions. Furthermore, Annual Additions include contributions paid or accrued after December 31, 1985, for taxable years ending after December 31, 1985, attributable to postretirement medical benefits allocated to the separate account of a key employee (as defined in Code ss.419A(d)(3)) under a welfare benefit fund (as defined in Code ss.419(e)) maintained by the Employer, but only for purposes of the dollar limitation applicable to the Maximum Permissible Amount.</w:t>
      </w:r>
    </w:p>
    <w:p>
      <w:pPr>
        <w:spacing w:after="0" w:line="95" w:lineRule="exact"/>
        <w:rPr>
          <w:rFonts w:ascii="Courier New" w:cs="Courier New" w:eastAsia="Courier New" w:hAnsi="Courier New"/>
          <w:sz w:val="15"/>
          <w:szCs w:val="15"/>
          <w:color w:val="auto"/>
        </w:rPr>
      </w:pPr>
    </w:p>
    <w:p>
      <w:pPr>
        <w:ind w:left="448" w:right="3099" w:firstLine="3"/>
        <w:spacing w:after="0" w:line="252" w:lineRule="auto"/>
        <w:tabs>
          <w:tab w:leader="none" w:pos="80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 For purposes of applying the limitations of Part 2 of this Article III, "Compensation" means Compensation as defined in Section 1.10, except Compensation does not include elective contributions and any exclusion from Compensation (other than the exclusion of elective contributions and the exclusions described in paragraphs (a), (b), (c) and</w:t>
      </w:r>
    </w:p>
    <w:p>
      <w:pPr>
        <w:spacing w:after="0" w:line="2" w:lineRule="exact"/>
        <w:rPr>
          <w:rFonts w:ascii="Courier New" w:cs="Courier New" w:eastAsia="Courier New" w:hAnsi="Courier New"/>
          <w:sz w:val="15"/>
          <w:szCs w:val="15"/>
          <w:color w:val="auto"/>
        </w:rPr>
      </w:pPr>
    </w:p>
    <w:p>
      <w:pPr>
        <w:ind w:left="808" w:hanging="357"/>
        <w:spacing w:after="0"/>
        <w:tabs>
          <w:tab w:leader="none" w:pos="80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Section 1.10) does not apply.</w:t>
      </w:r>
    </w:p>
    <w:p>
      <w:pPr>
        <w:spacing w:after="0" w:line="148" w:lineRule="exact"/>
        <w:rPr>
          <w:rFonts w:ascii="Courier New" w:cs="Courier New" w:eastAsia="Courier New" w:hAnsi="Courier New"/>
          <w:sz w:val="15"/>
          <w:szCs w:val="15"/>
          <w:color w:val="auto"/>
        </w:rPr>
      </w:pPr>
    </w:p>
    <w:p>
      <w:pPr>
        <w:ind w:left="448" w:right="3019" w:firstLine="3"/>
        <w:spacing w:after="0" w:line="268" w:lineRule="auto"/>
        <w:tabs>
          <w:tab w:leader="none" w:pos="80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Permissible Amount" - The lesser of (i) $30,000 (or, if greater, one-fourth of the defined benefit dollar limitation under Code ss.415(b)(1)(A)), or (ii) 25% of the Participant's Compensation for the Limitation Year. If there is a short Limitation Year because of a change in Limitation Year, the Administrative Committee will multiply the $30,000 limitation (or larger limitation) by the following fraction:</w:t>
      </w:r>
    </w:p>
    <w:p>
      <w:pPr>
        <w:spacing w:after="0" w:line="75" w:lineRule="exact"/>
        <w:rPr>
          <w:sz w:val="20"/>
          <w:szCs w:val="20"/>
          <w:color w:val="auto"/>
        </w:rPr>
      </w:pPr>
    </w:p>
    <w:p>
      <w:pPr>
        <w:jc w:val="center"/>
        <w:ind w:right="2932"/>
        <w:spacing w:after="0"/>
        <w:rPr>
          <w:sz w:val="20"/>
          <w:szCs w:val="20"/>
          <w:color w:val="auto"/>
        </w:rPr>
      </w:pPr>
      <w:r>
        <w:rPr>
          <w:rFonts w:ascii="Courier New" w:cs="Courier New" w:eastAsia="Courier New" w:hAnsi="Courier New"/>
          <w:sz w:val="15"/>
          <w:szCs w:val="15"/>
          <w:color w:val="auto"/>
        </w:rPr>
        <w:t>Number of months in the short Limitation Year</w:t>
      </w:r>
    </w:p>
    <w:p>
      <w:pPr>
        <w:spacing w:after="0" w:line="31"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12</w:t>
      </w:r>
    </w:p>
    <w:p>
      <w:pPr>
        <w:spacing w:after="0" w:line="149" w:lineRule="exact"/>
        <w:rPr>
          <w:sz w:val="20"/>
          <w:szCs w:val="20"/>
          <w:color w:val="auto"/>
        </w:rPr>
      </w:pPr>
    </w:p>
    <w:p>
      <w:pPr>
        <w:ind w:left="448" w:right="3279" w:firstLine="3"/>
        <w:spacing w:after="0" w:line="274" w:lineRule="auto"/>
        <w:tabs>
          <w:tab w:leader="none" w:pos="80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 - The Employer that adopts this Plan and any related employers described in Section 1.27. Solely for purposes of applying the limitations of Part 2 of this Article III, the Administrative Committee will determine related employers described in Section 1.27 by modifying Code ss.414(b) and (c) in accordance with Code ss.415(h).</w:t>
      </w:r>
    </w:p>
    <w:p>
      <w:pPr>
        <w:spacing w:after="0" w:line="70" w:lineRule="exact"/>
        <w:rPr>
          <w:rFonts w:ascii="Courier New" w:cs="Courier New" w:eastAsia="Courier New" w:hAnsi="Courier New"/>
          <w:sz w:val="15"/>
          <w:szCs w:val="15"/>
          <w:color w:val="auto"/>
        </w:rPr>
      </w:pPr>
    </w:p>
    <w:p>
      <w:pPr>
        <w:ind w:left="448" w:right="3099" w:firstLine="3"/>
        <w:spacing w:after="0" w:line="365" w:lineRule="auto"/>
        <w:tabs>
          <w:tab w:leader="none" w:pos="80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"Excess Amount" - The excess of the Participant's Annual Additions for the Limitation Year over the Maximum Permissible Amount.</w:t>
      </w:r>
    </w:p>
    <w:p>
      <w:pPr>
        <w:spacing w:after="0" w:line="3" w:lineRule="exact"/>
        <w:rPr>
          <w:rFonts w:ascii="Courier New" w:cs="Courier New" w:eastAsia="Courier New" w:hAnsi="Courier New"/>
          <w:sz w:val="15"/>
          <w:szCs w:val="15"/>
          <w:color w:val="auto"/>
        </w:rPr>
      </w:pPr>
    </w:p>
    <w:p>
      <w:pPr>
        <w:ind w:left="448" w:right="3199" w:firstLine="3"/>
        <w:spacing w:after="0" w:line="285" w:lineRule="auto"/>
        <w:tabs>
          <w:tab w:leader="none" w:pos="80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Year" - The Plan Year. If the Employer amends the Limitation Year to a different 12 consecutive month period, the new Limitation Year must begin on a date within the Limitation Year for which the Employer makes the amendment, creating a short Limitation Year.</w:t>
      </w:r>
    </w:p>
    <w:p>
      <w:pPr>
        <w:spacing w:after="0" w:line="59" w:lineRule="exact"/>
        <w:rPr>
          <w:rFonts w:ascii="Courier New" w:cs="Courier New" w:eastAsia="Courier New" w:hAnsi="Courier New"/>
          <w:sz w:val="15"/>
          <w:szCs w:val="15"/>
          <w:color w:val="auto"/>
        </w:rPr>
      </w:pPr>
    </w:p>
    <w:p>
      <w:pPr>
        <w:ind w:left="448" w:right="3019" w:firstLine="3"/>
        <w:spacing w:after="0" w:line="252" w:lineRule="auto"/>
        <w:tabs>
          <w:tab w:leader="none" w:pos="80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"Defined contribution plan" - A retirement plan which provides for an individual account for each participant and for benefits based solely on the amount contributed to the participant's account, and any income, expenses, gains and losses, and any forfeitures of accounts of other participants which the plan may allocate to such participant's account. The Administrative Committee must treat all defined contribution plans (whether or not terminated) maintained by the Employer as a single plan. Solely for purposes of the limitations of Part 2 of this Article III, the Administrative Committee will treat employee contributions made to a defined benefit plan maintained by the Employer as a separate defined contribution plan. The Administrative Committee also will treat as a defined contribution plan an individual medical account (as defined in Code ss.415(1)(2)) included as part of a defined benefit plan maintained by the Employer and, for taxable years ending after December 31, 1985, a welfare benefit fund under Code ss.419(e) maintained by the Employer to the extent there are postretirement medical benefits allocated to the separate account of a key employee (as defined in Code ss.419A(d)(3)).</w:t>
      </w:r>
    </w:p>
    <w:p>
      <w:pPr>
        <w:spacing w:after="0" w:line="87" w:lineRule="exact"/>
        <w:rPr>
          <w:rFonts w:ascii="Courier New" w:cs="Courier New" w:eastAsia="Courier New" w:hAnsi="Courier New"/>
          <w:sz w:val="15"/>
          <w:szCs w:val="15"/>
          <w:color w:val="auto"/>
        </w:rPr>
      </w:pPr>
    </w:p>
    <w:p>
      <w:pPr>
        <w:ind w:left="448" w:right="3099" w:firstLine="3"/>
        <w:spacing w:after="0" w:line="285" w:lineRule="auto"/>
        <w:tabs>
          <w:tab w:leader="none" w:pos="80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"Defined benefit plan" - A retirement plan which does not provide for individual accounts for Employer contributions. The Administrative Committee must treat all defined benefit plans (whether or not terminated) maintained by the Employer as a single plan.</w:t>
      </w:r>
    </w:p>
    <w:p>
      <w:pPr>
        <w:spacing w:after="0" w:line="59" w:lineRule="exact"/>
        <w:rPr>
          <w:rFonts w:ascii="Courier New" w:cs="Courier New" w:eastAsia="Courier New" w:hAnsi="Courier New"/>
          <w:sz w:val="15"/>
          <w:szCs w:val="15"/>
          <w:color w:val="auto"/>
        </w:rPr>
      </w:pPr>
    </w:p>
    <w:p>
      <w:pPr>
        <w:ind w:left="2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 * * * * * * *</w:t>
      </w:r>
    </w:p>
    <w:p>
      <w:pPr>
        <w:spacing w:after="0" w:line="350"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ARTICLE IV</w:t>
      </w:r>
    </w:p>
    <w:p>
      <w:pPr>
        <w:spacing w:after="0" w:line="31" w:lineRule="exact"/>
        <w:rPr>
          <w:sz w:val="20"/>
          <w:szCs w:val="20"/>
          <w:color w:val="auto"/>
        </w:rPr>
      </w:pPr>
    </w:p>
    <w:p>
      <w:pPr>
        <w:ind w:left="2528"/>
        <w:spacing w:after="0"/>
        <w:rPr>
          <w:sz w:val="20"/>
          <w:szCs w:val="20"/>
          <w:color w:val="auto"/>
        </w:rPr>
      </w:pPr>
      <w:r>
        <w:rPr>
          <w:rFonts w:ascii="Courier New" w:cs="Courier New" w:eastAsia="Courier New" w:hAnsi="Courier New"/>
          <w:sz w:val="15"/>
          <w:szCs w:val="15"/>
          <w:color w:val="auto"/>
        </w:rPr>
        <w:t>PARTICIPANT CONTRIBUTIONS</w:t>
      </w:r>
    </w:p>
    <w:p>
      <w:pPr>
        <w:spacing w:after="0" w:line="149" w:lineRule="exact"/>
        <w:rPr>
          <w:sz w:val="20"/>
          <w:szCs w:val="20"/>
          <w:color w:val="auto"/>
        </w:rPr>
      </w:pPr>
    </w:p>
    <w:p>
      <w:pPr>
        <w:ind w:left="8" w:right="3459" w:firstLine="451"/>
        <w:spacing w:after="0" w:line="365" w:lineRule="auto"/>
        <w:rPr>
          <w:sz w:val="20"/>
          <w:szCs w:val="20"/>
          <w:color w:val="auto"/>
        </w:rPr>
      </w:pPr>
      <w:r>
        <w:rPr>
          <w:rFonts w:ascii="Courier New" w:cs="Courier New" w:eastAsia="Courier New" w:hAnsi="Courier New"/>
          <w:sz w:val="15"/>
          <w:szCs w:val="15"/>
          <w:color w:val="auto"/>
        </w:rPr>
        <w:t>4.01 PARTICIPANT VOLUNTARY CONTRIBUTIONS. The Plan does not permit nor require Participant voluntary contributions.</w:t>
      </w:r>
    </w:p>
    <w:p>
      <w:pPr>
        <w:spacing w:after="0" w:line="3" w:lineRule="exact"/>
        <w:rPr>
          <w:sz w:val="20"/>
          <w:szCs w:val="20"/>
          <w:color w:val="auto"/>
        </w:rPr>
      </w:pPr>
    </w:p>
    <w:p>
      <w:pPr>
        <w:ind w:left="8" w:right="3919" w:firstLine="451"/>
        <w:spacing w:after="0" w:line="365" w:lineRule="auto"/>
        <w:rPr>
          <w:sz w:val="20"/>
          <w:szCs w:val="20"/>
          <w:color w:val="auto"/>
        </w:rPr>
      </w:pPr>
      <w:r>
        <w:rPr>
          <w:rFonts w:ascii="Courier New" w:cs="Courier New" w:eastAsia="Courier New" w:hAnsi="Courier New"/>
          <w:sz w:val="15"/>
          <w:szCs w:val="15"/>
          <w:color w:val="auto"/>
        </w:rPr>
        <w:t>4.02 PARTICIPANT ROLLOVER CONTRIBUTIONS. The Plan does not permit Participant rollover contributions.</w:t>
      </w:r>
    </w:p>
    <w:p>
      <w:pPr>
        <w:spacing w:after="0" w:line="3"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 * * * * * * * * * *</w:t>
      </w:r>
    </w:p>
    <w:p>
      <w:pPr>
        <w:sectPr>
          <w:pgSz w:w="11900" w:h="16838" w:orient="portrait"/>
          <w:cols w:equalWidth="0" w:num="1">
            <w:col w:w="10227"/>
          </w:cols>
          <w:pgMar w:left="232" w:top="113" w:right="1440" w:bottom="0" w:gutter="0" w:footer="0" w:header="0"/>
        </w:sectPr>
      </w:pPr>
    </w:p>
    <w:bookmarkStart w:id="32" w:name="page33"/>
    <w:bookmarkEnd w:id="32"/>
    <w:p>
      <w:pPr>
        <w:spacing w:after="0" w:line="50" w:lineRule="exact"/>
        <w:rPr>
          <w:sz w:val="20"/>
          <w:szCs w:val="20"/>
          <w:color w:val="auto"/>
        </w:rPr>
      </w:pPr>
    </w:p>
    <w:p>
      <w:pPr>
        <w:jc w:val="center"/>
        <w:ind w:right="2932"/>
        <w:spacing w:after="0"/>
        <w:rPr>
          <w:sz w:val="20"/>
          <w:szCs w:val="20"/>
          <w:color w:val="auto"/>
        </w:rPr>
      </w:pPr>
      <w:r>
        <w:rPr>
          <w:rFonts w:ascii="Courier New" w:cs="Courier New" w:eastAsia="Courier New" w:hAnsi="Courier New"/>
          <w:sz w:val="15"/>
          <w:szCs w:val="15"/>
          <w:color w:val="auto"/>
        </w:rPr>
        <w:t>ARTICLE V</w:t>
      </w:r>
    </w:p>
    <w:p>
      <w:pPr>
        <w:spacing w:after="0" w:line="31"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TERMINATION OF SERVICE - PARTICIPANT VESTING</w:t>
      </w:r>
    </w:p>
    <w:p>
      <w:pPr>
        <w:spacing w:after="0" w:line="149" w:lineRule="exact"/>
        <w:rPr>
          <w:sz w:val="20"/>
          <w:szCs w:val="20"/>
          <w:color w:val="auto"/>
        </w:rPr>
      </w:pPr>
    </w:p>
    <w:p>
      <w:pPr>
        <w:ind w:left="8" w:right="3379" w:firstLine="451"/>
        <w:spacing w:after="0" w:line="285" w:lineRule="auto"/>
        <w:rPr>
          <w:sz w:val="20"/>
          <w:szCs w:val="20"/>
          <w:color w:val="auto"/>
        </w:rPr>
      </w:pPr>
      <w:r>
        <w:rPr>
          <w:rFonts w:ascii="Courier New" w:cs="Courier New" w:eastAsia="Courier New" w:hAnsi="Courier New"/>
          <w:sz w:val="15"/>
          <w:szCs w:val="15"/>
          <w:color w:val="auto"/>
        </w:rPr>
        <w:t>5.01 NORMAL RETIREMENT AGE. A Participant's Normal Retirement Age is 62 years of age. A Participant's Accrued Benefit derived from Employer contributions is 100% Nonforfeitable upon and after his attaining Normal Retirement Age (if employed by the Employer on or after that date).</w:t>
      </w:r>
    </w:p>
    <w:p>
      <w:pPr>
        <w:spacing w:after="0" w:line="60" w:lineRule="exact"/>
        <w:rPr>
          <w:sz w:val="20"/>
          <w:szCs w:val="20"/>
          <w:color w:val="auto"/>
        </w:rPr>
      </w:pPr>
    </w:p>
    <w:p>
      <w:pPr>
        <w:ind w:left="8" w:right="3019" w:firstLine="451"/>
        <w:spacing w:after="0" w:line="335" w:lineRule="auto"/>
        <w:rPr>
          <w:sz w:val="20"/>
          <w:szCs w:val="20"/>
          <w:color w:val="auto"/>
        </w:rPr>
      </w:pPr>
      <w:r>
        <w:rPr>
          <w:rFonts w:ascii="Courier New" w:cs="Courier New" w:eastAsia="Courier New" w:hAnsi="Courier New"/>
          <w:sz w:val="14"/>
          <w:szCs w:val="14"/>
          <w:color w:val="auto"/>
        </w:rPr>
        <w:t>5.02 PARTICIPANT DISABILITY OR DEATH. If a Participant's employment with the Employer terminates as a result of death or disability, the Participant's Accrued Benefit derived from Employer contributions will be 100% Nonforfeitable.</w:t>
      </w:r>
    </w:p>
    <w:p>
      <w:pPr>
        <w:spacing w:after="0" w:line="29"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5.03 VESTING SCHEDULE.</w:t>
      </w:r>
    </w:p>
    <w:p>
      <w:pPr>
        <w:spacing w:after="0" w:line="177" w:lineRule="exact"/>
        <w:rPr>
          <w:sz w:val="20"/>
          <w:szCs w:val="20"/>
          <w:color w:val="auto"/>
        </w:rPr>
      </w:pPr>
    </w:p>
    <w:p>
      <w:pPr>
        <w:ind w:left="8" w:right="3379" w:hanging="8"/>
        <w:spacing w:after="0" w:line="285" w:lineRule="auto"/>
        <w:tabs>
          <w:tab w:leader="none" w:pos="36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SCHEDULE. Except as provided in Sections 5.01 and 5.02, for each Year of Service, a Participant's Nonforfeitable percentage of his Accrued Benefit derived from Employer contributions equals the percentage in the following vesting schedule:</w:t>
      </w:r>
    </w:p>
    <w:p>
      <w:pPr>
        <w:spacing w:after="0" w:line="60" w:lineRule="exact"/>
        <w:rPr>
          <w:sz w:val="20"/>
          <w:szCs w:val="20"/>
          <w:color w:val="auto"/>
        </w:rPr>
      </w:pPr>
    </w:p>
    <w:tbl>
      <w:tblPr>
        <w:tblLayout w:type="fixed"/>
        <w:tblInd w:w="808" w:type="dxa"/>
        <w:tblCellMar>
          <w:top w:w="0" w:type="dxa"/>
          <w:left w:w="0" w:type="dxa"/>
          <w:bottom w:w="0" w:type="dxa"/>
          <w:right w:w="0" w:type="dxa"/>
        </w:tblCellMar>
      </w:tblPr>
      <w:tr>
        <w:trPr>
          <w:trHeight w:val="173"/>
        </w:trPr>
        <w:tc>
          <w:tcPr>
            <w:tcW w:w="44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Years of Service</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Percent of</w:t>
            </w:r>
          </w:p>
        </w:tc>
        <w:tc>
          <w:tcPr>
            <w:tcW w:w="0" w:type="dxa"/>
            <w:vAlign w:val="bottom"/>
          </w:tcPr>
          <w:p>
            <w:pPr>
              <w:spacing w:after="0"/>
              <w:rPr>
                <w:sz w:val="1"/>
                <w:szCs w:val="1"/>
                <w:color w:val="auto"/>
              </w:rPr>
            </w:pPr>
          </w:p>
        </w:tc>
      </w:tr>
      <w:tr>
        <w:trPr>
          <w:trHeight w:val="173"/>
        </w:trPr>
        <w:tc>
          <w:tcPr>
            <w:tcW w:w="4420" w:type="dxa"/>
            <w:vAlign w:val="bottom"/>
            <w:gridSpan w:val="2"/>
            <w:vMerge w:val="continue"/>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Nonforfeitable</w:t>
            </w:r>
          </w:p>
        </w:tc>
        <w:tc>
          <w:tcPr>
            <w:tcW w:w="0" w:type="dxa"/>
            <w:vAlign w:val="bottom"/>
          </w:tcPr>
          <w:p>
            <w:pPr>
              <w:spacing w:after="0"/>
              <w:rPr>
                <w:sz w:val="1"/>
                <w:szCs w:val="1"/>
                <w:color w:val="auto"/>
              </w:rPr>
            </w:pPr>
          </w:p>
        </w:tc>
      </w:tr>
      <w:tr>
        <w:trPr>
          <w:trHeight w:val="255"/>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With the Employer</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w w:val="99"/>
              </w:rPr>
              <w:t>Accrued Benefit</w:t>
            </w:r>
          </w:p>
        </w:tc>
        <w:tc>
          <w:tcPr>
            <w:tcW w:w="0" w:type="dxa"/>
            <w:vAlign w:val="bottom"/>
          </w:tcPr>
          <w:p>
            <w:pPr>
              <w:spacing w:after="0"/>
              <w:rPr>
                <w:sz w:val="1"/>
                <w:szCs w:val="1"/>
                <w:color w:val="auto"/>
              </w:rPr>
            </w:pPr>
          </w:p>
        </w:tc>
      </w:tr>
      <w:tr>
        <w:trPr>
          <w:trHeight w:val="265"/>
        </w:trPr>
        <w:tc>
          <w:tcPr>
            <w:tcW w:w="4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4"/>
              </w:rPr>
              <w:t>Less than 2  .............................................</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None</w:t>
            </w:r>
          </w:p>
        </w:tc>
        <w:tc>
          <w:tcPr>
            <w:tcW w:w="0" w:type="dxa"/>
            <w:vAlign w:val="bottom"/>
          </w:tcPr>
          <w:p>
            <w:pPr>
              <w:spacing w:after="0"/>
              <w:rPr>
                <w:sz w:val="1"/>
                <w:szCs w:val="1"/>
                <w:color w:val="auto"/>
              </w:rPr>
            </w:pPr>
          </w:p>
        </w:tc>
      </w:tr>
      <w:tr>
        <w:trPr>
          <w:trHeight w:val="173"/>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w w:val="84"/>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3"/>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w w:val="84"/>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173"/>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w w:val="84"/>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c>
          <w:tcPr>
            <w:tcW w:w="0" w:type="dxa"/>
            <w:vAlign w:val="bottom"/>
          </w:tcPr>
          <w:p>
            <w:pPr>
              <w:spacing w:after="0"/>
              <w:rPr>
                <w:sz w:val="1"/>
                <w:szCs w:val="1"/>
                <w:color w:val="auto"/>
              </w:rPr>
            </w:pPr>
          </w:p>
        </w:tc>
      </w:tr>
      <w:tr>
        <w:trPr>
          <w:trHeight w:val="173"/>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38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vertAlign w:val="subscript"/>
              </w:rPr>
              <w:t>or</w:t>
            </w:r>
            <w:r>
              <w:rPr>
                <w:rFonts w:ascii="Courier New" w:cs="Courier New" w:eastAsia="Courier New" w:hAnsi="Courier New"/>
                <w:sz w:val="9"/>
                <w:szCs w:val="9"/>
                <w:color w:val="auto"/>
                <w:w w:val="70"/>
              </w:rPr>
              <w:t>..................................................</w:t>
            </w:r>
            <w:r>
              <w:rPr>
                <w:rFonts w:ascii="Courier New" w:cs="Courier New" w:eastAsia="Courier New" w:hAnsi="Courier New"/>
                <w:sz w:val="14"/>
                <w:szCs w:val="14"/>
                <w:color w:val="auto"/>
                <w:w w:val="70"/>
                <w:vertAlign w:val="subscript"/>
              </w:rPr>
              <w:t>more..........................................</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c>
          <w:tcPr>
            <w:tcW w:w="0" w:type="dxa"/>
            <w:vAlign w:val="bottom"/>
          </w:tcPr>
          <w:p>
            <w:pPr>
              <w:spacing w:after="0"/>
              <w:rPr>
                <w:sz w:val="1"/>
                <w:szCs w:val="1"/>
                <w:color w:val="auto"/>
              </w:rPr>
            </w:pPr>
          </w:p>
        </w:tc>
      </w:tr>
      <w:tr>
        <w:trPr>
          <w:trHeight w:val="270"/>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3840" w:type="dxa"/>
            <w:vAlign w:val="bottom"/>
            <w:vMerge w:val="continue"/>
          </w:tcPr>
          <w:p>
            <w:pPr>
              <w:spacing w:after="0"/>
              <w:rPr>
                <w:sz w:val="23"/>
                <w:szCs w:val="23"/>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8" w:right="3019" w:hanging="8"/>
        <w:spacing w:after="0" w:line="262" w:lineRule="auto"/>
        <w:tabs>
          <w:tab w:leader="none" w:pos="36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VESTING SCHEDULE. If the Trustee makes a distribution (other than a cash-out distribution described in Section 5.04) to a partially-vested Participant, and the Participant has not incurred a Forfeiture Break in Service at the relevant time, the Administrative Committee will establish a separate Account for the Participant's Accrued Benefit. At any relevant time following the distribution, the Administrative Committee will determine the Participant's Nonforfeitable Accrued Benefit derived from Employer contributions in accordance with the following formula: P(AB + (R x D)) - (R x D)</w:t>
      </w:r>
    </w:p>
    <w:p>
      <w:pPr>
        <w:spacing w:after="0" w:line="76" w:lineRule="exact"/>
        <w:rPr>
          <w:sz w:val="20"/>
          <w:szCs w:val="20"/>
          <w:color w:val="auto"/>
        </w:rPr>
      </w:pPr>
    </w:p>
    <w:p>
      <w:pPr>
        <w:ind w:left="8" w:right="3019" w:firstLine="451"/>
        <w:spacing w:after="0" w:line="259" w:lineRule="auto"/>
        <w:rPr>
          <w:sz w:val="20"/>
          <w:szCs w:val="20"/>
          <w:color w:val="auto"/>
        </w:rPr>
      </w:pPr>
      <w:r>
        <w:rPr>
          <w:rFonts w:ascii="Courier New" w:cs="Courier New" w:eastAsia="Courier New" w:hAnsi="Courier New"/>
          <w:sz w:val="15"/>
          <w:szCs w:val="15"/>
          <w:color w:val="auto"/>
        </w:rPr>
        <w:t>To apply this formula, "P" is the Participant's current vesting percentage at the relevant time, "AB" is the Participant's Employer-derived Accrued Benefit at the relevant time, "R" is the ratio of "AB" to the Participant's Employer-derived Accrued Benefit immediately following the earlier distribution and "D" is the amount of the earlier distribution. If, under a restated Plan, the Plan has made distribution to a partially-vested Participant prior to its restated Effective Date and is unable to apply the cash-out provisions of Section 5.04 to that prior distribution, this special vesting formula also applies to that Participant's remaining Account.</w:t>
      </w:r>
    </w:p>
    <w:p>
      <w:pPr>
        <w:spacing w:after="0" w:line="83" w:lineRule="exact"/>
        <w:rPr>
          <w:sz w:val="20"/>
          <w:szCs w:val="20"/>
          <w:color w:val="auto"/>
        </w:rPr>
      </w:pPr>
    </w:p>
    <w:p>
      <w:pPr>
        <w:ind w:left="8" w:right="3019" w:firstLine="451"/>
        <w:spacing w:after="0" w:line="258" w:lineRule="auto"/>
        <w:rPr>
          <w:sz w:val="20"/>
          <w:szCs w:val="20"/>
          <w:color w:val="auto"/>
        </w:rPr>
      </w:pPr>
      <w:r>
        <w:rPr>
          <w:rFonts w:ascii="Courier New" w:cs="Courier New" w:eastAsia="Courier New" w:hAnsi="Courier New"/>
          <w:sz w:val="15"/>
          <w:szCs w:val="15"/>
          <w:color w:val="auto"/>
        </w:rPr>
        <w:t>5.04 CASH-OUT DISTRIBUTIONS TO PARTIALLY-VESTED PARTICIPANTS RESTORATION OF FORFEITED ACCRUED BENEFIT. If, pursuant to Article VI, a partially-vested Participant receives a cash-out distribution before he incurs a Forfeiture Break in Service (as defined in Section 5.08), the cash-out distribution will result in an immediate forfeiture of the nonvested portion of the Participant's Accrued Benefit derived from Employer contributions. See Section 5.09. A partially-vested Participant is a Participant whose Nonforfeitable Percentage determined under Section 5.03 is less than 100%. A cash-out distribution is a distribution of the entire present value of the Participant's Nonforfeitable Accrued Benefit.</w:t>
      </w:r>
    </w:p>
    <w:p>
      <w:pPr>
        <w:spacing w:after="0" w:line="81" w:lineRule="exact"/>
        <w:rPr>
          <w:sz w:val="20"/>
          <w:szCs w:val="20"/>
          <w:color w:val="auto"/>
        </w:rPr>
      </w:pPr>
    </w:p>
    <w:p>
      <w:pPr>
        <w:ind w:left="8" w:right="3019" w:hanging="8"/>
        <w:spacing w:after="0" w:line="252" w:lineRule="auto"/>
        <w:tabs>
          <w:tab w:leader="none" w:pos="36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RESTORATION AND CONDITIONS UPON RESTORATION. A partially-vested Participant who is re-employed by the Employer after receiving a cash-out distribution of the Nonforfeitable percentage of his Accrued Benefit may repay the Trustee the amount of the cash-out distribution attributable to Employer contributions, unless the Participant no longer has a right to restoration by reason of the conditions of this Section 5.04(A). If a partially-vested Participant makes the cash-out distribution repayment, the Administrative Committee, subject to the conditions of this Section 5.04(A), must restore his Accrued Benefit attributable to Employer contributions to the same dollar amount as the dollar amount of his Accrued Benefit on the Accounting Date, or other valuation date, immediately preceding the date of the cash-out distribution, unadjusted for any gains or losses occurring subsequent to that Accounting Date, or other valuation date. Restoration of the Participant's Accrued Benefit includes restoration of all Code ss.4.11(d)(6) protected benefits with respect to that restored Accrued Benefit, in accordance with applicable Treasury regulations. The Administrative Committee will not restore a re-employed Participant's Accrued Benefit under this paragraph if:</w:t>
      </w:r>
    </w:p>
    <w:p>
      <w:pPr>
        <w:spacing w:after="0" w:line="87" w:lineRule="exact"/>
        <w:rPr>
          <w:rFonts w:ascii="Courier New" w:cs="Courier New" w:eastAsia="Courier New" w:hAnsi="Courier New"/>
          <w:sz w:val="15"/>
          <w:szCs w:val="15"/>
          <w:color w:val="auto"/>
        </w:rPr>
      </w:pPr>
    </w:p>
    <w:p>
      <w:pPr>
        <w:ind w:left="448" w:right="3379" w:firstLine="3"/>
        <w:spacing w:after="0" w:line="365" w:lineRule="auto"/>
        <w:tabs>
          <w:tab w:leader="none" w:pos="808"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Five years have elapsed since the Participant's first re-employment date with the Employer following the cash-out distribution; or</w:t>
      </w:r>
    </w:p>
    <w:p>
      <w:pPr>
        <w:spacing w:after="0" w:line="3" w:lineRule="exact"/>
        <w:rPr>
          <w:rFonts w:ascii="Courier New" w:cs="Courier New" w:eastAsia="Courier New" w:hAnsi="Courier New"/>
          <w:sz w:val="15"/>
          <w:szCs w:val="15"/>
          <w:color w:val="auto"/>
        </w:rPr>
      </w:pPr>
    </w:p>
    <w:p>
      <w:pPr>
        <w:ind w:left="448" w:right="3199" w:firstLine="3"/>
        <w:spacing w:after="0" w:line="268" w:lineRule="auto"/>
        <w:tabs>
          <w:tab w:leader="none" w:pos="808"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incurred a Forfeiture Break in Service (as defined in Section 5.08). This condition also applies if the Participant makes repayment within the Plan Year in which he incurs the Forfeiture Break in Service and that Forfeiture Break in Service would result in a complete forfeiture of the amount the Administrative Committee other vise would restore.</w:t>
      </w:r>
    </w:p>
    <w:p>
      <w:pPr>
        <w:spacing w:after="0" w:line="75" w:lineRule="exact"/>
        <w:rPr>
          <w:rFonts w:ascii="Courier New" w:cs="Courier New" w:eastAsia="Courier New" w:hAnsi="Courier New"/>
          <w:sz w:val="15"/>
          <w:szCs w:val="15"/>
          <w:color w:val="auto"/>
        </w:rPr>
      </w:pPr>
    </w:p>
    <w:p>
      <w:pPr>
        <w:ind w:left="8" w:right="3099" w:hanging="8"/>
        <w:spacing w:after="0" w:line="274" w:lineRule="auto"/>
        <w:tabs>
          <w:tab w:leader="none" w:pos="36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AND METHOD OF RESTORATION. If neither of the two conditions preventing restoration of the Participant's Accrued Benefit applies, the Administrative Committee will restore the Participant's Accrued Benefit as of the Plan Year Accounting Date coincident with or immediately following the repayment. To restore the Participant's Accrued Benefit, the Administrative Committee, to the</w:t>
      </w:r>
    </w:p>
    <w:p>
      <w:pPr>
        <w:sectPr>
          <w:pgSz w:w="11900" w:h="16888" w:orient="portrait"/>
          <w:cols w:equalWidth="0" w:num="1">
            <w:col w:w="10227"/>
          </w:cols>
          <w:pgMar w:left="232" w:top="460" w:right="1440" w:bottom="0" w:gutter="0" w:footer="0" w:header="0"/>
        </w:sectPr>
      </w:pPr>
    </w:p>
    <w:bookmarkStart w:id="33" w:name="page34"/>
    <w:bookmarkEnd w:id="33"/>
    <w:p>
      <w:pPr>
        <w:spacing w:after="0" w:line="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extent necessary, will allocate to the Participant's Account:</w:t>
      </w:r>
    </w:p>
    <w:p>
      <w:pPr>
        <w:spacing w:after="0" w:line="177" w:lineRule="exact"/>
        <w:rPr>
          <w:sz w:val="20"/>
          <w:szCs w:val="20"/>
          <w:color w:val="auto"/>
        </w:rPr>
      </w:pPr>
    </w:p>
    <w:p>
      <w:pPr>
        <w:ind w:left="448" w:right="3559" w:firstLine="3"/>
        <w:spacing w:after="0" w:line="365" w:lineRule="auto"/>
        <w:tabs>
          <w:tab w:leader="none" w:pos="80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the amount, if any, of Participant forfeitures the Administrative Committee would otherwise allocate under Section 3.05;</w:t>
      </w:r>
    </w:p>
    <w:p>
      <w:pPr>
        <w:spacing w:after="0" w:line="3" w:lineRule="exact"/>
        <w:rPr>
          <w:rFonts w:ascii="Courier New" w:cs="Courier New" w:eastAsia="Courier New" w:hAnsi="Courier New"/>
          <w:sz w:val="15"/>
          <w:szCs w:val="15"/>
          <w:color w:val="auto"/>
        </w:rPr>
      </w:pPr>
    </w:p>
    <w:p>
      <w:pPr>
        <w:ind w:left="448" w:right="3279" w:firstLine="3"/>
        <w:spacing w:after="0" w:line="365" w:lineRule="auto"/>
        <w:tabs>
          <w:tab w:leader="none" w:pos="80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the amount, if any, of the Trust Fund net income or gain for the Plan Year; and</w:t>
      </w:r>
    </w:p>
    <w:p>
      <w:pPr>
        <w:spacing w:after="0" w:line="3" w:lineRule="exact"/>
        <w:rPr>
          <w:rFonts w:ascii="Courier New" w:cs="Courier New" w:eastAsia="Courier New" w:hAnsi="Courier New"/>
          <w:sz w:val="15"/>
          <w:szCs w:val="15"/>
          <w:color w:val="auto"/>
        </w:rPr>
      </w:pPr>
    </w:p>
    <w:p>
      <w:pPr>
        <w:ind w:left="448" w:right="3199" w:firstLine="3"/>
        <w:spacing w:after="0" w:line="365" w:lineRule="auto"/>
        <w:tabs>
          <w:tab w:leader="none" w:pos="80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the Employer contribution for the Plan Year to the extent made under a discretionary formula.</w:t>
      </w:r>
    </w:p>
    <w:p>
      <w:pPr>
        <w:spacing w:after="0" w:line="3" w:lineRule="exact"/>
        <w:rPr>
          <w:sz w:val="20"/>
          <w:szCs w:val="20"/>
          <w:color w:val="auto"/>
        </w:rPr>
      </w:pPr>
    </w:p>
    <w:p>
      <w:pPr>
        <w:ind w:left="8" w:right="3019" w:firstLine="451"/>
        <w:spacing w:after="0" w:line="254" w:lineRule="auto"/>
        <w:rPr>
          <w:sz w:val="20"/>
          <w:szCs w:val="20"/>
          <w:color w:val="auto"/>
        </w:rPr>
      </w:pPr>
      <w:r>
        <w:rPr>
          <w:rFonts w:ascii="Courier New" w:cs="Courier New" w:eastAsia="Courier New" w:hAnsi="Courier New"/>
          <w:sz w:val="15"/>
          <w:szCs w:val="15"/>
          <w:color w:val="auto"/>
        </w:rPr>
        <w:t>To the extent the amounts described in Clauses (1), (2), and (3) are insufficient to enable the Administrative Committee to make the required restoration, the Employer must contribute, without regard to any requirement or condition of Section 3.01, the additional amount necessary to enable the Administrative Committee to make the required restoration. If, for a particular Plan Year, the Administrative Committee must restore the Accrued Benefit of more than one re-employed Participant, then the Administrative Committee will make the restoration allocation(s) to each such Participant's Account in the same proportion that a Participant's restored amount for the Plan Year bears to the restored amount for the Plan Year of all re-employed Participants. The Administrative Committee will not take into account the allocation under this Section 5.04 in applying the limitation on allocations under Part 2 of Article III.</w:t>
      </w:r>
    </w:p>
    <w:p>
      <w:pPr>
        <w:spacing w:after="0" w:line="90" w:lineRule="exact"/>
        <w:rPr>
          <w:sz w:val="20"/>
          <w:szCs w:val="20"/>
          <w:color w:val="auto"/>
        </w:rPr>
      </w:pPr>
    </w:p>
    <w:p>
      <w:pPr>
        <w:ind w:left="8" w:right="3019" w:hanging="8"/>
        <w:spacing w:after="0" w:line="252" w:lineRule="auto"/>
        <w:tabs>
          <w:tab w:leader="none" w:pos="36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0% VESTED PARTICIPANT. The deemed cash-out rule applies to a 0% vested Participant. A 0% vested Participant is a Participant whose Accrued Benefit derived from Employer contributions is entirely forfeitable at the time of his Separation from Service. If the Participant's Account is not entitled to an allocation of Employer contributions or Participant forfeitures for the Plan Year in which he has a Separation from Service, the Advisory Committee will apply the deemed cash-out rule as if the 0% vested Participant received a cash-out distribution on the date of the Participant's Separation from Service. If the Participant's Account is entitled to an allocation of Employer contributions or Participant forfeitures for the Plan Year in which he has a Separation from Service, the Advisory Committee will apply the deemed cash-out rule as if the 0% vested Participant received a cash-out distribution on the first day of the first Plan Year beginning after his Separation from Service. For Purposes of applying the restoration provisions of this Section 5.04, the Advisory Committee will treat the 0% vested Participant as repaying his cash-out "distribution" on the first date of his re-employment with the Employer.</w:t>
      </w:r>
    </w:p>
    <w:p>
      <w:pPr>
        <w:spacing w:after="0" w:line="93" w:lineRule="exact"/>
        <w:rPr>
          <w:sz w:val="20"/>
          <w:szCs w:val="20"/>
          <w:color w:val="auto"/>
        </w:rPr>
      </w:pPr>
    </w:p>
    <w:p>
      <w:pPr>
        <w:ind w:left="8" w:right="3099" w:firstLine="451"/>
        <w:spacing w:after="0" w:line="252" w:lineRule="auto"/>
        <w:rPr>
          <w:sz w:val="20"/>
          <w:szCs w:val="20"/>
          <w:color w:val="auto"/>
        </w:rPr>
      </w:pPr>
      <w:r>
        <w:rPr>
          <w:rFonts w:ascii="Courier New" w:cs="Courier New" w:eastAsia="Courier New" w:hAnsi="Courier New"/>
          <w:sz w:val="15"/>
          <w:szCs w:val="15"/>
          <w:color w:val="auto"/>
        </w:rPr>
        <w:t>5.05 SEGREGATED ACCOUNT FOR REPAID AMOUNT. The Trustee shall invest the cash-out amount the Participant has repaid in a segregated Account maintained solely for that Participant. The Trustee must invest the amount in the Participant's segregated Account in Federally insured interest bearing savings account(s) or time deposit(s) (or a combination of both), or in other fixed income investments. Until commingled with the balance of the Trust Fund on the date the Administrative Committee directs, the Participant's segregated Account remains a part of the Trust, but it alone shares in any income it earns and it alone bears any expense or loss it incurs. The Administrative Committee will direct the Trustee to repay to the Participant as soon as is administratively practicable the full amount of the Participant's segregated Account if the Administrative Committee determines either of the conditions of Section 5.04(A) prevents restoration as of the applicable Accounting Date, notwithstanding the Participant's repayment. The Administrative Committee shall direct the Trustee to commingle the Participant's segregated account with the balance of the Trust Fund as of the second Accounting Date immediately following the date of the Participant's repayment.</w:t>
      </w:r>
    </w:p>
    <w:p>
      <w:pPr>
        <w:spacing w:after="0" w:line="88" w:lineRule="exact"/>
        <w:rPr>
          <w:sz w:val="20"/>
          <w:szCs w:val="20"/>
          <w:color w:val="auto"/>
        </w:rPr>
      </w:pPr>
    </w:p>
    <w:p>
      <w:pPr>
        <w:jc w:val="both"/>
        <w:ind w:left="8" w:right="3019" w:firstLine="451"/>
        <w:spacing w:after="0" w:line="305" w:lineRule="auto"/>
        <w:rPr>
          <w:sz w:val="20"/>
          <w:szCs w:val="20"/>
          <w:color w:val="auto"/>
        </w:rPr>
      </w:pPr>
      <w:r>
        <w:rPr>
          <w:rFonts w:ascii="Courier New" w:cs="Courier New" w:eastAsia="Courier New" w:hAnsi="Courier New"/>
          <w:sz w:val="15"/>
          <w:szCs w:val="15"/>
          <w:color w:val="auto"/>
        </w:rPr>
        <w:t>5.06 YEAR OF SERVICE - VESTING. For purposes of vesting under Section 5.03, Year of Service means any Plan Year during which an Employee completes not less than 1,000 Hours of Service with the Employer.</w:t>
      </w:r>
    </w:p>
    <w:p>
      <w:pPr>
        <w:spacing w:after="0" w:line="46" w:lineRule="exact"/>
        <w:rPr>
          <w:sz w:val="20"/>
          <w:szCs w:val="20"/>
          <w:color w:val="auto"/>
        </w:rPr>
      </w:pPr>
    </w:p>
    <w:p>
      <w:pPr>
        <w:ind w:left="8" w:right="3459" w:firstLine="451"/>
        <w:spacing w:after="0" w:line="305" w:lineRule="auto"/>
        <w:rPr>
          <w:sz w:val="20"/>
          <w:szCs w:val="20"/>
          <w:color w:val="auto"/>
        </w:rPr>
      </w:pPr>
      <w:r>
        <w:rPr>
          <w:rFonts w:ascii="Courier New" w:cs="Courier New" w:eastAsia="Courier New" w:hAnsi="Courier New"/>
          <w:sz w:val="15"/>
          <w:szCs w:val="15"/>
          <w:color w:val="auto"/>
        </w:rPr>
        <w:t>5.07 BREAK IN SERVICE - VESTING. For purposes of this Article V, a Participant incurs a "Break in Service" if during any Plan Year he does not complete more than 500 Hours of Service with the Employer.</w:t>
      </w:r>
    </w:p>
    <w:p>
      <w:pPr>
        <w:spacing w:after="0" w:line="4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5.08 INCLUDED YEARS OF SERVICE - VESTING.</w:t>
      </w:r>
    </w:p>
    <w:p>
      <w:pPr>
        <w:spacing w:after="0" w:line="177" w:lineRule="exact"/>
        <w:rPr>
          <w:sz w:val="20"/>
          <w:szCs w:val="20"/>
          <w:color w:val="auto"/>
        </w:rPr>
      </w:pPr>
    </w:p>
    <w:p>
      <w:pPr>
        <w:ind w:left="8" w:right="3019" w:hanging="8"/>
        <w:spacing w:after="0" w:line="305" w:lineRule="auto"/>
        <w:tabs>
          <w:tab w:leader="none" w:pos="36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YEARS OF SERVICE. For purposes of determining "Years of Service" under Section 5.06, the Plan takes into account all Years of Service an Employee completes with the Employer.</w:t>
      </w:r>
    </w:p>
    <w:p>
      <w:pPr>
        <w:spacing w:after="0" w:line="45" w:lineRule="exact"/>
        <w:rPr>
          <w:rFonts w:ascii="Courier New" w:cs="Courier New" w:eastAsia="Courier New" w:hAnsi="Courier New"/>
          <w:sz w:val="15"/>
          <w:szCs w:val="15"/>
          <w:color w:val="auto"/>
        </w:rPr>
      </w:pPr>
    </w:p>
    <w:p>
      <w:pPr>
        <w:ind w:left="8" w:right="3019" w:hanging="8"/>
        <w:spacing w:after="0" w:line="268" w:lineRule="auto"/>
        <w:tabs>
          <w:tab w:leader="none" w:pos="36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FORFEITURE BREAK IN SERVICE. For the sole purpose of determining a Participant's Nonforfeitable percentage of his Accrued Benefit derived from Employer contributions which accrued for his benefit prior to a Forfeiture Break in Service, the Plan disregards any Year of Service after the Participant first incurs a Forfeiture Break in Service. The Participant incurs a Forfeiture Break in Service when he incurs five consecutive Breaks in Service.</w:t>
      </w:r>
    </w:p>
    <w:p>
      <w:pPr>
        <w:spacing w:after="0" w:line="75" w:lineRule="exact"/>
        <w:rPr>
          <w:sz w:val="20"/>
          <w:szCs w:val="20"/>
          <w:color w:val="auto"/>
        </w:rPr>
      </w:pPr>
    </w:p>
    <w:p>
      <w:pPr>
        <w:jc w:val="both"/>
        <w:ind w:left="8" w:right="3019" w:firstLine="451"/>
        <w:spacing w:after="0" w:line="305" w:lineRule="auto"/>
        <w:rPr>
          <w:sz w:val="20"/>
          <w:szCs w:val="20"/>
          <w:color w:val="auto"/>
        </w:rPr>
      </w:pPr>
      <w:r>
        <w:rPr>
          <w:rFonts w:ascii="Courier New" w:cs="Courier New" w:eastAsia="Courier New" w:hAnsi="Courier New"/>
          <w:sz w:val="15"/>
          <w:szCs w:val="15"/>
          <w:color w:val="auto"/>
        </w:rPr>
        <w:t>5.09 FORFEITURE OCCURS. A Participant's forfeiture, if any, of his Accrued Benefit derived from Employer contributions occurs under the Plan on the earlier of:</w:t>
      </w:r>
    </w:p>
    <w:p>
      <w:pPr>
        <w:spacing w:after="0" w:line="46" w:lineRule="exact"/>
        <w:rPr>
          <w:sz w:val="20"/>
          <w:szCs w:val="20"/>
          <w:color w:val="auto"/>
        </w:rPr>
      </w:pPr>
    </w:p>
    <w:p>
      <w:pPr>
        <w:ind w:left="448" w:right="3199" w:firstLine="3"/>
        <w:spacing w:after="0" w:line="365" w:lineRule="auto"/>
        <w:tabs>
          <w:tab w:leader="none" w:pos="80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last day of the Plan Year in which the Participant first incurs a Forfeiture Break in Service; or</w:t>
      </w:r>
    </w:p>
    <w:p>
      <w:pPr>
        <w:spacing w:after="0" w:line="3" w:lineRule="exact"/>
        <w:rPr>
          <w:rFonts w:ascii="Courier New" w:cs="Courier New" w:eastAsia="Courier New" w:hAnsi="Courier New"/>
          <w:sz w:val="15"/>
          <w:szCs w:val="15"/>
          <w:color w:val="auto"/>
        </w:rPr>
      </w:pPr>
    </w:p>
    <w:p>
      <w:pPr>
        <w:ind w:left="808" w:hanging="357"/>
        <w:spacing w:after="0"/>
        <w:tabs>
          <w:tab w:leader="none" w:pos="80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 Participant receives a cash-out distribution.</w:t>
      </w:r>
    </w:p>
    <w:p>
      <w:pPr>
        <w:spacing w:after="0" w:line="177" w:lineRule="exact"/>
        <w:rPr>
          <w:sz w:val="20"/>
          <w:szCs w:val="20"/>
          <w:color w:val="auto"/>
        </w:rPr>
      </w:pPr>
    </w:p>
    <w:p>
      <w:pPr>
        <w:ind w:left="8" w:right="3019" w:firstLine="451"/>
        <w:spacing w:after="0" w:line="274" w:lineRule="auto"/>
        <w:rPr>
          <w:sz w:val="20"/>
          <w:szCs w:val="20"/>
          <w:color w:val="auto"/>
        </w:rPr>
      </w:pPr>
      <w:r>
        <w:rPr>
          <w:rFonts w:ascii="Courier New" w:cs="Courier New" w:eastAsia="Courier New" w:hAnsi="Courier New"/>
          <w:sz w:val="15"/>
          <w:szCs w:val="15"/>
          <w:color w:val="auto"/>
        </w:rPr>
        <w:t>The Administrative Committee determines the percentage of a Participant's Accrued Benefit forfeiture, if any, under this Section 5.09 solely by reference to the vesting schedule of Section 5.03. A Participant will not forfeit any portion of his Accrued Benefit for any other reason or cause except as expressly provided by this Section 5.09 or as provided under Section 9.14.</w:t>
      </w:r>
    </w:p>
    <w:p>
      <w:pPr>
        <w:sectPr>
          <w:pgSz w:w="11900" w:h="16888" w:orient="portrait"/>
          <w:cols w:equalWidth="0" w:num="1">
            <w:col w:w="10227"/>
          </w:cols>
          <w:pgMar w:left="232" w:top="113" w:right="1440" w:bottom="0" w:gutter="0" w:footer="0" w:header="0"/>
        </w:sectPr>
      </w:pPr>
    </w:p>
    <w:bookmarkStart w:id="34" w:name="page35"/>
    <w:bookmarkEnd w:id="34"/>
    <w:p>
      <w:pPr>
        <w:spacing w:after="0" w:line="64"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 * * * * * * * * * *</w:t>
      </w:r>
    </w:p>
    <w:p>
      <w:pPr>
        <w:spacing w:after="0" w:line="350"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ARTICLE VI</w:t>
      </w:r>
    </w:p>
    <w:p>
      <w:pPr>
        <w:spacing w:after="0" w:line="31"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TIME AND METHOD OF PAYMENT OF BENEFITS</w:t>
      </w:r>
    </w:p>
    <w:p>
      <w:pPr>
        <w:spacing w:after="0" w:line="149" w:lineRule="exact"/>
        <w:rPr>
          <w:sz w:val="20"/>
          <w:szCs w:val="20"/>
          <w:color w:val="auto"/>
        </w:rPr>
      </w:pPr>
    </w:p>
    <w:p>
      <w:pPr>
        <w:ind w:left="8" w:right="3019" w:firstLine="451"/>
        <w:spacing w:after="0" w:line="252" w:lineRule="auto"/>
        <w:rPr>
          <w:sz w:val="20"/>
          <w:szCs w:val="20"/>
          <w:color w:val="auto"/>
        </w:rPr>
      </w:pPr>
      <w:r>
        <w:rPr>
          <w:rFonts w:ascii="Courier New" w:cs="Courier New" w:eastAsia="Courier New" w:hAnsi="Courier New"/>
          <w:sz w:val="15"/>
          <w:szCs w:val="15"/>
          <w:color w:val="auto"/>
        </w:rPr>
        <w:t>6.01 TIME OF PAYMENT OF ACCRUED BENEFIT. Unless, pursuant to Section 6.03, the Participant or the Beneficiary elects in writing to a different time or method of payment, the Administrative Committee will direct the Trustee to commence distribution of a Participant's Nonforfeitable Accrued Benefit in accordance with this Section 6.01. A Participant must consent, in writing, to any distribution required under this Section 6.01 if the present value of the Participant's Nonforfeitable Accrued Benefit, at the time of the distribution to the Participant, exceeds $3,500 and the Participant has not attained Normal Retirement Age. A distribution date under this Article VI, unless otherwise specified within the Plan, is every day of the Plan Year or as soon as administratively practicable following a distribution date. For purposes of the consent requirements under this Article VI, if the present value of the Participant's Nonforfeitable Accrued Benefit, at the time of any distribution, exceeds $3,500, the Administrative Committee must treat that present value as exceeding $3,500 for purposes of all subsequent Plan distributions to the Participant.</w:t>
      </w:r>
    </w:p>
    <w:p>
      <w:pPr>
        <w:spacing w:after="0" w:line="93" w:lineRule="exact"/>
        <w:rPr>
          <w:sz w:val="20"/>
          <w:szCs w:val="20"/>
          <w:color w:val="auto"/>
        </w:rPr>
      </w:pPr>
    </w:p>
    <w:p>
      <w:pPr>
        <w:ind w:left="368" w:hanging="368"/>
        <w:spacing w:after="0"/>
        <w:tabs>
          <w:tab w:leader="none" w:pos="36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SEPARATION FROM SERVICE FOR A REASON OTHER THAN DEATH.</w:t>
      </w:r>
    </w:p>
    <w:p>
      <w:pPr>
        <w:spacing w:after="0" w:line="176" w:lineRule="exact"/>
        <w:rPr>
          <w:rFonts w:ascii="Courier New" w:cs="Courier New" w:eastAsia="Courier New" w:hAnsi="Courier New"/>
          <w:sz w:val="15"/>
          <w:szCs w:val="15"/>
          <w:color w:val="auto"/>
        </w:rPr>
      </w:pPr>
    </w:p>
    <w:p>
      <w:pPr>
        <w:ind w:left="8" w:right="3019" w:firstLine="443"/>
        <w:spacing w:after="0" w:line="256" w:lineRule="auto"/>
        <w:tabs>
          <w:tab w:leader="none" w:pos="819"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NONFORFEITABLE ACCRUED BENEFIT NOT EXCEEDING $3,500. If the Participant's Separation from Service is for any reason other than death, the Administrative Committee will direct the Trustee to distribute the Participant's Nonforfeitable Accrued Benefit in a lump sum, no later than the first administratively practicable distribution date following the Participant's Separation from Service, but in no event later than the 60th day following the close of the Plan Year in which the Participant attains Normal Retirement Age. If the Participant has attained Normal Retirement Age when he separates from Service, the distribution under this paragraph will occur no later than the 60th day following the close of the Plan Year in which the Participant's Separation from Service occurs.</w:t>
      </w:r>
    </w:p>
    <w:p>
      <w:pPr>
        <w:spacing w:after="0" w:line="86" w:lineRule="exact"/>
        <w:rPr>
          <w:rFonts w:ascii="Courier New" w:cs="Courier New" w:eastAsia="Courier New" w:hAnsi="Courier New"/>
          <w:sz w:val="15"/>
          <w:szCs w:val="15"/>
          <w:color w:val="auto"/>
        </w:rPr>
      </w:pPr>
    </w:p>
    <w:p>
      <w:pPr>
        <w:ind w:left="8" w:right="3019" w:firstLine="443"/>
        <w:spacing w:after="0" w:line="258" w:lineRule="auto"/>
        <w:tabs>
          <w:tab w:leader="none" w:pos="819"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NONFORFEITABLE ACCRUED BENEFIT EXCEEDS $3,500. If the Participant's Separation from Service is for any reason other than death, the Administrative Committee will direct the Trustee to distribute the Participant's Nonforfeitable Accrued Benefit in a form and at the time elected by the Participant, pursuant to Section 6.03. In the absence of an election by the Participant, the Administrative Committee will direct the Trustee to distribute the Participant's Nonforfeitable Accrued Benefit in a lump sum on the 60th day following the close of the Plan Year in which the later of the following events occurs: (a) the Participant attains Normal Retirement Age; or (b) the Participant separates from Service.</w:t>
      </w:r>
    </w:p>
    <w:p>
      <w:pPr>
        <w:spacing w:after="0" w:line="80" w:lineRule="exact"/>
        <w:rPr>
          <w:rFonts w:ascii="Courier New" w:cs="Courier New" w:eastAsia="Courier New" w:hAnsi="Courier New"/>
          <w:sz w:val="15"/>
          <w:szCs w:val="15"/>
          <w:color w:val="auto"/>
        </w:rPr>
      </w:pPr>
    </w:p>
    <w:p>
      <w:pPr>
        <w:ind w:left="8" w:right="3019" w:firstLine="443"/>
        <w:spacing w:after="0" w:line="264" w:lineRule="auto"/>
        <w:tabs>
          <w:tab w:leader="none" w:pos="819"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If the Participant's Separation from Service is because of disability, the Administrative Committee will direct the Trustee to pay the Participant's Nonforfeitable Accrued Benefit in lump sum, on the first administratively practicable distribution date beginning after the Participant's Separation from Service, subject to the notice and consent requirements of this Article VI and to the applicable mandatory commencement dates described in paragraph (1) or in paragraph (2).</w:t>
      </w:r>
    </w:p>
    <w:p>
      <w:pPr>
        <w:spacing w:after="0" w:line="78" w:lineRule="exact"/>
        <w:rPr>
          <w:rFonts w:ascii="Courier New" w:cs="Courier New" w:eastAsia="Courier New" w:hAnsi="Courier New"/>
          <w:sz w:val="15"/>
          <w:szCs w:val="15"/>
          <w:color w:val="auto"/>
        </w:rPr>
      </w:pPr>
    </w:p>
    <w:p>
      <w:pPr>
        <w:ind w:left="8" w:right="3019" w:hanging="8"/>
        <w:spacing w:after="0" w:line="251" w:lineRule="auto"/>
        <w:tabs>
          <w:tab w:leader="none" w:pos="36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BEGINNING DATE. If any distribution commencement date described under paragraph (A) of this Section 6.01, either by Plan provision or by Participant election (or nonelection), is later than the Participant's Required Beginning Date, the Administrative Committee instead must direct the Trustee to make distribution on the Participant's Required Beginning Date. A Participant's Required Beginning Date is the April 1 following the close of the calendar year in which the Participant attains age 70 1/2. However, if the Participant, prior to incurring a Separation from Service, attained age 70 1/2 by January 1, 1988, and, for the five Plan Year period ending in the calendar year in which he attained age 70 1/2 and for all subsequent years, the Participant was not a more than 5% owner, the Required Beginning Date is the April 1 following the close of the calendar year in which the Participant separates from Service or, if earlier, the April 1 following the close of the calendar year in which the Participant becomes a more than 5% owner. Furthermore, if a Participant who was not a more than 5% owner attained age 70 1/2 during 1988 and did not incur a Separation from Service prior to January 1, 1989, his Required Beginning Date was April 1, 1990. A mandatory distribution at the Participant's Required Beginning Date will be in lump sum unless the Participant, pursuant to the provisions of this Article VI, makes a valid election to receive an alternative form of payment.</w:t>
      </w:r>
    </w:p>
    <w:p>
      <w:pPr>
        <w:spacing w:after="0" w:line="86" w:lineRule="exact"/>
        <w:rPr>
          <w:rFonts w:ascii="Courier New" w:cs="Courier New" w:eastAsia="Courier New" w:hAnsi="Courier New"/>
          <w:sz w:val="15"/>
          <w:szCs w:val="15"/>
          <w:color w:val="auto"/>
        </w:rPr>
      </w:pPr>
    </w:p>
    <w:p>
      <w:pPr>
        <w:ind w:left="8" w:right="3559" w:hanging="8"/>
        <w:spacing w:after="0" w:line="285" w:lineRule="auto"/>
        <w:tabs>
          <w:tab w:leader="none" w:pos="36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THE PARTICIPANT. The Administrative Committee will direct the Trustee, in accordance with this Section 6.01(C), to distribute to the Participant's Beneficiary the Participant's Nonforfeitable Accrued Benefit remaining in the Trust at the time of the Participant's death.</w:t>
      </w:r>
    </w:p>
    <w:p>
      <w:pPr>
        <w:spacing w:after="0" w:line="59" w:lineRule="exact"/>
        <w:rPr>
          <w:rFonts w:ascii="Courier New" w:cs="Courier New" w:eastAsia="Courier New" w:hAnsi="Courier New"/>
          <w:sz w:val="15"/>
          <w:szCs w:val="15"/>
          <w:color w:val="auto"/>
        </w:rPr>
      </w:pPr>
    </w:p>
    <w:p>
      <w:pPr>
        <w:ind w:left="8" w:right="3099" w:firstLine="443"/>
        <w:spacing w:after="0" w:line="268" w:lineRule="auto"/>
        <w:tabs>
          <w:tab w:leader="none" w:pos="819"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DECEASED PARTICIPANT'S NONFORFEITABLE ACCRUED BENEFIT DOES NOT EXCEED $3,500. The Administrative Committee must direct the Trustee to distribute the deceased Participant's Nonforfeitable Accrued Benefit in a single sum, as soon as administratively practicable following the Participant's death or, if later, the date on which the Administrative Committee receives notification of or otherwise confirms the Participant's death.</w:t>
      </w:r>
    </w:p>
    <w:p>
      <w:pPr>
        <w:spacing w:after="0" w:line="75" w:lineRule="exact"/>
        <w:rPr>
          <w:rFonts w:ascii="Courier New" w:cs="Courier New" w:eastAsia="Courier New" w:hAnsi="Courier New"/>
          <w:sz w:val="15"/>
          <w:szCs w:val="15"/>
          <w:color w:val="auto"/>
        </w:rPr>
      </w:pPr>
    </w:p>
    <w:p>
      <w:pPr>
        <w:ind w:left="8" w:right="3019" w:firstLine="443"/>
        <w:spacing w:after="0" w:line="298" w:lineRule="auto"/>
        <w:tabs>
          <w:tab w:leader="none" w:pos="819"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DECEASED PARTICIPANT'S NONFORFEITABLE ACCRUED BENEFIT EXCEEDS $3,500. The Administrative Committee will direct the Trustee to distribute the deceased Participant's Nonforfeitable Accrued Benefit at the time and in the form elected by the Participant or, if applicable by the Beneficiary, as permitted under this Article VI. In the absence of an election the Administrative Committee will</w:t>
      </w:r>
    </w:p>
    <w:p>
      <w:pPr>
        <w:sectPr>
          <w:pgSz w:w="11900" w:h="16903" w:orient="portrait"/>
          <w:cols w:equalWidth="0" w:num="1">
            <w:col w:w="10227"/>
          </w:cols>
          <w:pgMar w:left="232" w:top="287" w:right="1440" w:bottom="0" w:gutter="0" w:footer="0" w:header="0"/>
        </w:sectPr>
      </w:pPr>
    </w:p>
    <w:bookmarkStart w:id="35" w:name="page36"/>
    <w:bookmarkEnd w:id="35"/>
    <w:p>
      <w:pPr>
        <w:ind w:left="8" w:right="3019"/>
        <w:spacing w:after="0" w:line="274" w:lineRule="auto"/>
        <w:rPr>
          <w:sz w:val="20"/>
          <w:szCs w:val="20"/>
          <w:color w:val="auto"/>
        </w:rPr>
      </w:pPr>
      <w:r>
        <w:rPr>
          <w:rFonts w:ascii="Courier New" w:cs="Courier New" w:eastAsia="Courier New" w:hAnsi="Courier New"/>
          <w:sz w:val="15"/>
          <w:szCs w:val="15"/>
          <w:color w:val="auto"/>
        </w:rPr>
        <w:t>direct the Trustee to distribute the Participant's undistributed Nonforfeitable Accrued Benefit in a lump sum on the first distribution date following the close of the Plan Year in which the Participant's death occurs or, if later, the first distribution date following the date the Administrative Committee receives notification of or otherwise confirms the Participant's death.</w:t>
      </w:r>
    </w:p>
    <w:p>
      <w:pPr>
        <w:spacing w:after="0" w:line="70" w:lineRule="exact"/>
        <w:rPr>
          <w:sz w:val="20"/>
          <w:szCs w:val="20"/>
          <w:color w:val="auto"/>
        </w:rPr>
      </w:pPr>
    </w:p>
    <w:p>
      <w:pPr>
        <w:ind w:left="8" w:right="3099" w:firstLine="451"/>
        <w:spacing w:after="0" w:line="285" w:lineRule="auto"/>
        <w:rPr>
          <w:sz w:val="20"/>
          <w:szCs w:val="20"/>
          <w:color w:val="auto"/>
        </w:rPr>
      </w:pPr>
      <w:r>
        <w:rPr>
          <w:rFonts w:ascii="Courier New" w:cs="Courier New" w:eastAsia="Courier New" w:hAnsi="Courier New"/>
          <w:sz w:val="15"/>
          <w:szCs w:val="15"/>
          <w:color w:val="auto"/>
        </w:rPr>
        <w:t>If the death benefit is payable in full to the Participant's surviving spouse, the surviving spouse, in addition to the distribution options provided in this Section 6.01(C), may elect distribution at any time or in any form this Article VI would permit for a Participant.</w:t>
      </w:r>
    </w:p>
    <w:p>
      <w:pPr>
        <w:spacing w:after="0" w:line="60" w:lineRule="exact"/>
        <w:rPr>
          <w:sz w:val="20"/>
          <w:szCs w:val="20"/>
          <w:color w:val="auto"/>
        </w:rPr>
      </w:pPr>
    </w:p>
    <w:p>
      <w:pPr>
        <w:ind w:left="8" w:right="3019" w:firstLine="451"/>
        <w:spacing w:after="0" w:line="365" w:lineRule="auto"/>
        <w:rPr>
          <w:sz w:val="20"/>
          <w:szCs w:val="20"/>
          <w:color w:val="auto"/>
        </w:rPr>
      </w:pPr>
      <w:r>
        <w:rPr>
          <w:rFonts w:ascii="Courier New" w:cs="Courier New" w:eastAsia="Courier New" w:hAnsi="Courier New"/>
          <w:sz w:val="15"/>
          <w:szCs w:val="15"/>
          <w:color w:val="auto"/>
        </w:rPr>
        <w:t>6.02 METHOD OF PAYMENT OF ACCRUED BENEFIT. A Participant or Beneficiary may elect distribution only by payment in a lump sum. See Section 10.08.</w:t>
      </w:r>
    </w:p>
    <w:p>
      <w:pPr>
        <w:spacing w:after="0" w:line="3" w:lineRule="exact"/>
        <w:rPr>
          <w:sz w:val="20"/>
          <w:szCs w:val="20"/>
          <w:color w:val="auto"/>
        </w:rPr>
      </w:pPr>
    </w:p>
    <w:p>
      <w:pPr>
        <w:ind w:left="8" w:right="3019" w:firstLine="443"/>
        <w:spacing w:after="0" w:line="249" w:lineRule="auto"/>
        <w:tabs>
          <w:tab w:leader="none" w:pos="81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MINIMUM DISTRIBUTION REQUIREMENTS FOR PARTICIPANTS. The Administrative Committee may not direct the Trustee to distribute the Participant's Nonforfeitable Accrued Benefit, nor may the Participant elect to have the Trustee distribute his Nonforfeitable Accrued Benefit, under a method of payment which, as of the Required Beginning Date, does not satisfy the minimum distribution requirements under Code ss.401(a)(9) and the applicable Treasury regulations. The minimum distribution for a calendar year equals the Participant's Nonforfeitable Accrued Benefit as of the latest valuation date preceding the beginning of the calendar year divided by the Participant's life expectancy or, if applicable, the joint and last survivor expectancy of the Participant and his designated Beneficiary (as determined under Article VIII, subject to the requirements of the Code ss.401(a)(9)regulations). TheAdministrative Committee will increase the Participant's Nonforfeitable Accrued Benefit, as determined on the relevant valuation date, for contributions or forfeitures allocated after the valuation date and by December 31 of the valuation calendar year, and will decrease the valuation by distributions made after the valuation date and by December 31 of the valuation calendar year. For purposes of this valuation, the Administrative Committee will treat any portion of the minimum distribution for the first distribution calendar year made after the close of that year as a distribution occurring in that first distribution calendar year. In computing a minimum distribution, the Administrative Committee must use the unisex life expectancy multiples under Treas. Reg. ss.1.72-9. The Administrative Committee, only upon the Participant's written request, will compute the minimum distribution for a calendar year subsequent to the first calendar year for which the Plan requires a minimum distribution by redetermining the applicable life expectancy. However, the Administrator Committee may not redetermine the joint life and last survivor expectancy of the Participant and a nonspouse designated Beneficiary in a manner which takes into account any adjustment to a life expectancy other than the Participant s life expectancy.</w:t>
      </w:r>
    </w:p>
    <w:p>
      <w:pPr>
        <w:spacing w:after="0" w:line="86" w:lineRule="exact"/>
        <w:rPr>
          <w:sz w:val="20"/>
          <w:szCs w:val="20"/>
          <w:color w:val="auto"/>
        </w:rPr>
      </w:pPr>
    </w:p>
    <w:p>
      <w:pPr>
        <w:ind w:left="8" w:right="3019" w:firstLine="451"/>
        <w:spacing w:after="0" w:line="269" w:lineRule="auto"/>
        <w:rPr>
          <w:sz w:val="20"/>
          <w:szCs w:val="20"/>
          <w:color w:val="auto"/>
        </w:rPr>
      </w:pPr>
      <w:r>
        <w:rPr>
          <w:rFonts w:ascii="Courier New" w:cs="Courier New" w:eastAsia="Courier New" w:hAnsi="Courier New"/>
          <w:sz w:val="14"/>
          <w:szCs w:val="14"/>
          <w:color w:val="auto"/>
        </w:rPr>
        <w:t>If the Participant's spouse is not his designated Beneficiary, a method of payment to the Participant (whether by Participant election or by Administrative Committee direction) may not provide more than incidental benefits to the Beneficiary. For Plan Years beginning after December 31, 1988, the Plan must satisfy the minimum distribution incidental benefit ("MDIB") requirement in the Treasury regulations issued under Code ss.401(a)(9) for distributions made on or after the Participant's Required Beginning Date and before the Participant's death. To satisfy the MDIB requirement, the Administrative Committee will compute the minimum distribution required by this Section 6.02(A) by substituting the applicable MDIB divisor for the applicable life expectancy factor, if the MDIB divisor is a lesser number. Following the Participant's death, the Administrative Committee will compute the minimum distribution required by this Section 6.02(A) solely on the basis of the applicable life expectancy factor and will disregard the MDIB factor. For Plan Years beginning prior to January 1, 1989, the Plan satisfies the incidental benefits requirement if the distributions to the Participant satisfied the MDIB requirement or if the present value of the retirement benefits payable solely to the Participant is greater than 50% of the present value of the total benefits payable to the Participant and his Beneficiaries. The Administrative Committee must determine whether benefits to the Beneficiary are incidental as of the date the Trustee is to commence payment of the retirement benefits to the Participant, or as of any date the Trustee redetermines the payment period to the Participant.</w:t>
      </w:r>
    </w:p>
    <w:p>
      <w:pPr>
        <w:spacing w:after="0" w:line="255"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5"/>
          <w:szCs w:val="15"/>
          <w:color w:val="auto"/>
        </w:rPr>
        <w:t>The minimum distribution for the first distribution calendar year is due by the Participant's Required Beginning Date. The minimum distribution for each subsequent distribution calendar year, including the calendar year in which the Participant's Required Beginning Date falls, is due by December 31 of that year. If the Participant receives distribution in the form of a Nontransferable Annuity Contract, the distribution satisfies this Section 6.02(A) if the contract complies with the requirements of Code ss.401(a)(9) and the applicable Treasury regulations.</w:t>
      </w:r>
    </w:p>
    <w:p>
      <w:pPr>
        <w:spacing w:after="0" w:line="76" w:lineRule="exact"/>
        <w:rPr>
          <w:sz w:val="20"/>
          <w:szCs w:val="20"/>
          <w:color w:val="auto"/>
        </w:rPr>
      </w:pPr>
    </w:p>
    <w:p>
      <w:pPr>
        <w:ind w:left="8" w:right="3019" w:hanging="8"/>
        <w:spacing w:after="0" w:line="271" w:lineRule="auto"/>
        <w:tabs>
          <w:tab w:leader="none" w:pos="368"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MINIMUM DISTRIBUTION REQUIREMENTS FOR BENEFICIARIES. The method of distribution to the Participant's Beneficiary must satisfy Code ss.401(a)(9) and the applicable Treasury regulations. If the Participant's death occurs after his Required Beginning Date, the method of payment to the Beneficiary must provide for completion of payment over a period which does not exceed the payment period which had commenced for the Participant. If the Participant's death occurs prior to his Required Beginning Date, the method of payment to the Beneficiary must provide for completion of payment to the Beneficiary over a period not exceeding: (i) Five years after the date of the Participant's death; or (ii) if the Beneficiary is a designated Beneficiary, the designated Beneficiary's life expectancy. The Administrative Committee may not direct payment of the Participant's Nonforfeitable Accrued Benefit over a period described in clause (ii) unless the Trustee will commence payment to the designated Beneficiary no later than the December 31 following the close of the calendar year in which the Participant's death occurred or, if later, and the designated Beneficiary is the Participant's surviving spouse, December 31 of the calendar year in which the Participant would have attained age 70 1/2. If the Trustee will make distribution in accordance with clause (ii), the minimum distribution for a</w:t>
      </w:r>
    </w:p>
    <w:p>
      <w:pPr>
        <w:sectPr>
          <w:pgSz w:w="11900" w:h="16838" w:orient="portrait"/>
          <w:cols w:equalWidth="0" w:num="1">
            <w:col w:w="10227"/>
          </w:cols>
          <w:pgMar w:left="232" w:top="113" w:right="1440" w:bottom="0" w:gutter="0" w:footer="0" w:header="0"/>
        </w:sectPr>
      </w:pPr>
    </w:p>
    <w:bookmarkStart w:id="36" w:name="page37"/>
    <w:bookmarkEnd w:id="36"/>
    <w:p>
      <w:pPr>
        <w:spacing w:after="0" w:line="75" w:lineRule="exact"/>
        <w:rPr>
          <w:sz w:val="20"/>
          <w:szCs w:val="20"/>
          <w:color w:val="auto"/>
        </w:rPr>
      </w:pPr>
    </w:p>
    <w:p>
      <w:pPr>
        <w:ind w:left="8" w:right="3019"/>
        <w:spacing w:after="0" w:line="254" w:lineRule="auto"/>
        <w:rPr>
          <w:sz w:val="20"/>
          <w:szCs w:val="20"/>
          <w:color w:val="auto"/>
        </w:rPr>
      </w:pPr>
      <w:r>
        <w:rPr>
          <w:rFonts w:ascii="Courier New" w:cs="Courier New" w:eastAsia="Courier New" w:hAnsi="Courier New"/>
          <w:sz w:val="15"/>
          <w:szCs w:val="15"/>
          <w:color w:val="auto"/>
        </w:rPr>
        <w:t>calendar year equals the Participant's Nonforfeitable Accrued Benefit as of the latest valuation date preceding the beginning of the calendar year divided by the designated Beneficiary's life expectancy. The Administrative Committee must use the unisex life expectancy multiples under Treas. Reg. ss.1.72-9 for purposes of applying this paragraph. The Administrative Committee will not recalculate the life expectancy of any Beneficiary, including the Participant's surviving spouse. The Administrative Committee will apply this paragraph by treating any amount paid to the Participant's child, which becomes payable to the Participant's surviving spouse upon the child's attaining the age of majority, as paid to the Participant's surviving spouse. Upon the Beneficiary's written request, the Administrative Committee must direct the Trustee to accelerate payment of all, or any portion, of the Participant's unpaid Accrued Benefit, as soon as administratively practicable following the effective date of that request.</w:t>
      </w:r>
    </w:p>
    <w:p>
      <w:pPr>
        <w:spacing w:after="0" w:line="83" w:lineRule="exact"/>
        <w:rPr>
          <w:sz w:val="20"/>
          <w:szCs w:val="20"/>
          <w:color w:val="auto"/>
        </w:rPr>
      </w:pPr>
    </w:p>
    <w:p>
      <w:pPr>
        <w:ind w:left="8" w:right="3019" w:firstLine="451"/>
        <w:spacing w:after="0" w:line="264" w:lineRule="auto"/>
        <w:rPr>
          <w:sz w:val="20"/>
          <w:szCs w:val="20"/>
          <w:color w:val="auto"/>
        </w:rPr>
      </w:pPr>
      <w:r>
        <w:rPr>
          <w:rFonts w:ascii="Courier New" w:cs="Courier New" w:eastAsia="Courier New" w:hAnsi="Courier New"/>
          <w:sz w:val="15"/>
          <w:szCs w:val="15"/>
          <w:color w:val="auto"/>
        </w:rPr>
        <w:t>6.03 BENEFIT PAYMENT ELECTIONS. Not earlier than 90 days, but not later than 30 days, before the Participant's distribution date, the Administrative Committee must provide a benefit notice to a Participant who is eligible to make an election under this Section 6.03. The benefit notice must explain the optional forms of benefit in the Plan. including the material features and relative values of those options, and the Participant's right to defer distribution until he attains Normal Retirement Age.</w:t>
      </w:r>
    </w:p>
    <w:p>
      <w:pPr>
        <w:spacing w:after="0" w:line="79" w:lineRule="exact"/>
        <w:rPr>
          <w:sz w:val="20"/>
          <w:szCs w:val="20"/>
          <w:color w:val="auto"/>
        </w:rPr>
      </w:pPr>
    </w:p>
    <w:p>
      <w:pPr>
        <w:ind w:left="8" w:right="3019" w:firstLine="451"/>
        <w:spacing w:after="0" w:line="283" w:lineRule="auto"/>
        <w:rPr>
          <w:sz w:val="20"/>
          <w:szCs w:val="20"/>
          <w:color w:val="auto"/>
        </w:rPr>
      </w:pPr>
      <w:r>
        <w:rPr>
          <w:rFonts w:ascii="Courier New" w:cs="Courier New" w:eastAsia="Courier New" w:hAnsi="Courier New"/>
          <w:sz w:val="14"/>
          <w:szCs w:val="14"/>
          <w:color w:val="auto"/>
        </w:rPr>
        <w:t>If a Participant or Beneficiary makes an election prescribed by this Section 6.03, the Administrative Committee will direct the Trustee to distribute the Participant's Nonforfeitable Accrued Benefit in accordance with that election. Any election under this Section 6.03 is subject to the requirements of Section 6.02. The Participant or Beneficiary must make an election under this Section 6.03 by filing his election form with the Administrative Committee at any time before the Trustee otherwise would commence to pay a Participant's Accrued Benefit in accordance with the requirements of Article VI.</w:t>
      </w:r>
    </w:p>
    <w:p>
      <w:pPr>
        <w:spacing w:after="0" w:line="64" w:lineRule="exact"/>
        <w:rPr>
          <w:sz w:val="20"/>
          <w:szCs w:val="20"/>
          <w:color w:val="auto"/>
        </w:rPr>
      </w:pPr>
    </w:p>
    <w:p>
      <w:pPr>
        <w:ind w:left="8" w:right="3019" w:hanging="8"/>
        <w:spacing w:after="0" w:line="259" w:lineRule="auto"/>
        <w:tabs>
          <w:tab w:leader="none" w:pos="36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ELECTIONS AFTER SEPARATION FROM SERVICE. If the present value of a Participant's Nonforfeitable Accrued Benefit exceeds $3,500, he may elect to have the Trustee commence distribution as of any distribution date, but not earlier than the first administratively practicable distribution date beginning after the Participant's Separation from Service. The Participant may reconsider an election at any time prior to the stated distribution date and elect to commence distribution as of any other distribution date, but not earlier than the first administratively practicable distribution date beginning after the Participant's Separation from Service.</w:t>
      </w:r>
    </w:p>
    <w:p>
      <w:pPr>
        <w:spacing w:after="0" w:line="83" w:lineRule="exact"/>
        <w:rPr>
          <w:rFonts w:ascii="Courier New" w:cs="Courier New" w:eastAsia="Courier New" w:hAnsi="Courier New"/>
          <w:sz w:val="15"/>
          <w:szCs w:val="15"/>
          <w:color w:val="auto"/>
        </w:rPr>
      </w:pPr>
    </w:p>
    <w:p>
      <w:pPr>
        <w:ind w:left="8" w:right="3459" w:hanging="8"/>
        <w:spacing w:after="0" w:line="285" w:lineRule="auto"/>
        <w:tabs>
          <w:tab w:leader="none" w:pos="36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ELECTIONS PRIOR TO SEPARATION FROM SERVICE. During his employment with the Employer, the Participant does not have any right to commence distribution of his Nonforfeitable Accrued Benefit for any reason, unless required by Section 6.01(B).</w:t>
      </w:r>
    </w:p>
    <w:p>
      <w:pPr>
        <w:spacing w:after="0" w:line="59" w:lineRule="exact"/>
        <w:rPr>
          <w:rFonts w:ascii="Courier New" w:cs="Courier New" w:eastAsia="Courier New" w:hAnsi="Courier New"/>
          <w:sz w:val="15"/>
          <w:szCs w:val="15"/>
          <w:color w:val="auto"/>
        </w:rPr>
      </w:pPr>
    </w:p>
    <w:p>
      <w:pPr>
        <w:ind w:left="8" w:right="3019" w:hanging="8"/>
        <w:spacing w:after="0" w:line="268" w:lineRule="auto"/>
        <w:tabs>
          <w:tab w:leader="none" w:pos="36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BENEFIT ELECTIONS. If the present value of the deceased Participant's Nonforfeitable Accrued Benefit exceeds $3,500, the Participant's Beneficiary may elect to have the Trustee distribute the Participant's Nonforfeitable Accrued Benefit in a form and within a period permitted under Section 6.02. The Beneficiary's election is subject to any restrictions designated in writing by the Participant and not revoked as of his date of death.</w:t>
      </w:r>
    </w:p>
    <w:p>
      <w:pPr>
        <w:spacing w:after="0" w:line="75" w:lineRule="exact"/>
        <w:rPr>
          <w:sz w:val="20"/>
          <w:szCs w:val="20"/>
          <w:color w:val="auto"/>
        </w:rPr>
      </w:pPr>
    </w:p>
    <w:p>
      <w:pPr>
        <w:ind w:left="8" w:right="3199" w:firstLine="451"/>
        <w:spacing w:after="0" w:line="298" w:lineRule="auto"/>
        <w:rPr>
          <w:sz w:val="20"/>
          <w:szCs w:val="20"/>
          <w:color w:val="auto"/>
        </w:rPr>
      </w:pPr>
      <w:r>
        <w:rPr>
          <w:rFonts w:ascii="Courier New" w:cs="Courier New" w:eastAsia="Courier New" w:hAnsi="Courier New"/>
          <w:sz w:val="14"/>
          <w:szCs w:val="14"/>
          <w:color w:val="auto"/>
        </w:rPr>
        <w:t>6.04 ANNUALLY DISTRIBUTIONS TO PARTICIPANTS AND SURVIVING SPOUSES. The joint and survivor annuity requirements of the Code do not apply to this Plan. The Plan does not provide any life annuity distributions to Participants. A transfer agreement described in Section 13.05 may not permit a plan which is subject to the provisions of Code ss.417 to transfer assets to this Plan.</w:t>
      </w:r>
    </w:p>
    <w:p>
      <w:pPr>
        <w:spacing w:after="0" w:line="56" w:lineRule="exact"/>
        <w:rPr>
          <w:sz w:val="20"/>
          <w:szCs w:val="20"/>
          <w:color w:val="auto"/>
        </w:rPr>
      </w:pPr>
    </w:p>
    <w:p>
      <w:pPr>
        <w:ind w:left="8" w:right="3019" w:firstLine="451"/>
        <w:spacing w:after="0" w:line="252" w:lineRule="auto"/>
        <w:rPr>
          <w:sz w:val="20"/>
          <w:szCs w:val="20"/>
          <w:color w:val="auto"/>
        </w:rPr>
      </w:pPr>
      <w:r>
        <w:rPr>
          <w:rFonts w:ascii="Courier New" w:cs="Courier New" w:eastAsia="Courier New" w:hAnsi="Courier New"/>
          <w:sz w:val="15"/>
          <w:szCs w:val="15"/>
          <w:color w:val="auto"/>
        </w:rPr>
        <w:t>6.05 DISTRIBUTIONS UNDER DOMESTIC RELATIONS ORDERS. Nothing contained in this Plan prevents the Trustee, in accordance with the direction of the Administrative Committee, from complying with the provisions of a qualified domestic relations order (as defined in Code ss.414(p)). This Plan specifically permits distribution to an alternate payee under a qualified domestic relations order at any time, irrespective of whether the Participant has attained his earliest retirement age (as defined under Code ss.414(p)) under the Plan. A distribution to an alternate payee prior to the Participant's attainment of earliest retirement age is available only if: (1) the order specifies distribution at that time or permits an agreement between the Plan and the alternate payee to authorize an earlier distribution; and (2) if the present value of the alternate payee's benefits under the Plan exceeds $3,500, and the order requires, the alternate payee consents to any distribution occurring prior to the Participant's attainment of earliest retirement age. Nothing in this Section 6.05 gives a Participant a right to receive distribution at a time otherwise not permitted under the Plan nor does it permit the alternate payee to receive a form of payment not otherwise permitted under the Plan.</w:t>
      </w:r>
    </w:p>
    <w:p>
      <w:pPr>
        <w:spacing w:after="0" w:line="88" w:lineRule="exact"/>
        <w:rPr>
          <w:sz w:val="20"/>
          <w:szCs w:val="20"/>
          <w:color w:val="auto"/>
        </w:rPr>
      </w:pPr>
    </w:p>
    <w:p>
      <w:pPr>
        <w:ind w:left="8" w:right="3019" w:firstLine="451"/>
        <w:spacing w:after="0" w:line="255" w:lineRule="auto"/>
        <w:rPr>
          <w:sz w:val="20"/>
          <w:szCs w:val="20"/>
          <w:color w:val="auto"/>
        </w:rPr>
      </w:pPr>
      <w:r>
        <w:rPr>
          <w:rFonts w:ascii="Courier New" w:cs="Courier New" w:eastAsia="Courier New" w:hAnsi="Courier New"/>
          <w:sz w:val="15"/>
          <w:szCs w:val="15"/>
          <w:color w:val="auto"/>
        </w:rPr>
        <w:t>The Administrative Committee must establish reasonable procedures to determine the qualified status of a domestic relations order. Upon receiving a domestic relations order, the Administrative Committee promptly will notify the Participant and any alternate payee named in the order, in writing, of the receipt of the order and the Plan's procedures for determining the qualified status of the order. Within a reasonable period of time after receiving the domestic relations order, the Administrative Committee must determine the qualified status of the order and must notify the Participant and each alternate payee, in writing, of its determination. The Administrative Committee must provide notice under this paragraph by mailing to the individual's address specified in the domestic relations order, or in a manner consistent with Department of Labor regulations.</w:t>
      </w:r>
    </w:p>
    <w:p>
      <w:pPr>
        <w:spacing w:after="0" w:line="87" w:lineRule="exact"/>
        <w:rPr>
          <w:sz w:val="20"/>
          <w:szCs w:val="20"/>
          <w:color w:val="auto"/>
        </w:rPr>
      </w:pPr>
    </w:p>
    <w:p>
      <w:pPr>
        <w:ind w:left="8" w:right="3019" w:firstLine="451"/>
        <w:spacing w:after="0" w:line="311" w:lineRule="auto"/>
        <w:rPr>
          <w:sz w:val="20"/>
          <w:szCs w:val="20"/>
          <w:color w:val="auto"/>
        </w:rPr>
      </w:pPr>
      <w:r>
        <w:rPr>
          <w:rFonts w:ascii="Courier New" w:cs="Courier New" w:eastAsia="Courier New" w:hAnsi="Courier New"/>
          <w:sz w:val="14"/>
          <w:szCs w:val="14"/>
          <w:color w:val="auto"/>
        </w:rPr>
        <w:t>If any portion of the Participant's Nonforfeitable Accrued Benefit is payable during the period the Administrative Committee is making its determination of the qualified status of the domestic relations order, the Administrative Committee must make a separate accounting of the amounts payable.</w:t>
      </w:r>
    </w:p>
    <w:p>
      <w:pPr>
        <w:sectPr>
          <w:pgSz w:w="11900" w:h="16914" w:orient="portrait"/>
          <w:cols w:equalWidth="0" w:num="1">
            <w:col w:w="10227"/>
          </w:cols>
          <w:pgMar w:left="232" w:top="113" w:right="1440" w:bottom="0" w:gutter="0" w:footer="0" w:header="0"/>
        </w:sectPr>
      </w:pPr>
    </w:p>
    <w:bookmarkStart w:id="37" w:name="page38"/>
    <w:bookmarkEnd w:id="37"/>
    <w:p>
      <w:pPr>
        <w:spacing w:after="0" w:line="37" w:lineRule="exact"/>
        <w:rPr>
          <w:sz w:val="20"/>
          <w:szCs w:val="20"/>
          <w:color w:val="auto"/>
        </w:rPr>
      </w:pPr>
    </w:p>
    <w:p>
      <w:pPr>
        <w:ind w:right="3019"/>
        <w:spacing w:after="0" w:line="258" w:lineRule="auto"/>
        <w:rPr>
          <w:sz w:val="20"/>
          <w:szCs w:val="20"/>
          <w:color w:val="auto"/>
        </w:rPr>
      </w:pPr>
      <w:r>
        <w:rPr>
          <w:rFonts w:ascii="Courier New" w:cs="Courier New" w:eastAsia="Courier New" w:hAnsi="Courier New"/>
          <w:sz w:val="15"/>
          <w:szCs w:val="15"/>
          <w:color w:val="auto"/>
        </w:rPr>
        <w:t>If the Administrative Committee determines the order is a qualified domestic relations order within 18 months of the date amounts first are payable following receipt of the order, the Administrative Committee will direct the Trustee to distribute the payable amounts in accordance with the order. If the Administrative Committee does not make its determination of the qualified status of the order within the 18 month determination period, the Administrative Committee will direct the Trustee to distribute the payable amounts in the manner the Plan would distribute if the order did not exist and will apply the order prospectively if the Administrative Committee later determines the order is a qualified domestic relations order.</w:t>
      </w:r>
    </w:p>
    <w:p>
      <w:pPr>
        <w:spacing w:after="0" w:line="81" w:lineRule="exact"/>
        <w:rPr>
          <w:sz w:val="20"/>
          <w:szCs w:val="20"/>
          <w:color w:val="auto"/>
        </w:rPr>
      </w:pPr>
    </w:p>
    <w:p>
      <w:pPr>
        <w:ind w:right="3019" w:firstLine="451"/>
        <w:spacing w:after="0" w:line="258" w:lineRule="auto"/>
        <w:rPr>
          <w:sz w:val="20"/>
          <w:szCs w:val="20"/>
          <w:color w:val="auto"/>
        </w:rPr>
      </w:pPr>
      <w:r>
        <w:rPr>
          <w:rFonts w:ascii="Courier New" w:cs="Courier New" w:eastAsia="Courier New" w:hAnsi="Courier New"/>
          <w:sz w:val="15"/>
          <w:szCs w:val="15"/>
          <w:color w:val="auto"/>
        </w:rPr>
        <w:t>To the extent it is not inconsistent with the provisions of the qualified domestic relations order, the Administrative Committee may direct the Trustee to invest any partitioned amount in a segregated subaccount or separate account and to invest the account in Federally insured, interest-bearing savings account(s) or time deposit(s) (or a combination of both), or in other fixed income investments. A segregated subaccount remains a part of the Trust, but it alone shares in any income it earns, and it alone bears any expense or loss it incurs. The Trustee will make any payments or distributions required under this Section 6.05 by separate benefit checks or other separate distribution to the alternate payee(s).</w:t>
      </w:r>
    </w:p>
    <w:p>
      <w:pPr>
        <w:spacing w:after="0" w:line="81"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 * * * * * * * * * *</w:t>
      </w:r>
    </w:p>
    <w:p>
      <w:pPr>
        <w:spacing w:after="0" w:line="350"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VII</w:t>
      </w:r>
    </w:p>
    <w:p>
      <w:pPr>
        <w:spacing w:after="0" w:line="3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EMPLOYER ADMINISTRATIVE PROVISIONS</w:t>
      </w:r>
    </w:p>
    <w:p>
      <w:pPr>
        <w:spacing w:after="0" w:line="149"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5"/>
          <w:szCs w:val="15"/>
          <w:color w:val="auto"/>
        </w:rPr>
        <w:t>7.01 INFORMATION TO COMMITTEE. The Employer must supply current information to the Administrative Committee as to the name, date of birth, date of employment, annual compensation, leaves of absence, Years of Service and date of termination of employment of each Employee who is, or who will be eligible to become, a Participant under the Plan, together with any other information which the Administrative Committee considers necessary. The Employer's records as to the current information the Employer furnishes to the Administrative Committee are conclusive as to all persons.</w:t>
      </w:r>
    </w:p>
    <w:p>
      <w:pPr>
        <w:spacing w:after="0" w:line="76" w:lineRule="exact"/>
        <w:rPr>
          <w:sz w:val="20"/>
          <w:szCs w:val="20"/>
          <w:color w:val="auto"/>
        </w:rPr>
      </w:pPr>
    </w:p>
    <w:p>
      <w:pPr>
        <w:ind w:right="3099" w:firstLine="451"/>
        <w:spacing w:after="0" w:line="274" w:lineRule="auto"/>
        <w:rPr>
          <w:sz w:val="20"/>
          <w:szCs w:val="20"/>
          <w:color w:val="auto"/>
        </w:rPr>
      </w:pPr>
      <w:r>
        <w:rPr>
          <w:rFonts w:ascii="Courier New" w:cs="Courier New" w:eastAsia="Courier New" w:hAnsi="Courier New"/>
          <w:sz w:val="15"/>
          <w:szCs w:val="15"/>
          <w:color w:val="auto"/>
        </w:rPr>
        <w:t>7.02 NO LIABILITY. The Employer assumes no obligation or responsibility to any of its Employees, Participants or Beneficiaries for any act of, or failure to act, on the part of its Administrative Committee (unless the Employer is the Administrative Committee), the Trustee or the Plan Administrator (unless the Employer is the Plan Administrator).</w:t>
      </w:r>
    </w:p>
    <w:p>
      <w:pPr>
        <w:spacing w:after="0" w:line="70" w:lineRule="exact"/>
        <w:rPr>
          <w:sz w:val="20"/>
          <w:szCs w:val="20"/>
          <w:color w:val="auto"/>
        </w:rPr>
      </w:pPr>
    </w:p>
    <w:p>
      <w:pPr>
        <w:ind w:right="3019" w:firstLine="451"/>
        <w:spacing w:after="0" w:line="271" w:lineRule="auto"/>
        <w:rPr>
          <w:sz w:val="20"/>
          <w:szCs w:val="20"/>
          <w:color w:val="auto"/>
        </w:rPr>
      </w:pPr>
      <w:r>
        <w:rPr>
          <w:rFonts w:ascii="Courier New" w:cs="Courier New" w:eastAsia="Courier New" w:hAnsi="Courier New"/>
          <w:sz w:val="14"/>
          <w:szCs w:val="14"/>
          <w:color w:val="auto"/>
        </w:rPr>
        <w:t>7.03 INDEMNITY OF CERTAIN FIDUCIARIES. The Employer indemnifies and saves harmless the Plan Administrator and the members of the Administrative Committee, and each of them, from and against any and all loss resulting from liability to which the Plan Administrator and the Administrative Committee, or the members of the Administrative Committee, may be subjected by reason of any act or conduct (except willful misconduct or gross negligence) in their official capacities in the administration of this Trust or Plan or both, including all expenses reasonably incurred in their defense, in case the Employer fails to provide such defense. The indemnification provisions of this Section 7.03 do not relieve the Plan Administrator or any Administrative Committee member from any liability he may have under ERISA for breach of a fiduciary duty. Furthermore, the Plan Administrator and the Administrative Committee members and the Employer may execute a letter agreement further delineating the indemnification agreement of this Section 7.03, provided the letter agreement must be consistent with and must not violate ERISA. The indemnification provisions of this Section 7.03 extend to the Trustee solely to the extent provided by a letter agreement executed by the Trustee and the Employer.</w:t>
      </w:r>
    </w:p>
    <w:p>
      <w:pPr>
        <w:spacing w:after="0" w:line="256"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5"/>
          <w:szCs w:val="15"/>
          <w:color w:val="auto"/>
        </w:rPr>
        <w:t>7.04 EMPLOYER DIRECTION OF INVESTMENT. The Employer has the right to direct the Trustee with respect to the investment and reinvestment of assets comprising the Trust Fund only if the Trustee consents in writing to permit such direction. If the Trustee consents to Employer direction of investment, the Trustee and the Employer must execute a letter agreement as a part of this Plan containing such conditions, limitations and other provisions they deem appropriate before the Trustee will follow any Employer direction as respects the investment or re-investment of any part of the Trust Fund.</w:t>
      </w:r>
    </w:p>
    <w:p>
      <w:pPr>
        <w:spacing w:after="0" w:line="76" w:lineRule="exact"/>
        <w:rPr>
          <w:sz w:val="20"/>
          <w:szCs w:val="20"/>
          <w:color w:val="auto"/>
        </w:rPr>
      </w:pPr>
    </w:p>
    <w:p>
      <w:pPr>
        <w:ind w:right="3019" w:firstLine="451"/>
        <w:spacing w:after="0" w:line="258" w:lineRule="auto"/>
        <w:rPr>
          <w:sz w:val="20"/>
          <w:szCs w:val="20"/>
          <w:color w:val="auto"/>
        </w:rPr>
      </w:pPr>
      <w:r>
        <w:rPr>
          <w:rFonts w:ascii="Courier New" w:cs="Courier New" w:eastAsia="Courier New" w:hAnsi="Courier New"/>
          <w:sz w:val="15"/>
          <w:szCs w:val="15"/>
          <w:color w:val="auto"/>
        </w:rPr>
        <w:t>7.05 AMENDMENT TO VESTING SCHEDULE. Though the Employer reserves the right to amend the vesting schedule at any time, the Administrative Committee will not apply the amended vesting schedule to reduce the Nonforfeitable percentage of any Participant's Accrued Benefit derived from Employer contributions (determined as of the later of the date the Employer adopts the amendment, or the date the amendment becomes effective) to a percentage less than the Nonforfeitable percentage computed under the Plan without regard to the amendment. An amended vesting schedule will apply to a Participant only if the Participant receives credit for at least one Hour of Service after the new schedule becomes effective.</w:t>
      </w:r>
    </w:p>
    <w:p>
      <w:pPr>
        <w:spacing w:after="0" w:line="81" w:lineRule="exact"/>
        <w:rPr>
          <w:sz w:val="20"/>
          <w:szCs w:val="20"/>
          <w:color w:val="auto"/>
        </w:rPr>
      </w:pPr>
    </w:p>
    <w:p>
      <w:pPr>
        <w:ind w:right="3019" w:firstLine="451"/>
        <w:spacing w:after="0" w:line="254" w:lineRule="auto"/>
        <w:rPr>
          <w:sz w:val="20"/>
          <w:szCs w:val="20"/>
          <w:color w:val="auto"/>
        </w:rPr>
      </w:pPr>
      <w:r>
        <w:rPr>
          <w:rFonts w:ascii="Courier New" w:cs="Courier New" w:eastAsia="Courier New" w:hAnsi="Courier New"/>
          <w:sz w:val="15"/>
          <w:szCs w:val="15"/>
          <w:color w:val="auto"/>
        </w:rPr>
        <w:t>If the Employer makes a permissible amendment to the vesting schedule, each Participant having at least Three Years of Service with the Employer may elect to have the percentage of his Nonforfeitable Accrued Benefit computed under the Plan without regard to the amendment For Plan Years beginning prior to January 1, 1989, the election described in the preceding sentence applies only to Participants having at least Five Years of Service with the Employer. The Participant must file his election with the Administrative Committee within 60 days of the latest of (a) the Employer's adoption of the amendment; (b) the effective date of the amendment; or (c) his receipt of a copy of the amendment. The Administrative Committee, as soon as practicable, must forward a true copy of any amendment to the vesting schedule to each affected Participant, together with an explanation of the effect of the amendment, the appropriate form upon which the Participant may make an election to remain under the vesting schedule provided under the Plan prior to the amendment and notice of the time within</w:t>
      </w:r>
    </w:p>
    <w:p>
      <w:pPr>
        <w:sectPr>
          <w:pgSz w:w="11900" w:h="16875" w:orient="portrait"/>
          <w:cols w:equalWidth="0" w:num="1">
            <w:col w:w="10219"/>
          </w:cols>
          <w:pgMar w:left="240" w:top="113" w:right="1440" w:bottom="0" w:gutter="0" w:footer="0" w:header="0"/>
        </w:sectPr>
      </w:pPr>
    </w:p>
    <w:bookmarkStart w:id="38" w:name="page39"/>
    <w:bookmarkEnd w:id="38"/>
    <w:p>
      <w:pPr>
        <w:spacing w:after="0" w:line="60" w:lineRule="exact"/>
        <w:rPr>
          <w:sz w:val="20"/>
          <w:szCs w:val="20"/>
          <w:color w:val="auto"/>
        </w:rPr>
      </w:pPr>
    </w:p>
    <w:p>
      <w:pPr>
        <w:ind w:right="3019"/>
        <w:spacing w:after="0" w:line="262" w:lineRule="auto"/>
        <w:rPr>
          <w:sz w:val="20"/>
          <w:szCs w:val="20"/>
          <w:color w:val="auto"/>
        </w:rPr>
      </w:pPr>
      <w:r>
        <w:rPr>
          <w:rFonts w:ascii="Courier New" w:cs="Courier New" w:eastAsia="Courier New" w:hAnsi="Courier New"/>
          <w:sz w:val="15"/>
          <w:szCs w:val="15"/>
          <w:color w:val="auto"/>
        </w:rPr>
        <w:t>which the Participant must make an election to remain under the prior vesting schedule. The election described in this Section 7.05 does not apply to a Participant if the amended vesting schedule provides for vesting at least as rapid at all times as the vesting schedule in effect prior to the amendment. For purposes of this Section 7.05, an amendment to the vesting schedule includes any Plan amendment which directly or indirectly affects the computation of the Nonforfeitable percentage of an Employee's rights to his Employer derived Accrued Benefit.</w:t>
      </w:r>
    </w:p>
    <w:p>
      <w:pPr>
        <w:spacing w:after="0" w:line="76"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 * * * * * * * * * *</w:t>
      </w:r>
    </w:p>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VIII</w:t>
      </w:r>
    </w:p>
    <w:p>
      <w:pPr>
        <w:spacing w:after="0" w:line="3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PARTICIPANT ADMINISTRATIVE PROVISIONS</w:t>
      </w:r>
    </w:p>
    <w:p>
      <w:pPr>
        <w:spacing w:after="0" w:line="149"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5"/>
          <w:szCs w:val="15"/>
          <w:color w:val="auto"/>
        </w:rPr>
        <w:t>8.01 BENEFICIARY DESIGNATION. Any Participant may from time to time designate, in writing, any person or persons, contingently or successively, to whom the Trustee will pay his Nonforfeitable Accrued Benefit in the event of his death and the Participant may designate the form and method of payment. The Administrative Committee will prescribe the form for the written designation of Beneficiary and, upon the Participant's filing the form with the Administrative Committee, the form effectively revokes all designations filed prior to that date by the same Participant.</w:t>
      </w:r>
    </w:p>
    <w:p>
      <w:pPr>
        <w:spacing w:after="0" w:line="76" w:lineRule="exact"/>
        <w:rPr>
          <w:sz w:val="20"/>
          <w:szCs w:val="20"/>
          <w:color w:val="auto"/>
        </w:rPr>
      </w:pPr>
    </w:p>
    <w:p>
      <w:pPr>
        <w:ind w:right="3019" w:firstLine="451"/>
        <w:spacing w:after="0" w:line="254" w:lineRule="auto"/>
        <w:rPr>
          <w:sz w:val="20"/>
          <w:szCs w:val="20"/>
          <w:color w:val="auto"/>
        </w:rPr>
      </w:pPr>
      <w:r>
        <w:rPr>
          <w:rFonts w:ascii="Courier New" w:cs="Courier New" w:eastAsia="Courier New" w:hAnsi="Courier New"/>
          <w:sz w:val="15"/>
          <w:szCs w:val="15"/>
          <w:color w:val="auto"/>
        </w:rPr>
        <w:t>A married Participant's Beneficiary designation is not valid unless the Participant's spouse consents, in writing, to the Beneficiary designation. The spouse's consent must acknowledge the effect of that consent. The spousal consent requirements of this paragraph do not apply if: (1) the Participant and his spouse are not married throughout the one-year period ending on the date of the Participant's death; (2) the Participant's spouse is the participant's sole primary beneficiary; (3) the Plan Administrator is not able to locate the Participant's spouse; (4) the Participant is legally separated or has been abandoned (within the meaning of State law) and the Participant has a court order to that effect; or (5) other circumstances exist under which the Secretary of the Treasury will excuse the consent requirement. If the Participant's spouse is legally incompetent to give consent, the spouse's legal guardian (even if the guardian is the Participant) may give consent.</w:t>
      </w:r>
    </w:p>
    <w:p>
      <w:pPr>
        <w:spacing w:after="0" w:line="90" w:lineRule="exact"/>
        <w:rPr>
          <w:sz w:val="20"/>
          <w:szCs w:val="20"/>
          <w:color w:val="auto"/>
        </w:rPr>
      </w:pPr>
    </w:p>
    <w:p>
      <w:pPr>
        <w:ind w:right="3019" w:firstLine="451"/>
        <w:spacing w:after="0" w:line="274" w:lineRule="auto"/>
        <w:rPr>
          <w:sz w:val="20"/>
          <w:szCs w:val="20"/>
          <w:color w:val="auto"/>
        </w:rPr>
      </w:pPr>
      <w:r>
        <w:rPr>
          <w:rFonts w:ascii="Courier New" w:cs="Courier New" w:eastAsia="Courier New" w:hAnsi="Courier New"/>
          <w:sz w:val="15"/>
          <w:szCs w:val="15"/>
          <w:color w:val="auto"/>
        </w:rPr>
        <w:t>8.02 NO BENEFICIARY DESIGNATION/DEATH OF BENEFICIARY. If a Participant fails to name a Beneficiary in accordance with Section 8.01, or if the Beneficiary named by a Participant predeceases him, then the Trustee will pay the Participant's Nonforfeitable Accrued Benefit in accordance with Section 6.02 in the following order of priority to:</w:t>
      </w:r>
    </w:p>
    <w:p>
      <w:pPr>
        <w:spacing w:after="0" w:line="70" w:lineRule="exact"/>
        <w:rPr>
          <w:sz w:val="20"/>
          <w:szCs w:val="20"/>
          <w:color w:val="auto"/>
        </w:rPr>
      </w:pPr>
    </w:p>
    <w:p>
      <w:pPr>
        <w:ind w:left="800" w:hanging="357"/>
        <w:spacing w:after="0"/>
        <w:tabs>
          <w:tab w:leader="none" w:pos="8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Participant's surviving spouse;</w:t>
      </w:r>
    </w:p>
    <w:p>
      <w:pPr>
        <w:spacing w:after="0" w:line="176" w:lineRule="exact"/>
        <w:rPr>
          <w:rFonts w:ascii="Courier New" w:cs="Courier New" w:eastAsia="Courier New" w:hAnsi="Courier New"/>
          <w:sz w:val="15"/>
          <w:szCs w:val="15"/>
          <w:color w:val="auto"/>
        </w:rPr>
      </w:pPr>
    </w:p>
    <w:p>
      <w:pPr>
        <w:ind w:left="440" w:right="3279" w:firstLine="3"/>
        <w:spacing w:after="0" w:line="365" w:lineRule="auto"/>
        <w:tabs>
          <w:tab w:leader="none" w:pos="801"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Participant's surviving children, including adopted children, in equal shares;</w:t>
      </w:r>
    </w:p>
    <w:p>
      <w:pPr>
        <w:spacing w:after="0" w:line="3"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Participant's surviving parents, in equal shares; or</w:t>
      </w:r>
    </w:p>
    <w:p>
      <w:pPr>
        <w:spacing w:after="0" w:line="176"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Participant's estate.</w:t>
      </w:r>
    </w:p>
    <w:p>
      <w:pPr>
        <w:spacing w:after="0" w:line="177" w:lineRule="exact"/>
        <w:rPr>
          <w:sz w:val="20"/>
          <w:szCs w:val="20"/>
          <w:color w:val="auto"/>
        </w:rPr>
      </w:pPr>
    </w:p>
    <w:p>
      <w:pPr>
        <w:ind w:right="3019" w:firstLine="451"/>
        <w:spacing w:after="0" w:line="268" w:lineRule="auto"/>
        <w:rPr>
          <w:sz w:val="20"/>
          <w:szCs w:val="20"/>
          <w:color w:val="auto"/>
        </w:rPr>
      </w:pPr>
      <w:r>
        <w:rPr>
          <w:rFonts w:ascii="Courier New" w:cs="Courier New" w:eastAsia="Courier New" w:hAnsi="Courier New"/>
          <w:sz w:val="15"/>
          <w:szCs w:val="15"/>
          <w:color w:val="auto"/>
        </w:rPr>
        <w:t>If the Beneficiary does not predecease the Participant, but dies prior to distribution of the Participant's entire Nonforfeitable Accrued Benefit, the Trustee will pay the remaining Nonforfeitable Accrued Benefit to the Beneficiary's estate unless the Participant's Beneficiary designation provides otherwise. The Administrative Committee will direct the Trustee as to the method and to whom the Trustee will make payment under this Section 8.02.</w:t>
      </w:r>
    </w:p>
    <w:p>
      <w:pPr>
        <w:spacing w:after="0" w:line="75" w:lineRule="exact"/>
        <w:rPr>
          <w:sz w:val="20"/>
          <w:szCs w:val="20"/>
          <w:color w:val="auto"/>
        </w:rPr>
      </w:pPr>
    </w:p>
    <w:p>
      <w:pPr>
        <w:ind w:right="3019" w:firstLine="451"/>
        <w:spacing w:after="0" w:line="259" w:lineRule="auto"/>
        <w:rPr>
          <w:sz w:val="20"/>
          <w:szCs w:val="20"/>
          <w:color w:val="auto"/>
        </w:rPr>
      </w:pPr>
      <w:r>
        <w:rPr>
          <w:rFonts w:ascii="Courier New" w:cs="Courier New" w:eastAsia="Courier New" w:hAnsi="Courier New"/>
          <w:sz w:val="15"/>
          <w:szCs w:val="15"/>
          <w:color w:val="auto"/>
        </w:rPr>
        <w:t>8.03 PERSONAL DATA TO COMMITTEE. Each Participant and each Beneficiary of a deceased Participant must furnish to the Administrative Committee such evidence, data or information as the Administrative Committee considers necessary or desirable for the purpose of administering the Plan. The provisions of this Plan are effective for the benefit of each Participant upon the condition precedent that each Participant will furnish promptly full, true and complete evidence, data and information when requested by the Administrative Committee, provided the Administrative Committee advises each Participant of the effect of his failure to comply with its request.</w:t>
      </w:r>
    </w:p>
    <w:p>
      <w:pPr>
        <w:spacing w:after="0" w:line="83"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5"/>
          <w:szCs w:val="15"/>
          <w:color w:val="auto"/>
        </w:rPr>
        <w:t>8.04 ADDRESS FOR NOTIFICATION. Each Participant and each Beneficiary of a deceased Participant must file with the Administrative Committee from time to time, in writing, his post office address and any change of post office address. Any communication, statement or notice addressed to a Participant, or Beneficiary, at his last post office address filed with the Administrative Committee, or as shown on the records of the Employer, binds the Participant, or Beneficiary, for all purposes of this Plan.</w:t>
      </w:r>
    </w:p>
    <w:p>
      <w:pPr>
        <w:spacing w:after="0" w:line="79" w:lineRule="exact"/>
        <w:rPr>
          <w:sz w:val="20"/>
          <w:szCs w:val="20"/>
          <w:color w:val="auto"/>
        </w:rPr>
      </w:pPr>
    </w:p>
    <w:p>
      <w:pPr>
        <w:ind w:right="3019" w:firstLine="451"/>
        <w:spacing w:after="0" w:line="291" w:lineRule="auto"/>
        <w:rPr>
          <w:sz w:val="20"/>
          <w:szCs w:val="20"/>
          <w:color w:val="auto"/>
        </w:rPr>
      </w:pPr>
      <w:r>
        <w:rPr>
          <w:rFonts w:ascii="Courier New" w:cs="Courier New" w:eastAsia="Courier New" w:hAnsi="Courier New"/>
          <w:sz w:val="14"/>
          <w:szCs w:val="14"/>
          <w:color w:val="auto"/>
        </w:rPr>
        <w:t>8.05 ASSIGNMENT OR ALIENATION. Subject to Code ss.414(p) relating to qualified domestic relations orders, neither a Participant nor a Beneficiary may anticipate, assign or alienate (either at law or in equity) any benefit provided under the Plan, and the Trustee will not recognize any such anticipation, assignment or alienation. Furthermore, a benefit under the Plan is not subject to attachment, garnishment, levy, execution or other legal or equitable process.</w:t>
      </w:r>
    </w:p>
    <w:p>
      <w:pPr>
        <w:spacing w:after="0" w:line="60" w:lineRule="exact"/>
        <w:rPr>
          <w:sz w:val="20"/>
          <w:szCs w:val="20"/>
          <w:color w:val="auto"/>
        </w:rPr>
      </w:pPr>
    </w:p>
    <w:p>
      <w:pPr>
        <w:ind w:right="3199" w:firstLine="451"/>
        <w:spacing w:after="0" w:line="274" w:lineRule="auto"/>
        <w:rPr>
          <w:sz w:val="20"/>
          <w:szCs w:val="20"/>
          <w:color w:val="auto"/>
        </w:rPr>
      </w:pPr>
      <w:r>
        <w:rPr>
          <w:rFonts w:ascii="Courier New" w:cs="Courier New" w:eastAsia="Courier New" w:hAnsi="Courier New"/>
          <w:sz w:val="15"/>
          <w:szCs w:val="15"/>
          <w:color w:val="auto"/>
        </w:rPr>
        <w:t>8.06 NOTICE OF CHANGE IN TERMS. The Plan Administrator, within the time prescribed by ERISA and the applicable regulations, must furnish all Participants and Beneficiaries a summary description of any material amendment to the Plan or notice of discontinuance of the Plan and all other information required by ERISA to be furnished without charge.</w:t>
      </w:r>
    </w:p>
    <w:p>
      <w:pPr>
        <w:spacing w:after="0" w:line="70" w:lineRule="exact"/>
        <w:rPr>
          <w:sz w:val="20"/>
          <w:szCs w:val="20"/>
          <w:color w:val="auto"/>
        </w:rPr>
      </w:pPr>
    </w:p>
    <w:p>
      <w:pPr>
        <w:ind w:right="3099" w:firstLine="451"/>
        <w:spacing w:after="0" w:line="285" w:lineRule="auto"/>
        <w:rPr>
          <w:sz w:val="20"/>
          <w:szCs w:val="20"/>
          <w:color w:val="auto"/>
        </w:rPr>
      </w:pPr>
      <w:r>
        <w:rPr>
          <w:rFonts w:ascii="Courier New" w:cs="Courier New" w:eastAsia="Courier New" w:hAnsi="Courier New"/>
          <w:sz w:val="15"/>
          <w:szCs w:val="15"/>
          <w:color w:val="auto"/>
        </w:rPr>
        <w:t>8.07 LIMITATION AGAINST THE TRUST. A court of competent jurisdiction may authorize any appropriate equitable relief to redress violations of ERISA or to enforce any provisions of ERISA or the terms of the Plan. A fiduciary may receive reimbursement of expenses properly and actually incurred in the</w:t>
      </w:r>
    </w:p>
    <w:p>
      <w:pPr>
        <w:sectPr>
          <w:pgSz w:w="11900" w:h="16899" w:orient="portrait"/>
          <w:cols w:equalWidth="0" w:num="1">
            <w:col w:w="10219"/>
          </w:cols>
          <w:pgMar w:left="240" w:top="113" w:right="1440" w:bottom="0" w:gutter="0" w:footer="0" w:header="0"/>
        </w:sectPr>
      </w:pPr>
    </w:p>
    <w:bookmarkStart w:id="39" w:name="page40"/>
    <w:bookmarkEnd w:id="39"/>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of his duties with the Plan.</w:t>
      </w:r>
    </w:p>
    <w:p>
      <w:pPr>
        <w:spacing w:after="0" w:line="177" w:lineRule="exact"/>
        <w:rPr>
          <w:sz w:val="20"/>
          <w:szCs w:val="20"/>
          <w:color w:val="auto"/>
        </w:rPr>
      </w:pPr>
    </w:p>
    <w:p>
      <w:pPr>
        <w:ind w:right="3019" w:firstLine="451"/>
        <w:spacing w:after="0" w:line="256" w:lineRule="auto"/>
        <w:rPr>
          <w:sz w:val="20"/>
          <w:szCs w:val="20"/>
          <w:color w:val="auto"/>
        </w:rPr>
      </w:pPr>
      <w:r>
        <w:rPr>
          <w:rFonts w:ascii="Courier New" w:cs="Courier New" w:eastAsia="Courier New" w:hAnsi="Courier New"/>
          <w:sz w:val="15"/>
          <w:szCs w:val="15"/>
          <w:color w:val="auto"/>
        </w:rPr>
        <w:t>8.08 INFORMATION AVAILABLE. Any Participant in the Plan or any Beneficiary may examine copies of the Plan description, latest annual report, any bargaining agreement, this Plan and Trust, contract or any other instrument under which the Plan was established or is operated. The Plan Administrator will maintain all of the items listed in this Section 8.08 in his office, or in such other place or places as he may designate from time to time in order to comply with the regulations issued under ERISA, for examination during reasonable business hours. Upon the written request of a Participant or Beneficiary the Plan Administrator will furnish him with a copy of any item listed in this Section 8.08. The Plan Administrator may make a reasonable charge to the requesting person for the copy so furnished.</w:t>
      </w:r>
    </w:p>
    <w:p>
      <w:pPr>
        <w:spacing w:after="0" w:line="87" w:lineRule="exact"/>
        <w:rPr>
          <w:sz w:val="20"/>
          <w:szCs w:val="20"/>
          <w:color w:val="auto"/>
        </w:rPr>
      </w:pPr>
    </w:p>
    <w:p>
      <w:pPr>
        <w:ind w:right="3099" w:firstLine="451"/>
        <w:spacing w:after="0" w:line="259" w:lineRule="auto"/>
        <w:rPr>
          <w:sz w:val="20"/>
          <w:szCs w:val="20"/>
          <w:color w:val="auto"/>
        </w:rPr>
      </w:pPr>
      <w:r>
        <w:rPr>
          <w:rFonts w:ascii="Courier New" w:cs="Courier New" w:eastAsia="Courier New" w:hAnsi="Courier New"/>
          <w:sz w:val="15"/>
          <w:szCs w:val="15"/>
          <w:color w:val="auto"/>
        </w:rPr>
        <w:t>8.09 APPEAL PROCEDURE FOR DENIAL OF BENEFITS. A Participant or a Beneficiary ("Claimant") may file with the Administrative Committee a written claim for benefits, if the Participant or Beneficiary determines the distribution procedures of the Plan have not provided him his proper Nonforfeitable Accrued Benefit. The Administrative Committee must render a decision on the claim within 60 days of the Claimant's written claim for benefits. The Plan Administrator must provide adequate notice in writing to the Claimant whose claim for benefits under the Plan the Administrative Committee has denied. The Plan Administrator's notice to the Claimant must set forth:</w:t>
      </w:r>
    </w:p>
    <w:p>
      <w:pPr>
        <w:spacing w:after="0" w:line="83" w:lineRule="exact"/>
        <w:rPr>
          <w:sz w:val="20"/>
          <w:szCs w:val="20"/>
          <w:color w:val="auto"/>
        </w:rPr>
      </w:pPr>
    </w:p>
    <w:p>
      <w:pPr>
        <w:ind w:left="800" w:hanging="357"/>
        <w:spacing w:after="0"/>
        <w:tabs>
          <w:tab w:leader="none" w:pos="8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specific reason for the denial;</w:t>
      </w:r>
    </w:p>
    <w:p>
      <w:pPr>
        <w:spacing w:after="0" w:line="176" w:lineRule="exact"/>
        <w:rPr>
          <w:rFonts w:ascii="Courier New" w:cs="Courier New" w:eastAsia="Courier New" w:hAnsi="Courier New"/>
          <w:sz w:val="15"/>
          <w:szCs w:val="15"/>
          <w:color w:val="auto"/>
        </w:rPr>
      </w:pPr>
    </w:p>
    <w:p>
      <w:pPr>
        <w:ind w:left="440" w:right="3919" w:firstLine="3"/>
        <w:spacing w:after="0" w:line="365" w:lineRule="auto"/>
        <w:tabs>
          <w:tab w:leader="none" w:pos="801"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references to pertinent Plan provisions on which the Administrative Committee based its denial;</w:t>
      </w:r>
    </w:p>
    <w:p>
      <w:pPr>
        <w:spacing w:after="0" w:line="3" w:lineRule="exact"/>
        <w:rPr>
          <w:rFonts w:ascii="Courier New" w:cs="Courier New" w:eastAsia="Courier New" w:hAnsi="Courier New"/>
          <w:sz w:val="15"/>
          <w:szCs w:val="15"/>
          <w:color w:val="auto"/>
        </w:rPr>
      </w:pPr>
    </w:p>
    <w:p>
      <w:pPr>
        <w:ind w:left="440" w:right="3019" w:firstLine="3"/>
        <w:spacing w:after="0" w:line="305" w:lineRule="auto"/>
        <w:tabs>
          <w:tab w:leader="none" w:pos="801"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any additional material and information needed for the Claimant to perfect his claim and an explanation of why the material or information is needed; and</w:t>
      </w:r>
    </w:p>
    <w:p>
      <w:pPr>
        <w:spacing w:after="0" w:line="45" w:lineRule="exact"/>
        <w:rPr>
          <w:rFonts w:ascii="Courier New" w:cs="Courier New" w:eastAsia="Courier New" w:hAnsi="Courier New"/>
          <w:sz w:val="15"/>
          <w:szCs w:val="15"/>
          <w:color w:val="auto"/>
        </w:rPr>
      </w:pPr>
    </w:p>
    <w:p>
      <w:pPr>
        <w:ind w:left="440" w:right="3019" w:firstLine="3"/>
        <w:spacing w:after="0" w:line="264" w:lineRule="auto"/>
        <w:tabs>
          <w:tab w:leader="none" w:pos="801"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any appeal the Claimant wishes to make of the adverse determination must be in writing to the Administrative Committee within 75 days after receipt of the Plan Administrator's notice of denial of benefits. The Plan Administrator's notice must further advise the Claimant that his failure to appeal the action to the Administrative Committee in writing within the 75-day period will render the Administrative Committee's determination final binding and conclusive.</w:t>
      </w:r>
    </w:p>
    <w:p>
      <w:pPr>
        <w:spacing w:after="0" w:line="79" w:lineRule="exact"/>
        <w:rPr>
          <w:sz w:val="20"/>
          <w:szCs w:val="20"/>
          <w:color w:val="auto"/>
        </w:rPr>
      </w:pPr>
    </w:p>
    <w:p>
      <w:pPr>
        <w:ind w:right="3099" w:firstLine="451"/>
        <w:spacing w:after="0" w:line="255" w:lineRule="auto"/>
        <w:rPr>
          <w:sz w:val="20"/>
          <w:szCs w:val="20"/>
          <w:color w:val="auto"/>
        </w:rPr>
      </w:pPr>
      <w:r>
        <w:rPr>
          <w:rFonts w:ascii="Courier New" w:cs="Courier New" w:eastAsia="Courier New" w:hAnsi="Courier New"/>
          <w:sz w:val="15"/>
          <w:szCs w:val="15"/>
          <w:color w:val="auto"/>
        </w:rPr>
        <w:t>If the Claimant should appeal to the Administrative Committee, he, or his duly authorized representative, may submit, in writing whatever issues and comments he, or his duly authorized representative, feels are pertinent. The Claimant, or his duly authorized representative, may review pertinent Plan documents. The Administrative Committee will reexamine all facts related to the appeal and make a final determination as to whether the denial of benefits is justified under the circumstances. The Administrative Committee must advise the Claimant of its decision within 60 days of the Claimant's written request for review, unless special circumstances (such as a hearing) would make the rendering of a decision within the 60-day limit unfeasible, but in no event may the Administrative Committee render a decision respecting a denial for a claim for benefits later than 120 days after its receipt of a request for review.</w:t>
      </w:r>
    </w:p>
    <w:p>
      <w:pPr>
        <w:spacing w:after="0" w:line="87" w:lineRule="exact"/>
        <w:rPr>
          <w:sz w:val="20"/>
          <w:szCs w:val="20"/>
          <w:color w:val="auto"/>
        </w:rPr>
      </w:pPr>
    </w:p>
    <w:p>
      <w:pPr>
        <w:ind w:right="3019" w:firstLine="451"/>
        <w:spacing w:after="0" w:line="335" w:lineRule="auto"/>
        <w:rPr>
          <w:sz w:val="20"/>
          <w:szCs w:val="20"/>
          <w:color w:val="auto"/>
        </w:rPr>
      </w:pPr>
      <w:r>
        <w:rPr>
          <w:rFonts w:ascii="Courier New" w:cs="Courier New" w:eastAsia="Courier New" w:hAnsi="Courier New"/>
          <w:sz w:val="14"/>
          <w:szCs w:val="14"/>
          <w:color w:val="auto"/>
        </w:rPr>
        <w:t>The Plan Administrator's notice of denial of benefits must identify the name of each member of the Administrative Committee and the name and address of the Administrative Committee member to whom the Claimant may forward his appeal.</w:t>
      </w:r>
    </w:p>
    <w:p>
      <w:pPr>
        <w:spacing w:after="0" w:line="29" w:lineRule="exact"/>
        <w:rPr>
          <w:sz w:val="20"/>
          <w:szCs w:val="20"/>
          <w:color w:val="auto"/>
        </w:rPr>
      </w:pPr>
    </w:p>
    <w:p>
      <w:pPr>
        <w:ind w:right="3019" w:firstLine="451"/>
        <w:spacing w:after="0" w:line="273" w:lineRule="auto"/>
        <w:rPr>
          <w:sz w:val="20"/>
          <w:szCs w:val="20"/>
          <w:color w:val="auto"/>
        </w:rPr>
      </w:pPr>
      <w:r>
        <w:rPr>
          <w:rFonts w:ascii="Courier New" w:cs="Courier New" w:eastAsia="Courier New" w:hAnsi="Courier New"/>
          <w:sz w:val="14"/>
          <w:szCs w:val="14"/>
          <w:color w:val="auto"/>
        </w:rPr>
        <w:t>8.10 PARTICIPANT DIRECTION OF INVESTMENT. A Participant has the right to direct the Trustee with respect to the investment or reinvestment of the assets comprising the Participant's individual Account only if the Trustee consents in writing to permit such direction. If the Trustee consents to Participant direction of investment, the Trustee will accept direction from each Participant on a written election form (or other written agreement), as a part of this Plan, containing such conditions, limitations and other provisions the parties deem appropriate. The Trustee or, with the Trustee's consent, the Administrative Committee, may establish written procedures, incorporated specifically as part of this Plan, relating to Participant direction of investment under this Section 8.10. The Trustee will maintain a segregated investment Account to the extent a Participant's Account is subject to Participant self-direction. The Trustee is not liable for any loss, nor is liable for any breach, resulting from a Participant's direction of the investment of any part of his directed Account.</w:t>
      </w:r>
    </w:p>
    <w:p>
      <w:pPr>
        <w:spacing w:after="0" w:line="7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 * * * * * * * * * *</w:t>
      </w:r>
    </w:p>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IX</w:t>
      </w:r>
    </w:p>
    <w:p>
      <w:pPr>
        <w:spacing w:after="0" w:line="3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ADVISORY COMMITTEE DUTIES WITH RESPECT TO PARTICIPANTS' ACCOUNTS</w:t>
      </w:r>
    </w:p>
    <w:p>
      <w:pPr>
        <w:spacing w:after="0" w:line="149" w:lineRule="exact"/>
        <w:rPr>
          <w:sz w:val="20"/>
          <w:szCs w:val="20"/>
          <w:color w:val="auto"/>
        </w:rPr>
      </w:pPr>
    </w:p>
    <w:p>
      <w:pPr>
        <w:ind w:right="3019" w:firstLine="451"/>
        <w:spacing w:after="0" w:line="259" w:lineRule="auto"/>
        <w:rPr>
          <w:sz w:val="20"/>
          <w:szCs w:val="20"/>
          <w:color w:val="auto"/>
        </w:rPr>
      </w:pPr>
      <w:r>
        <w:rPr>
          <w:rFonts w:ascii="Courier New" w:cs="Courier New" w:eastAsia="Courier New" w:hAnsi="Courier New"/>
          <w:sz w:val="15"/>
          <w:szCs w:val="15"/>
          <w:color w:val="auto"/>
        </w:rPr>
        <w:t>9.01 MEMBERS' COMPENSATION EXPENSES. The Employer must appoint an Administrative Committee to administer the Plan, the members of which may or may not be Participants in the Plan, or which may be the Plan Administrator acting alone. In the absence of an Administrative Committee appointment, the Plan Administrator assumes the powers, duties and responsibilities of the Administrative Committee. The members of the Administrative Committee will serve without compensation for services as such, but the Employer will pay all expenses of the Administrative Committee, except to the extent the Trust properly pays for such expenses, pursuant to Article X.</w:t>
      </w:r>
    </w:p>
    <w:p>
      <w:pPr>
        <w:spacing w:after="0" w:line="83" w:lineRule="exact"/>
        <w:rPr>
          <w:sz w:val="20"/>
          <w:szCs w:val="20"/>
          <w:color w:val="auto"/>
        </w:rPr>
      </w:pPr>
    </w:p>
    <w:p>
      <w:pPr>
        <w:ind w:right="3379" w:firstLine="451"/>
        <w:spacing w:after="0" w:line="365" w:lineRule="auto"/>
        <w:rPr>
          <w:sz w:val="20"/>
          <w:szCs w:val="20"/>
          <w:color w:val="auto"/>
        </w:rPr>
      </w:pPr>
      <w:r>
        <w:rPr>
          <w:rFonts w:ascii="Courier New" w:cs="Courier New" w:eastAsia="Courier New" w:hAnsi="Courier New"/>
          <w:sz w:val="15"/>
          <w:szCs w:val="15"/>
          <w:color w:val="auto"/>
        </w:rPr>
        <w:t>9.02 TERM. Each member of the Administrative Committee serves until the appointment of his successor.</w:t>
      </w:r>
    </w:p>
    <w:p>
      <w:pPr>
        <w:spacing w:after="0" w:line="3" w:lineRule="exact"/>
        <w:rPr>
          <w:sz w:val="20"/>
          <w:szCs w:val="20"/>
          <w:color w:val="auto"/>
        </w:rPr>
      </w:pPr>
    </w:p>
    <w:p>
      <w:pPr>
        <w:ind w:right="3199" w:firstLine="451"/>
        <w:spacing w:after="0" w:line="335" w:lineRule="auto"/>
        <w:rPr>
          <w:sz w:val="20"/>
          <w:szCs w:val="20"/>
          <w:color w:val="auto"/>
        </w:rPr>
      </w:pPr>
      <w:r>
        <w:rPr>
          <w:rFonts w:ascii="Courier New" w:cs="Courier New" w:eastAsia="Courier New" w:hAnsi="Courier New"/>
          <w:sz w:val="14"/>
          <w:szCs w:val="14"/>
          <w:color w:val="auto"/>
        </w:rPr>
        <w:t>9.03 POWERS. In case of a vacancy in the membership of the Administrative Committee, the remaining members of the Administrative Committee may exercise any and all of the powers, authority, duties and discretion conferred upon the</w:t>
      </w:r>
    </w:p>
    <w:p>
      <w:pPr>
        <w:sectPr>
          <w:pgSz w:w="11900" w:h="16929" w:orient="portrait"/>
          <w:cols w:equalWidth="0" w:num="1">
            <w:col w:w="10219"/>
          </w:cols>
          <w:pgMar w:left="240" w:top="114" w:right="1440" w:bottom="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Administrative Committee pending the filling of the vacancy.</w:t>
      </w:r>
    </w:p>
    <w:p>
      <w:pPr>
        <w:spacing w:after="0" w:line="177" w:lineRule="exact"/>
        <w:rPr>
          <w:sz w:val="20"/>
          <w:szCs w:val="20"/>
          <w:color w:val="auto"/>
        </w:rPr>
      </w:pPr>
    </w:p>
    <w:p>
      <w:pPr>
        <w:ind w:right="3379" w:firstLine="451"/>
        <w:spacing w:after="0" w:line="365" w:lineRule="auto"/>
        <w:rPr>
          <w:sz w:val="20"/>
          <w:szCs w:val="20"/>
          <w:color w:val="auto"/>
        </w:rPr>
      </w:pPr>
      <w:r>
        <w:rPr>
          <w:rFonts w:ascii="Courier New" w:cs="Courier New" w:eastAsia="Courier New" w:hAnsi="Courier New"/>
          <w:sz w:val="15"/>
          <w:szCs w:val="15"/>
          <w:color w:val="auto"/>
        </w:rPr>
        <w:t>9.04 GENERAL. The Administrative Committee has the following powers and duties:</w:t>
      </w:r>
    </w:p>
    <w:p>
      <w:pPr>
        <w:spacing w:after="0" w:line="3" w:lineRule="exact"/>
        <w:rPr>
          <w:sz w:val="20"/>
          <w:szCs w:val="20"/>
          <w:color w:val="auto"/>
        </w:rPr>
      </w:pPr>
    </w:p>
    <w:p>
      <w:pPr>
        <w:ind w:left="440" w:right="3199" w:firstLine="3"/>
        <w:spacing w:after="0" w:line="365" w:lineRule="auto"/>
        <w:tabs>
          <w:tab w:leader="none" w:pos="80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select a Secretary, who need not be a member of the Administrative Committee;</w:t>
      </w:r>
    </w:p>
    <w:p>
      <w:pPr>
        <w:spacing w:after="0" w:line="3" w:lineRule="exact"/>
        <w:rPr>
          <w:rFonts w:ascii="Courier New" w:cs="Courier New" w:eastAsia="Courier New" w:hAnsi="Courier New"/>
          <w:sz w:val="15"/>
          <w:szCs w:val="15"/>
          <w:color w:val="auto"/>
        </w:rPr>
      </w:pPr>
    </w:p>
    <w:p>
      <w:pPr>
        <w:ind w:left="440" w:right="3019" w:firstLine="3"/>
        <w:spacing w:after="0" w:line="305" w:lineRule="auto"/>
        <w:tabs>
          <w:tab w:leader="none" w:pos="80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rights of eligibility of an Employee to participate in the Plan, the value of a Participant's Accrued Benefit and the Nonforfeitable percentage of each Participant's Accrued Benefit;</w:t>
      </w:r>
    </w:p>
    <w:p>
      <w:pPr>
        <w:spacing w:after="0" w:line="45" w:lineRule="exact"/>
        <w:rPr>
          <w:rFonts w:ascii="Courier New" w:cs="Courier New" w:eastAsia="Courier New" w:hAnsi="Courier New"/>
          <w:sz w:val="15"/>
          <w:szCs w:val="15"/>
          <w:color w:val="auto"/>
        </w:rPr>
      </w:pPr>
    </w:p>
    <w:p>
      <w:pPr>
        <w:ind w:left="440" w:right="3279" w:firstLine="3"/>
        <w:spacing w:after="0" w:line="305" w:lineRule="auto"/>
        <w:tabs>
          <w:tab w:leader="none" w:pos="80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adopt rules of procedure and regulations necessary for the proper and efficient administration of the Plan provided the rules are not inconsistent with the terms of this Agreement;</w:t>
      </w:r>
    </w:p>
    <w:p>
      <w:pPr>
        <w:spacing w:after="0" w:line="45" w:lineRule="exact"/>
        <w:rPr>
          <w:rFonts w:ascii="Courier New" w:cs="Courier New" w:eastAsia="Courier New" w:hAnsi="Courier New"/>
          <w:sz w:val="15"/>
          <w:szCs w:val="15"/>
          <w:color w:val="auto"/>
        </w:rPr>
      </w:pPr>
    </w:p>
    <w:p>
      <w:pPr>
        <w:ind w:left="440" w:right="3199" w:firstLine="3"/>
        <w:spacing w:after="0" w:line="305" w:lineRule="auto"/>
        <w:tabs>
          <w:tab w:leader="none" w:pos="80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construe and enforce the terms of the Plan and the rules and regulations it adopts, including interpretation of the Plan documents and documents related to the Plan's operation;</w:t>
      </w:r>
    </w:p>
    <w:p>
      <w:pPr>
        <w:spacing w:after="0" w:line="45" w:lineRule="exact"/>
        <w:rPr>
          <w:rFonts w:ascii="Courier New" w:cs="Courier New" w:eastAsia="Courier New" w:hAnsi="Courier New"/>
          <w:sz w:val="15"/>
          <w:szCs w:val="15"/>
          <w:color w:val="auto"/>
        </w:rPr>
      </w:pPr>
    </w:p>
    <w:p>
      <w:pPr>
        <w:ind w:left="440" w:right="3019" w:firstLine="3"/>
        <w:spacing w:after="0" w:line="365" w:lineRule="auto"/>
        <w:tabs>
          <w:tab w:leader="none" w:pos="80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direct the Trustee as respects the crediting and distribution of the Trust;</w:t>
      </w:r>
    </w:p>
    <w:p>
      <w:pPr>
        <w:spacing w:after="0" w:line="3" w:lineRule="exact"/>
        <w:rPr>
          <w:rFonts w:ascii="Courier New" w:cs="Courier New" w:eastAsia="Courier New" w:hAnsi="Courier New"/>
          <w:sz w:val="15"/>
          <w:szCs w:val="15"/>
          <w:color w:val="auto"/>
        </w:rPr>
      </w:pPr>
    </w:p>
    <w:p>
      <w:pPr>
        <w:ind w:left="440" w:right="3199" w:firstLine="3"/>
        <w:spacing w:after="0" w:line="365" w:lineRule="auto"/>
        <w:tabs>
          <w:tab w:leader="none" w:pos="80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review and render decisions respecting a claim for (or denial of a claim for) a benefit under the Plan;</w:t>
      </w:r>
    </w:p>
    <w:p>
      <w:pPr>
        <w:spacing w:after="0" w:line="3" w:lineRule="exact"/>
        <w:rPr>
          <w:rFonts w:ascii="Courier New" w:cs="Courier New" w:eastAsia="Courier New" w:hAnsi="Courier New"/>
          <w:sz w:val="15"/>
          <w:szCs w:val="15"/>
          <w:color w:val="auto"/>
        </w:rPr>
      </w:pPr>
    </w:p>
    <w:p>
      <w:pPr>
        <w:ind w:left="440" w:right="3019" w:firstLine="3"/>
        <w:spacing w:after="0" w:line="365" w:lineRule="auto"/>
        <w:tabs>
          <w:tab w:leader="none" w:pos="80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furnish the Employer with information which the Employer may require for tax or other purposes;</w:t>
      </w:r>
    </w:p>
    <w:p>
      <w:pPr>
        <w:spacing w:after="0" w:line="3" w:lineRule="exact"/>
        <w:rPr>
          <w:rFonts w:ascii="Courier New" w:cs="Courier New" w:eastAsia="Courier New" w:hAnsi="Courier New"/>
          <w:sz w:val="15"/>
          <w:szCs w:val="15"/>
          <w:color w:val="auto"/>
        </w:rPr>
      </w:pPr>
    </w:p>
    <w:p>
      <w:pPr>
        <w:ind w:left="440" w:right="3019" w:firstLine="3"/>
        <w:spacing w:after="0" w:line="365" w:lineRule="auto"/>
        <w:tabs>
          <w:tab w:leader="none" w:pos="80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engage the service of agents whom it may deem advisable to assist it with the performance of its duties; and</w:t>
      </w:r>
    </w:p>
    <w:p>
      <w:pPr>
        <w:spacing w:after="0" w:line="3" w:lineRule="exact"/>
        <w:rPr>
          <w:rFonts w:ascii="Courier New" w:cs="Courier New" w:eastAsia="Courier New" w:hAnsi="Courier New"/>
          <w:sz w:val="15"/>
          <w:szCs w:val="15"/>
          <w:color w:val="auto"/>
        </w:rPr>
      </w:pPr>
    </w:p>
    <w:p>
      <w:pPr>
        <w:ind w:left="440" w:right="3019" w:firstLine="3"/>
        <w:spacing w:after="0" w:line="285" w:lineRule="auto"/>
        <w:tabs>
          <w:tab w:leader="none" w:pos="80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engage the services of an Investment Manager or Managers (as defined in ERISA ss.3(38)), each of whom will have full power and authority to manage, acquire or dispose (or direct the Trustee with respect to acquisition or disposition) of any Plan asset under its control.</w:t>
      </w:r>
    </w:p>
    <w:p>
      <w:pPr>
        <w:spacing w:after="0" w:line="60" w:lineRule="exact"/>
        <w:rPr>
          <w:sz w:val="20"/>
          <w:szCs w:val="20"/>
          <w:color w:val="auto"/>
        </w:rPr>
      </w:pPr>
    </w:p>
    <w:p>
      <w:pPr>
        <w:ind w:right="3279" w:firstLine="451"/>
        <w:spacing w:after="0" w:line="365" w:lineRule="auto"/>
        <w:rPr>
          <w:sz w:val="20"/>
          <w:szCs w:val="20"/>
          <w:color w:val="auto"/>
        </w:rPr>
      </w:pPr>
      <w:r>
        <w:rPr>
          <w:rFonts w:ascii="Courier New" w:cs="Courier New" w:eastAsia="Courier New" w:hAnsi="Courier New"/>
          <w:sz w:val="15"/>
          <w:szCs w:val="15"/>
          <w:color w:val="auto"/>
        </w:rPr>
        <w:t>The Administrative Committee must exercise all of its powers, duties and discretion under the Plan in a uniform and nondiscriminatory manner.</w:t>
      </w:r>
    </w:p>
    <w:p>
      <w:pPr>
        <w:spacing w:after="0" w:line="3"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5"/>
          <w:szCs w:val="15"/>
          <w:color w:val="auto"/>
        </w:rPr>
        <w:t>9.05 FUNDING POLICY. The Administrative Committee will review, not less often than annually, all pertinent Employee information and Plan data in order to establish the funding policy of the Plan and to determine the appropriate methods of carrying out the Plan's objectives. The Administrative Committee must communicate periodically, as it deems appropriate, to the Trustee and to any Plan Investment Manager the Plan's short-term and long-term financial needs so investment policy can be coordinated with Plan financial requirements.</w:t>
      </w:r>
    </w:p>
    <w:p>
      <w:pPr>
        <w:spacing w:after="0" w:line="79" w:lineRule="exact"/>
        <w:rPr>
          <w:sz w:val="20"/>
          <w:szCs w:val="20"/>
          <w:color w:val="auto"/>
        </w:rPr>
      </w:pPr>
    </w:p>
    <w:p>
      <w:pPr>
        <w:ind w:right="3099" w:firstLine="451"/>
        <w:spacing w:after="0" w:line="365" w:lineRule="auto"/>
        <w:rPr>
          <w:sz w:val="20"/>
          <w:szCs w:val="20"/>
          <w:color w:val="auto"/>
        </w:rPr>
      </w:pPr>
      <w:r>
        <w:rPr>
          <w:rFonts w:ascii="Courier New" w:cs="Courier New" w:eastAsia="Courier New" w:hAnsi="Courier New"/>
          <w:sz w:val="15"/>
          <w:szCs w:val="15"/>
          <w:color w:val="auto"/>
        </w:rPr>
        <w:t>9.06 MANNER OF ACTION. The decision of a majority of the members appointed and qualified controls.</w:t>
      </w:r>
    </w:p>
    <w:p>
      <w:pPr>
        <w:spacing w:after="0" w:line="3" w:lineRule="exact"/>
        <w:rPr>
          <w:sz w:val="20"/>
          <w:szCs w:val="20"/>
          <w:color w:val="auto"/>
        </w:rPr>
      </w:pPr>
    </w:p>
    <w:p>
      <w:pPr>
        <w:ind w:right="3019" w:firstLine="451"/>
        <w:spacing w:after="0" w:line="274" w:lineRule="auto"/>
        <w:rPr>
          <w:sz w:val="20"/>
          <w:szCs w:val="20"/>
          <w:color w:val="auto"/>
        </w:rPr>
      </w:pPr>
      <w:r>
        <w:rPr>
          <w:rFonts w:ascii="Courier New" w:cs="Courier New" w:eastAsia="Courier New" w:hAnsi="Courier New"/>
          <w:sz w:val="15"/>
          <w:szCs w:val="15"/>
          <w:color w:val="auto"/>
        </w:rPr>
        <w:t>9.07 AUTHORIZED REPRESENTATIVE. The Administrative Committee may authorize any one of its members, or its Secretary, to sign on its behalf any notices, directions, applications, certificates, consents, approvals, waivers, letters or other documents. The Administrative Committee must evidence this authority by an instrument signed by all members and filed with the Trustee.</w:t>
      </w:r>
    </w:p>
    <w:p>
      <w:pPr>
        <w:spacing w:after="0" w:line="70" w:lineRule="exact"/>
        <w:rPr>
          <w:sz w:val="20"/>
          <w:szCs w:val="20"/>
          <w:color w:val="auto"/>
        </w:rPr>
      </w:pPr>
    </w:p>
    <w:p>
      <w:pPr>
        <w:ind w:right="3099" w:firstLine="451"/>
        <w:spacing w:after="0" w:line="274" w:lineRule="auto"/>
        <w:rPr>
          <w:sz w:val="20"/>
          <w:szCs w:val="20"/>
          <w:color w:val="auto"/>
        </w:rPr>
      </w:pPr>
      <w:r>
        <w:rPr>
          <w:rFonts w:ascii="Courier New" w:cs="Courier New" w:eastAsia="Courier New" w:hAnsi="Courier New"/>
          <w:sz w:val="15"/>
          <w:szCs w:val="15"/>
          <w:color w:val="auto"/>
        </w:rPr>
        <w:t>9.08 INTERESTED MEMBER. No member of the Administrative Committee may decide or determine any matter concerning the distribution, nature or method of settlement of his own benefits under the Plan, except in exercising an election available to that member in his capacity as a Participant, unless the Plan Administrator is acting alone in the capacity of the Administrative Committee</w:t>
      </w:r>
    </w:p>
    <w:p>
      <w:pPr>
        <w:spacing w:after="0" w:line="70" w:lineRule="exact"/>
        <w:rPr>
          <w:sz w:val="20"/>
          <w:szCs w:val="20"/>
          <w:color w:val="auto"/>
        </w:rPr>
      </w:pPr>
    </w:p>
    <w:p>
      <w:pPr>
        <w:ind w:right="3019" w:firstLine="451"/>
        <w:spacing w:after="0" w:line="254" w:lineRule="auto"/>
        <w:rPr>
          <w:sz w:val="20"/>
          <w:szCs w:val="20"/>
          <w:color w:val="auto"/>
        </w:rPr>
      </w:pPr>
      <w:r>
        <w:rPr>
          <w:rFonts w:ascii="Courier New" w:cs="Courier New" w:eastAsia="Courier New" w:hAnsi="Courier New"/>
          <w:sz w:val="15"/>
          <w:szCs w:val="15"/>
          <w:color w:val="auto"/>
        </w:rPr>
        <w:t>9.09 INDIVIDUAL ACCOUNTS. The Administrative Committee will maintain, or direct the Trustee to maintain, a separate Account, or multiple separate Accounts, in the name of each Participant to reflect the Participant's Accrued Benefit under the Plan. The Administrative Committee must maintain one Account designated as the Employer Securities Account to reflect a Participant's interest in Employer Securities held by the Trust and another Account designated as the General Investments Account to reflect the Participant's interest in the Trust Fund attributable to assets other than Employer Securities. If a Participant reenters the Plan subsequent to his having a Forfeiture Break in Service (as defined in Section 5.07(B)), the Administrative Committee, or the Trustee, must maintain a separate Account for the Participant's pre-Forfeiture Break in Service Accrued Benefit and a separate Account for his post-Forfeiture Break in Service Accrued Benefit unless the Participant's entire Accrued Benefit under the Plan is 100% Nonforfeitable.</w:t>
      </w:r>
    </w:p>
    <w:p>
      <w:pPr>
        <w:spacing w:after="0" w:line="83"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5"/>
          <w:szCs w:val="15"/>
          <w:color w:val="auto"/>
        </w:rPr>
        <w:t>The Administrative Committee will make its allocations, or request the Trustee to make its allocations, to the Accounts of the Participants in accordance with the provisions of Section 9.11. The Administrative Committee may direct the Trustee to maintain a temporary segregated investment Account in the name of a Participant to prevent a distortion of income, gain or loss allocations under Section 9.11. The Administrative Committee shall maintain records of its activities.</w:t>
      </w:r>
    </w:p>
    <w:p>
      <w:pPr>
        <w:spacing w:after="0" w:line="79" w:lineRule="exact"/>
        <w:rPr>
          <w:sz w:val="20"/>
          <w:szCs w:val="20"/>
          <w:color w:val="auto"/>
        </w:rPr>
      </w:pPr>
    </w:p>
    <w:p>
      <w:pPr>
        <w:ind w:right="3099" w:firstLine="451"/>
        <w:spacing w:after="0" w:line="264" w:lineRule="auto"/>
        <w:rPr>
          <w:sz w:val="20"/>
          <w:szCs w:val="20"/>
          <w:color w:val="auto"/>
        </w:rPr>
      </w:pPr>
      <w:r>
        <w:rPr>
          <w:rFonts w:ascii="Courier New" w:cs="Courier New" w:eastAsia="Courier New" w:hAnsi="Courier New"/>
          <w:sz w:val="15"/>
          <w:szCs w:val="15"/>
          <w:color w:val="auto"/>
        </w:rPr>
        <w:t>9.10 VALUE OF PARTICIPANT'S ACCRUED BENEFIT. The value of each Participant's Accrued Benefit consists of that proportion of the net worth (at fair market value) of the Employer's Trust Fund which the net credit balance in his Account bears to the total net credit balance in the Accounts of all Participants. For purposes of a distribution under the Plan, the value of a Participant's Accrued Benefit is its value as of the valuation date immediately preceding the date of the distribution.</w:t>
      </w:r>
    </w:p>
    <w:p>
      <w:pPr>
        <w:spacing w:after="0" w:line="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9.11 ALLOCATION TO PARTICIPANTS' ACCOUNTS. A "valuation date" under this</w:t>
      </w:r>
    </w:p>
    <w:p>
      <w:pPr>
        <w:sectPr>
          <w:pgSz w:w="11900" w:h="16838" w:orient="portrait"/>
          <w:cols w:equalWidth="0" w:num="1">
            <w:col w:w="10219"/>
          </w:cols>
          <w:pgMar w:left="240" w:top="113" w:right="1440" w:bottom="0" w:gutter="0" w:footer="0" w:header="0"/>
        </w:sectPr>
      </w:pPr>
    </w:p>
    <w:bookmarkStart w:id="41" w:name="page42"/>
    <w:bookmarkEnd w:id="41"/>
    <w:p>
      <w:pPr>
        <w:spacing w:after="0" w:line="139" w:lineRule="exact"/>
        <w:rPr>
          <w:sz w:val="20"/>
          <w:szCs w:val="20"/>
          <w:color w:val="auto"/>
        </w:rPr>
      </w:pPr>
    </w:p>
    <w:p>
      <w:pPr>
        <w:ind w:left="8" w:right="3019"/>
        <w:spacing w:after="0" w:line="274" w:lineRule="auto"/>
        <w:rPr>
          <w:sz w:val="20"/>
          <w:szCs w:val="20"/>
          <w:color w:val="auto"/>
        </w:rPr>
      </w:pPr>
      <w:r>
        <w:rPr>
          <w:rFonts w:ascii="Courier New" w:cs="Courier New" w:eastAsia="Courier New" w:hAnsi="Courier New"/>
          <w:sz w:val="15"/>
          <w:szCs w:val="15"/>
          <w:color w:val="auto"/>
        </w:rPr>
        <w:t>Plan is each Accounting Date and each interim valuation date determined under Section 10.14. As of each valuation date the Administrative Committee must adjust General Investment Accounts to reflect net income, gain or loss since the last valuation date. The valuation period is the period beginning the day after the last valuation date and ending on the current valuation date.</w:t>
      </w:r>
    </w:p>
    <w:p>
      <w:pPr>
        <w:spacing w:after="0" w:line="70" w:lineRule="exact"/>
        <w:rPr>
          <w:sz w:val="20"/>
          <w:szCs w:val="20"/>
          <w:color w:val="auto"/>
        </w:rPr>
      </w:pPr>
    </w:p>
    <w:p>
      <w:pPr>
        <w:ind w:left="8" w:right="3099" w:hanging="8"/>
        <w:spacing w:after="0" w:line="254" w:lineRule="auto"/>
        <w:tabs>
          <w:tab w:leader="none" w:pos="36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 SECURITIES ACCOUNT. As of the Accounting Date of each Plan Year, the Administrative Committee first will reduce Employer Securities Accounts for any forfeitures arising under Section 5.09 and then will credit the Employer Securities Account maintained for each Participant with the Participant's allocable share of Employer Securities (including fractional shares) purchased and paid for by the Trust or contributed in kind to the Trust, with any forfeitures of Employer Securities and with any stock dividends on Employer Securities allocated to his Employer Securities Account. The Administrative Committee will base allocations to the Participants' Accounts on dollar values expressed as shares of Employer Securities or on the basis of actual shares where there is a single class of Employer Securities. In making a forfeiture reduction under this Section 9.11, the Administrative Committee, to the extent possible, first must forfeit from a Participant's General Investments Account before making a forfeiture from his Employer Securities Account.</w:t>
      </w:r>
    </w:p>
    <w:p>
      <w:pPr>
        <w:spacing w:after="0" w:line="8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INVESTMENTS ACCOUNT.</w:t>
      </w:r>
    </w:p>
    <w:p>
      <w:pPr>
        <w:spacing w:after="0" w:line="177" w:lineRule="exact"/>
        <w:rPr>
          <w:sz w:val="20"/>
          <w:szCs w:val="20"/>
          <w:color w:val="auto"/>
        </w:rPr>
      </w:pPr>
    </w:p>
    <w:p>
      <w:pPr>
        <w:ind w:left="8" w:right="3019" w:firstLine="451"/>
        <w:spacing w:after="0" w:line="252" w:lineRule="auto"/>
        <w:rPr>
          <w:sz w:val="20"/>
          <w:szCs w:val="20"/>
          <w:color w:val="auto"/>
        </w:rPr>
      </w:pPr>
      <w:r>
        <w:rPr>
          <w:rFonts w:ascii="Courier New" w:cs="Courier New" w:eastAsia="Courier New" w:hAnsi="Courier New"/>
          <w:sz w:val="15"/>
          <w:szCs w:val="15"/>
          <w:color w:val="auto"/>
        </w:rPr>
        <w:t>TRUST FUND ACCOUNTS. The allocation provisions of this paragraph apply to all Participant General Investment Accounts other than segregated investment Accounts. The Administrative Committee first will adjust the Participant General Investment Accounts, as those Accounts stood at the beginning of the current valuation period, by reducing the Accounts for any forfeitures arising under Section 5.09 or under Section 9.14, for amounts charged during the valuation period to the Accounts in accordance with Section 9.13 (relating to distributions) and for the amount of any General Investment Account which the Trustee has fully distributed since the immediately preceding valuation date. The Administrative Committee then, subject to the restoration allocation requirements of Section 9.14, will allocate the net income, gain or loss pro rata to the adjusted Participant General Investment Accounts. The allocable net income gain or loss is the net income (or net loss), including the increase or decrease in the fair market value of assets, since the last valuation date. In making its allocations under this Section 9.11[B], the Administrative Committee will exclude Employer Securities. The Administrative Committee will include as income any cash dividends on Employer Securities.</w:t>
      </w:r>
    </w:p>
    <w:p>
      <w:pPr>
        <w:spacing w:after="0" w:line="88" w:lineRule="exact"/>
        <w:rPr>
          <w:sz w:val="20"/>
          <w:szCs w:val="20"/>
          <w:color w:val="auto"/>
        </w:rPr>
      </w:pPr>
    </w:p>
    <w:p>
      <w:pPr>
        <w:ind w:left="8" w:right="3019" w:firstLine="451"/>
        <w:spacing w:after="0" w:line="268" w:lineRule="auto"/>
        <w:rPr>
          <w:sz w:val="20"/>
          <w:szCs w:val="20"/>
          <w:color w:val="auto"/>
        </w:rPr>
      </w:pPr>
      <w:r>
        <w:rPr>
          <w:rFonts w:ascii="Courier New" w:cs="Courier New" w:eastAsia="Courier New" w:hAnsi="Courier New"/>
          <w:sz w:val="15"/>
          <w:szCs w:val="15"/>
          <w:color w:val="auto"/>
        </w:rPr>
        <w:t>SEGREGATED INVESTMENT ACCOUNTS. A segregated investment Account receives all income it earns and bears all expense or loss it incurs. As of the valuation date, the Administrative Committee must reduce a segregated Account for any forfeiture arising under Section 5.09 after the Administrative Committee has made all other allocations, changes or adjustments to the Account for the Plan Year.</w:t>
      </w:r>
    </w:p>
    <w:p>
      <w:pPr>
        <w:spacing w:after="0" w:line="75" w:lineRule="exact"/>
        <w:rPr>
          <w:sz w:val="20"/>
          <w:szCs w:val="20"/>
          <w:color w:val="auto"/>
        </w:rPr>
      </w:pPr>
    </w:p>
    <w:p>
      <w:pPr>
        <w:ind w:left="8" w:right="3099" w:firstLine="451"/>
        <w:spacing w:after="0" w:line="268" w:lineRule="auto"/>
        <w:rPr>
          <w:sz w:val="20"/>
          <w:szCs w:val="20"/>
          <w:color w:val="auto"/>
        </w:rPr>
      </w:pPr>
      <w:r>
        <w:rPr>
          <w:rFonts w:ascii="Courier New" w:cs="Courier New" w:eastAsia="Courier New" w:hAnsi="Courier New"/>
          <w:sz w:val="15"/>
          <w:szCs w:val="15"/>
          <w:color w:val="auto"/>
        </w:rPr>
        <w:t>ADDITIONAL RULES. An excess Amount or suspense account described in Part 2 of Article III does not share in the allocation of net income, gain or loss described in this Section 9.11[B]. This Section 9.11[B] applies solely to the allocation of net income, gain or loss of the Trust. The Administrative Committee will allocate the Employer contributions and Participant forfeitures, if any, in accordance with Article III.</w:t>
      </w:r>
    </w:p>
    <w:p>
      <w:pPr>
        <w:spacing w:after="0" w:line="75"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5"/>
          <w:szCs w:val="15"/>
          <w:color w:val="auto"/>
        </w:rPr>
        <w:t>9.12 INDIVIDUAL STATEMENT. As soon as practicable after the Accounting Date of each Plan Year, but within the time prescribed by ERISA and the regulations under ERISA, the Plan Administrator will deliver to each Participant (and to each Beneficiary) a statement reflecting the condition of his Accrued Benefit in the Trust as of that date and such other information ERISA requires be furnished the Participant or Beneficiary. No Participant, except a member of the Administrative Committee, has the right to inspect the records reflecting the Account of any other Participant.</w:t>
      </w:r>
    </w:p>
    <w:p>
      <w:pPr>
        <w:spacing w:after="0" w:line="76" w:lineRule="exact"/>
        <w:rPr>
          <w:sz w:val="20"/>
          <w:szCs w:val="20"/>
          <w:color w:val="auto"/>
        </w:rPr>
      </w:pPr>
    </w:p>
    <w:p>
      <w:pPr>
        <w:ind w:left="8" w:right="3099" w:firstLine="451"/>
        <w:spacing w:after="0" w:line="274" w:lineRule="auto"/>
        <w:rPr>
          <w:sz w:val="20"/>
          <w:szCs w:val="20"/>
          <w:color w:val="auto"/>
        </w:rPr>
      </w:pPr>
      <w:r>
        <w:rPr>
          <w:rFonts w:ascii="Courier New" w:cs="Courier New" w:eastAsia="Courier New" w:hAnsi="Courier New"/>
          <w:sz w:val="15"/>
          <w:szCs w:val="15"/>
          <w:color w:val="auto"/>
        </w:rPr>
        <w:t>9.13 ACCOUNT CHARGED. The Administrative Committee will charge a Participant's Account for all distributions made from that Account to the Participant, or to his Beneficiary or to an alternate payee. The Administrative Committee also will charge a Participant's Account for any administrative expenses incurred by the Plan directly related to that Account.</w:t>
      </w:r>
    </w:p>
    <w:p>
      <w:pPr>
        <w:spacing w:after="0" w:line="70" w:lineRule="exact"/>
        <w:rPr>
          <w:sz w:val="20"/>
          <w:szCs w:val="20"/>
          <w:color w:val="auto"/>
        </w:rPr>
      </w:pPr>
    </w:p>
    <w:p>
      <w:pPr>
        <w:ind w:left="8" w:right="3019" w:firstLine="451"/>
        <w:spacing w:after="0" w:line="250" w:lineRule="auto"/>
        <w:rPr>
          <w:sz w:val="20"/>
          <w:szCs w:val="20"/>
          <w:color w:val="auto"/>
        </w:rPr>
      </w:pPr>
      <w:r>
        <w:rPr>
          <w:rFonts w:ascii="Courier New" w:cs="Courier New" w:eastAsia="Courier New" w:hAnsi="Courier New"/>
          <w:sz w:val="15"/>
          <w:szCs w:val="15"/>
          <w:color w:val="auto"/>
        </w:rPr>
        <w:t>9.14 UNCLAIMED ACCOUNT PROCEDURE. The Plan does not require either the Trustee or the Administrative Committee to search for, or to ascertain the whereabouts of, any Participant or Beneficiary. At the time the Participant's or Beneficiary's benefit becomes distributable under Article VI, the Administrative Committee, by certified or registered mail addressed to his last known address of record with the Administrative Committee or the Employer, must notify any Participant, or Beneficiary, that he is entitled to a distribution under this Plan. The notice must quote the provisions of this Section 9.14 and otherwise must comply with the notice requirements of Article VI. If the Participant, or Beneficiary, fails to claim his distributive share or make his whereabouts known in writing to the Administrative Committee within six months from the date of mailing of the notice, the Administrative Committee will treat the Participant's or Beneficiary's unclaimed payable Accrued Benefit as forfeited and will reallocate the unclaimed payable Accrued Benefit in accordance with Section 3.05. A forfeiture under this paragraph will occur at the end of the notice period or, if later, the earliest date applicable Treasury regulations would permit the forfeiture. Pending forfeiture, the Administrative Committee, following the expiration of the notice period, may direct the Trustee to segregate the Nonforfeitable Accrued Benefit in a segregated Account and to invest that segregated Account in Federally insured interest bearing savings accounts or time deposits (or in a combination of both), or in other fixed income investments.</w:t>
      </w:r>
    </w:p>
    <w:p>
      <w:pPr>
        <w:spacing w:after="0" w:line="94" w:lineRule="exact"/>
        <w:rPr>
          <w:sz w:val="20"/>
          <w:szCs w:val="20"/>
          <w:color w:val="auto"/>
        </w:rPr>
      </w:pPr>
    </w:p>
    <w:p>
      <w:pPr>
        <w:ind w:left="8" w:right="3019" w:firstLine="451"/>
        <w:spacing w:after="0" w:line="408" w:lineRule="auto"/>
        <w:rPr>
          <w:sz w:val="20"/>
          <w:szCs w:val="20"/>
          <w:color w:val="auto"/>
        </w:rPr>
      </w:pPr>
      <w:r>
        <w:rPr>
          <w:rFonts w:ascii="Courier New" w:cs="Courier New" w:eastAsia="Courier New" w:hAnsi="Courier New"/>
          <w:sz w:val="14"/>
          <w:szCs w:val="14"/>
          <w:color w:val="auto"/>
        </w:rPr>
        <w:t>If a Participant or Beneficiary who has incurred a forfeiture of his Accrued Benefit under the provisions of the first paragraph of this Section 9.14</w:t>
      </w:r>
    </w:p>
    <w:p>
      <w:pPr>
        <w:sectPr>
          <w:pgSz w:w="11900" w:h="16978" w:orient="portrait"/>
          <w:cols w:equalWidth="0" w:num="1">
            <w:col w:w="10227"/>
          </w:cols>
          <w:pgMar w:left="232" w:top="113" w:right="1440" w:bottom="0" w:gutter="0" w:footer="0" w:header="0"/>
        </w:sectPr>
      </w:pPr>
    </w:p>
    <w:bookmarkStart w:id="42" w:name="page43"/>
    <w:bookmarkEnd w:id="42"/>
    <w:p>
      <w:pPr>
        <w:spacing w:after="0" w:line="41"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makes a claim, at any time, for his forfeited Accrued Benefit, the Administrative Committee must restore the Participant's or Beneficiary's forfeited Accrued Benefit to the same dollar amount as the dollar amount of the Accrued Benefit forfeited, unadjusted for any gains or losses occurring subsequent to the date of the forfeiture. The Administrative Committee will make the restoration during the Plan Year in which the Participant or Beneficiary makes the claim, first from the amount, if any, of Participant forfeitures the Administrative Committee otherwise would allocate for the Plan Year, then from the amount, if any, of the Trust Fund net income or gain for the Plan Year and then from the amount, or additional amount, the Employer contributes to enable the Administrative Committee to make the required restoration. The Administrative Committee must direct the Trustee to distribute the Participant's or Beneficiary's restored Accrued Benefit to him not later than 60 days after the close of the Plan Year in which the Administrative Committee restores the forfeited Accrued Benefit. The forfeiture provisions of this Section 9.14 apply solely to the Participant's or to the Beneficiary's Accrued Benefit derived from Employer contributions.</w:t>
      </w:r>
    </w:p>
    <w:p>
      <w:pPr>
        <w:spacing w:after="0" w:line="88"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 * * * * * * * * * *</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ARTICLE X</w:t>
      </w:r>
    </w:p>
    <w:p>
      <w:pPr>
        <w:spacing w:after="0" w:line="31"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TRUSTEE, POWERS AND DUTIES</w:t>
      </w:r>
    </w:p>
    <w:p>
      <w:pPr>
        <w:spacing w:after="0" w:line="149" w:lineRule="exact"/>
        <w:rPr>
          <w:sz w:val="20"/>
          <w:szCs w:val="20"/>
          <w:color w:val="auto"/>
        </w:rPr>
      </w:pPr>
    </w:p>
    <w:p>
      <w:pPr>
        <w:ind w:right="3019" w:firstLine="451"/>
        <w:spacing w:after="0" w:line="285" w:lineRule="auto"/>
        <w:rPr>
          <w:sz w:val="20"/>
          <w:szCs w:val="20"/>
          <w:color w:val="auto"/>
        </w:rPr>
      </w:pPr>
      <w:r>
        <w:rPr>
          <w:rFonts w:ascii="Courier New" w:cs="Courier New" w:eastAsia="Courier New" w:hAnsi="Courier New"/>
          <w:sz w:val="15"/>
          <w:szCs w:val="15"/>
          <w:color w:val="auto"/>
        </w:rPr>
        <w:t>10.01 ACCEPTANCE. The Trustee accepts the Trust created under the Plan and agrees to perform the obligations imposed. The Trustee must provide bond for the faithful performance of its duties under the Trust to the extent required by ERISA.</w:t>
      </w:r>
    </w:p>
    <w:p>
      <w:pPr>
        <w:spacing w:after="0" w:line="60" w:lineRule="exact"/>
        <w:rPr>
          <w:sz w:val="20"/>
          <w:szCs w:val="20"/>
          <w:color w:val="auto"/>
        </w:rPr>
      </w:pPr>
    </w:p>
    <w:p>
      <w:pPr>
        <w:ind w:right="3099" w:firstLine="451"/>
        <w:spacing w:after="0" w:line="268" w:lineRule="auto"/>
        <w:rPr>
          <w:sz w:val="20"/>
          <w:szCs w:val="20"/>
          <w:color w:val="auto"/>
        </w:rPr>
      </w:pPr>
      <w:r>
        <w:rPr>
          <w:rFonts w:ascii="Courier New" w:cs="Courier New" w:eastAsia="Courier New" w:hAnsi="Courier New"/>
          <w:sz w:val="15"/>
          <w:szCs w:val="15"/>
          <w:color w:val="auto"/>
        </w:rPr>
        <w:t>10.02 RECEIPT OF CONTRIBUTIONS. The Trustee is accountable to the Employer for the funds contributed to it by the Employer, but does not have any duty to see that the contributions received comply with the provisions of the Plan. The Trustee is not obliged to collect any contributions from the Employer, nor is obliged to see that funds deposited with it are deposited according to the provisions of the Plan.</w:t>
      </w:r>
    </w:p>
    <w:p>
      <w:pPr>
        <w:spacing w:after="0" w:line="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10.03 FULL INVESTMENT POWERS.</w:t>
      </w:r>
    </w:p>
    <w:p>
      <w:pPr>
        <w:spacing w:after="0" w:line="177" w:lineRule="exact"/>
        <w:rPr>
          <w:sz w:val="20"/>
          <w:szCs w:val="20"/>
          <w:color w:val="auto"/>
        </w:rPr>
      </w:pPr>
    </w:p>
    <w:p>
      <w:pPr>
        <w:ind w:right="3019"/>
        <w:spacing w:after="0" w:line="262" w:lineRule="auto"/>
        <w:rPr>
          <w:sz w:val="20"/>
          <w:szCs w:val="20"/>
          <w:color w:val="auto"/>
        </w:rPr>
      </w:pPr>
      <w:r>
        <w:rPr>
          <w:rFonts w:ascii="Courier New" w:cs="Courier New" w:eastAsia="Courier New" w:hAnsi="Courier New"/>
          <w:sz w:val="15"/>
          <w:szCs w:val="15"/>
          <w:color w:val="auto"/>
        </w:rPr>
        <w:t>TRUSTEE POWERS. The Trustee has full discretion and authority with regard to the investment of the Trust Fund, except with respect to a Plan asset under the control or direction of a properly appointed Investment Manager or with respect to a Plan asset subject to Employer, Participant or Administrative Committee direction of investment. The Trustee must coordinate its investment policy with Plan financial needs as communicated to it by the Administrative Committee. The Trustee is authorized and empowered, but not by way of limitation, with the following powers, rights and duties:</w:t>
      </w:r>
    </w:p>
    <w:p>
      <w:pPr>
        <w:spacing w:after="0" w:line="76" w:lineRule="exact"/>
        <w:rPr>
          <w:sz w:val="20"/>
          <w:szCs w:val="20"/>
          <w:color w:val="auto"/>
        </w:rPr>
      </w:pPr>
    </w:p>
    <w:p>
      <w:pPr>
        <w:ind w:left="440" w:right="3019" w:firstLine="3"/>
        <w:spacing w:after="0" w:line="251" w:lineRule="auto"/>
        <w:tabs>
          <w:tab w:leader="none" w:pos="801"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invest the Trust Fund primarily in Employer Securities ("primarily" meaning the authority to hold and to acquire not more than 100% of the Trust Fund in Employer Securities) and to invest any part or all of the Trust Fund in any common or preferred stocks, open-end or closed-end mutual funds, put and call options traded on a national exchange, United States retirement plan bonds, corporate bonds, debentures, convertible debentures, commercial paper, U.S. Treasury bills, U.S. Treasury notes and other direct or indirect obligations of the United States Government or its agencies, improved or unimproved real estate situated in the United States, limited partnerships, insurance contracts of any type, mortgages, notes or other property of any kind, real or personal and to buy or sell options on common stock on a nationally recognized exchange with or without holding the underlying common stock, and to make any other investments the Trustee deems appropriate, as a prudent man would do under like circumstances with due regard for the purposes of this Plan. Any investment made or retained by the Trustee in good faith is proper but must be of a kind (with the exception of Employer Securities) constituting a diversification considered by law suitable for trust investments.</w:t>
      </w:r>
    </w:p>
    <w:p>
      <w:pPr>
        <w:spacing w:after="0" w:line="95" w:lineRule="exact"/>
        <w:rPr>
          <w:rFonts w:ascii="Courier New" w:cs="Courier New" w:eastAsia="Courier New" w:hAnsi="Courier New"/>
          <w:sz w:val="15"/>
          <w:szCs w:val="15"/>
          <w:color w:val="auto"/>
        </w:rPr>
      </w:pPr>
    </w:p>
    <w:p>
      <w:pPr>
        <w:ind w:left="440" w:right="3019" w:firstLine="3"/>
        <w:spacing w:after="0" w:line="305" w:lineRule="auto"/>
        <w:tabs>
          <w:tab w:leader="none" w:pos="801"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retain in cash so much of the Trust Fund as it may deem advisable to satisfy liquidity needs of the Plan and to deposit any cash held in the Trust Fund in a bank account at reasonable interest.</w:t>
      </w:r>
    </w:p>
    <w:p>
      <w:pPr>
        <w:spacing w:after="0" w:line="45" w:lineRule="exact"/>
        <w:rPr>
          <w:rFonts w:ascii="Courier New" w:cs="Courier New" w:eastAsia="Courier New" w:hAnsi="Courier New"/>
          <w:sz w:val="15"/>
          <w:szCs w:val="15"/>
          <w:color w:val="auto"/>
        </w:rPr>
      </w:pPr>
    </w:p>
    <w:p>
      <w:pPr>
        <w:ind w:left="440" w:right="3019" w:firstLine="3"/>
        <w:spacing w:after="0" w:line="258" w:lineRule="auto"/>
        <w:tabs>
          <w:tab w:leader="none" w:pos="801"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invest, if the Trustee is a bank or similar financial institution supervised by the United States or by a State, in any type of deposit of the Trustee (or of a bank related to the Trustee within the meaning of Code ss.414(b)) at a reasonable rate of interest or in a common trust fund (the provisions of which govern the investment of such assets and which the Plan incorporates by this reference) as described in Code ss.584 which the Trustee (or its affiliate, as defined in Code ss.1504) maintains exclusively for the collective investment of money contributed by the bank (or the affiliate) in its capacity as trustee and which conforms to the rules of the Comptroller of the Currency.</w:t>
      </w:r>
    </w:p>
    <w:p>
      <w:pPr>
        <w:spacing w:after="0" w:line="80" w:lineRule="exact"/>
        <w:rPr>
          <w:rFonts w:ascii="Courier New" w:cs="Courier New" w:eastAsia="Courier New" w:hAnsi="Courier New"/>
          <w:sz w:val="15"/>
          <w:szCs w:val="15"/>
          <w:color w:val="auto"/>
        </w:rPr>
      </w:pPr>
    </w:p>
    <w:p>
      <w:pPr>
        <w:ind w:left="440" w:right="3199" w:firstLine="3"/>
        <w:spacing w:after="0" w:line="268" w:lineRule="auto"/>
        <w:tabs>
          <w:tab w:leader="none" w:pos="801"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manage, sell, contract to sell, grant options to purchase, convey, exchange, transfer, abandon, improve, repair, insure, lease for any term even though commencing in the future or extending beyond the term of the Trust, and otherwise deal with all property, real or personal, in such manner, for such considerations and on such terms and conditions as the Trustee decides.</w:t>
      </w:r>
    </w:p>
    <w:p>
      <w:pPr>
        <w:spacing w:after="0" w:line="75" w:lineRule="exact"/>
        <w:rPr>
          <w:rFonts w:ascii="Courier New" w:cs="Courier New" w:eastAsia="Courier New" w:hAnsi="Courier New"/>
          <w:sz w:val="15"/>
          <w:szCs w:val="15"/>
          <w:color w:val="auto"/>
        </w:rPr>
      </w:pPr>
    </w:p>
    <w:p>
      <w:pPr>
        <w:ind w:left="440" w:right="3019" w:firstLine="3"/>
        <w:spacing w:after="0" w:line="264" w:lineRule="auto"/>
        <w:tabs>
          <w:tab w:leader="none" w:pos="801"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credit and distribute the Trust as directed by the Administrative Committee. The Trustee is not obliged to inquire as to whether any payee or distributee is entitled to any payment or whether the distribution is proper or within the terms of the Plan, or as to the manner of making any payment or distribution. The Trustee is accountable only to the Administrative Committee for any payment or distribution made by it in good faith on the order or direction of the Administrative Committee.</w:t>
      </w:r>
    </w:p>
    <w:p>
      <w:pPr>
        <w:sectPr>
          <w:pgSz w:w="11900" w:h="16880" w:orient="portrait"/>
          <w:cols w:equalWidth="0" w:num="1">
            <w:col w:w="10219"/>
          </w:cols>
          <w:pgMar w:left="240" w:top="113" w:right="1440" w:bottom="0" w:gutter="0" w:footer="0" w:header="0"/>
        </w:sectPr>
      </w:pPr>
    </w:p>
    <w:bookmarkStart w:id="43" w:name="page44"/>
    <w:bookmarkEnd w:id="43"/>
    <w:p>
      <w:pPr>
        <w:ind w:left="440" w:right="3099" w:firstLine="3"/>
        <w:spacing w:after="0" w:line="365" w:lineRule="auto"/>
        <w:tabs>
          <w:tab w:leader="none" w:pos="801"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borrow money, to assume indebtedness, extend mortgages and encumber by mortgage or pledge.</w:t>
      </w:r>
    </w:p>
    <w:p>
      <w:pPr>
        <w:spacing w:after="0" w:line="3" w:lineRule="exact"/>
        <w:rPr>
          <w:rFonts w:ascii="Courier New" w:cs="Courier New" w:eastAsia="Courier New" w:hAnsi="Courier New"/>
          <w:sz w:val="15"/>
          <w:szCs w:val="15"/>
          <w:color w:val="auto"/>
        </w:rPr>
      </w:pPr>
    </w:p>
    <w:p>
      <w:pPr>
        <w:ind w:left="440" w:right="3019" w:firstLine="3"/>
        <w:spacing w:after="0" w:line="365" w:lineRule="auto"/>
        <w:tabs>
          <w:tab w:leader="none" w:pos="801"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compromise, contest, arbitrate or abandon claims and demands, in its discretion.</w:t>
      </w:r>
    </w:p>
    <w:p>
      <w:pPr>
        <w:spacing w:after="0" w:line="3"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vote all voting stock held by the Trust Fund;</w:t>
      </w:r>
    </w:p>
    <w:p>
      <w:pPr>
        <w:spacing w:after="0" w:line="176" w:lineRule="exact"/>
        <w:rPr>
          <w:rFonts w:ascii="Courier New" w:cs="Courier New" w:eastAsia="Courier New" w:hAnsi="Courier New"/>
          <w:sz w:val="15"/>
          <w:szCs w:val="15"/>
          <w:color w:val="auto"/>
        </w:rPr>
      </w:pPr>
    </w:p>
    <w:p>
      <w:pPr>
        <w:ind w:left="440" w:right="3099" w:firstLine="3"/>
        <w:spacing w:after="0" w:line="285" w:lineRule="auto"/>
        <w:tabs>
          <w:tab w:leader="none" w:pos="801"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lease for oil, gas and other mineral purposes and to create mineral severances by grant or reservation; to pool or unitize interests in oil, gas and other minerals; and to enter into operating agreements and to execute division and transfer orders.</w:t>
      </w:r>
    </w:p>
    <w:p>
      <w:pPr>
        <w:spacing w:after="0" w:line="59" w:lineRule="exact"/>
        <w:rPr>
          <w:rFonts w:ascii="Courier New" w:cs="Courier New" w:eastAsia="Courier New" w:hAnsi="Courier New"/>
          <w:sz w:val="15"/>
          <w:szCs w:val="15"/>
          <w:color w:val="auto"/>
        </w:rPr>
      </w:pPr>
    </w:p>
    <w:p>
      <w:pPr>
        <w:jc w:val="both"/>
        <w:ind w:left="440" w:right="3099" w:firstLine="3"/>
        <w:spacing w:after="0" w:line="305" w:lineRule="auto"/>
        <w:tabs>
          <w:tab w:leader="none" w:pos="801"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hold any securities or other property in the name of the Trustee or its nominee, with depositories or agent depositories or in another form as it may deem best, with or without disclosing the trust relationship.</w:t>
      </w:r>
    </w:p>
    <w:p>
      <w:pPr>
        <w:spacing w:after="0" w:line="45"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perform any and all other acts in its judgment necessary or</w:t>
      </w:r>
    </w:p>
    <w:p>
      <w:pPr>
        <w:spacing w:after="0" w:line="31" w:lineRule="exact"/>
        <w:rPr>
          <w:rFonts w:ascii="Courier New" w:cs="Courier New" w:eastAsia="Courier New" w:hAnsi="Courier New"/>
          <w:sz w:val="15"/>
          <w:szCs w:val="15"/>
          <w:color w:val="auto"/>
        </w:rPr>
      </w:pPr>
    </w:p>
    <w:p>
      <w:pPr>
        <w:ind w:left="440" w:right="345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appropriate for the proper and advantageous management, investment and distribution of the Trust.</w:t>
      </w:r>
    </w:p>
    <w:p>
      <w:pPr>
        <w:spacing w:after="0" w:line="32" w:lineRule="exact"/>
        <w:rPr>
          <w:sz w:val="20"/>
          <w:szCs w:val="20"/>
          <w:color w:val="auto"/>
        </w:rPr>
      </w:pPr>
    </w:p>
    <w:p>
      <w:pPr>
        <w:ind w:left="440" w:right="3279" w:firstLine="3"/>
        <w:spacing w:after="0" w:line="285" w:lineRule="auto"/>
        <w:tabs>
          <w:tab w:leader="none" w:pos="801"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retain any funds or property subject to any dispute without liability for the payment of interest, and to decline to make payment or delivery of the funds or property until final adjudication is made by a court of competent jurisdiction.</w:t>
      </w:r>
    </w:p>
    <w:p>
      <w:pPr>
        <w:spacing w:after="0" w:line="60" w:lineRule="exact"/>
        <w:rPr>
          <w:sz w:val="20"/>
          <w:szCs w:val="20"/>
          <w:color w:val="auto"/>
        </w:rPr>
      </w:pPr>
    </w:p>
    <w:p>
      <w:pPr>
        <w:ind w:left="800" w:hanging="357"/>
        <w:spacing w:after="0"/>
        <w:tabs>
          <w:tab w:leader="none" w:pos="8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all tax returns required of the Trustee.</w:t>
      </w:r>
    </w:p>
    <w:p>
      <w:pPr>
        <w:spacing w:after="0" w:line="176" w:lineRule="exact"/>
        <w:rPr>
          <w:rFonts w:ascii="Courier New" w:cs="Courier New" w:eastAsia="Courier New" w:hAnsi="Courier New"/>
          <w:sz w:val="15"/>
          <w:szCs w:val="15"/>
          <w:color w:val="auto"/>
        </w:rPr>
      </w:pPr>
    </w:p>
    <w:p>
      <w:pPr>
        <w:ind w:left="440" w:right="3019" w:firstLine="3"/>
        <w:spacing w:after="0" w:line="255" w:lineRule="auto"/>
        <w:tabs>
          <w:tab w:leader="none" w:pos="801"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furnish to the Employer, the Plan Administrator and the Administrative Committee an annual statement of account showing the condition of the Trust Fund and all investments, receipts, disbursements and other transactions effected by the Trustee during the Plan Year covered by the statement and also stating the assets of the Trust held at the end of the Plan Year, which accounts are conclusive on all persons, including the Employer, the Plan Administrator and the Administrative Committee, except as to any act or transaction concerning which the Employer, the Plan Administrator or the Administrative Committee files with the Trustee written exceptions or objections within 90 days after the receipt of the accounts or for which ERISA authorizes a longer period within which to object.</w:t>
      </w:r>
    </w:p>
    <w:p>
      <w:pPr>
        <w:spacing w:after="0" w:line="87"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begin, maintain or defend any litigation necessary in connection</w:t>
      </w:r>
    </w:p>
    <w:p>
      <w:pPr>
        <w:spacing w:after="0" w:line="31" w:lineRule="exact"/>
        <w:rPr>
          <w:rFonts w:ascii="Courier New" w:cs="Courier New" w:eastAsia="Courier New" w:hAnsi="Courier New"/>
          <w:sz w:val="15"/>
          <w:szCs w:val="15"/>
          <w:color w:val="auto"/>
        </w:rPr>
      </w:pPr>
    </w:p>
    <w:p>
      <w:pPr>
        <w:ind w:left="440" w:right="3019"/>
        <w:spacing w:after="0" w:line="32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with the administration of the Plan, except that the Trustee is not obliged or required to do so unless indemnified to its satisfaction.</w:t>
      </w:r>
    </w:p>
    <w:p>
      <w:pPr>
        <w:spacing w:after="0" w:line="32" w:lineRule="exact"/>
        <w:rPr>
          <w:sz w:val="20"/>
          <w:szCs w:val="20"/>
          <w:color w:val="auto"/>
        </w:rPr>
      </w:pPr>
    </w:p>
    <w:p>
      <w:pPr>
        <w:ind w:right="3019" w:firstLine="451"/>
        <w:spacing w:after="0" w:line="311" w:lineRule="auto"/>
        <w:rPr>
          <w:sz w:val="20"/>
          <w:szCs w:val="20"/>
          <w:color w:val="auto"/>
        </w:rPr>
      </w:pPr>
      <w:r>
        <w:rPr>
          <w:rFonts w:ascii="Courier New" w:cs="Courier New" w:eastAsia="Courier New" w:hAnsi="Courier New"/>
          <w:sz w:val="14"/>
          <w:szCs w:val="14"/>
          <w:color w:val="auto"/>
        </w:rPr>
        <w:t>The Trustee will allocate any insurance proceeds received from the purchase of insurance contracts under paragraph (a) to Participants' Accounts in the same manner as the allocation under Section 304(A) of the Employer contribution for the Plan Year in which the death of the insured Participant occurs.</w:t>
      </w:r>
    </w:p>
    <w:p>
      <w:pPr>
        <w:spacing w:after="0" w:line="45" w:lineRule="exact"/>
        <w:rPr>
          <w:sz w:val="20"/>
          <w:szCs w:val="20"/>
          <w:color w:val="auto"/>
        </w:rPr>
      </w:pPr>
    </w:p>
    <w:p>
      <w:pPr>
        <w:ind w:right="3099" w:firstLine="451"/>
        <w:spacing w:after="0" w:line="262" w:lineRule="auto"/>
        <w:rPr>
          <w:sz w:val="20"/>
          <w:szCs w:val="20"/>
          <w:color w:val="auto"/>
        </w:rPr>
      </w:pPr>
      <w:r>
        <w:rPr>
          <w:rFonts w:ascii="Courier New" w:cs="Courier New" w:eastAsia="Courier New" w:hAnsi="Courier New"/>
          <w:sz w:val="15"/>
          <w:szCs w:val="15"/>
          <w:color w:val="auto"/>
        </w:rPr>
        <w:t>10.04 RECORDS AND STATEMENTS. The records of the Trustee pertaining to the Plan must be open to the inspection of the Plan Administrator, Administrative Committee and the Employer at all reasonable times and may be audited from time to time by any person or persons as the Employer, Plan Administrator or Administrative Committee may specify in writing. The Trustee must furnish the Plan Administrator or Administrative Committee with whatever information relating to the Trust Fund the Plan Administrator or Administrative Committee considers necessary.</w:t>
      </w:r>
    </w:p>
    <w:p>
      <w:pPr>
        <w:spacing w:after="0" w:line="76" w:lineRule="exact"/>
        <w:rPr>
          <w:sz w:val="20"/>
          <w:szCs w:val="20"/>
          <w:color w:val="auto"/>
        </w:rPr>
      </w:pPr>
    </w:p>
    <w:p>
      <w:pPr>
        <w:ind w:right="3019" w:firstLine="451"/>
        <w:spacing w:after="0" w:line="259" w:lineRule="auto"/>
        <w:rPr>
          <w:sz w:val="20"/>
          <w:szCs w:val="20"/>
          <w:color w:val="auto"/>
        </w:rPr>
      </w:pPr>
      <w:r>
        <w:rPr>
          <w:rFonts w:ascii="Courier New" w:cs="Courier New" w:eastAsia="Courier New" w:hAnsi="Courier New"/>
          <w:sz w:val="15"/>
          <w:szCs w:val="15"/>
          <w:color w:val="auto"/>
        </w:rPr>
        <w:t>10.05 FEES AND EXPENSES FROM FUND. The Trustee will receive reasonable annual compensation as may be agreed upon from time to time between the Employer and the Trustee. The Trustee will pay all fees and expenses reasonably incurred by it in its administration of the Plan from the Trust Fund, unless the Employer pays the fees and expenses. The Administrative Committee will not treat any fee or expense paid, directly or indirectly, by the Employer as an Employer contribution, provided the fee or expense relates to the ordinary and necessary administration of the Fund. No person who is receiving full pay from the Employer may receive compensation for services as Trustee.</w:t>
      </w:r>
    </w:p>
    <w:p>
      <w:pPr>
        <w:spacing w:after="0" w:line="83"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5"/>
          <w:szCs w:val="15"/>
          <w:color w:val="auto"/>
        </w:rPr>
        <w:t>10.06 PARTIES TO LITIGATION. Except as otherwise provided by ERISA, only the Employer, the Plan Administrator, the Administrative Committee, and the Trustee are necessary parties to any court proceeding involving the Trustee or the Trust Fund. No Participant, or Beneficiary, is entitled to any notice of process unless required by ERISA. Any final judgment entered in any proceeding will be conclusive upon the Employer, the Plan Administrator, the Administrative Committee, the Trustee, Participants and Beneficiaries.</w:t>
      </w:r>
    </w:p>
    <w:p>
      <w:pPr>
        <w:spacing w:after="0" w:line="79"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5"/>
          <w:szCs w:val="15"/>
          <w:color w:val="auto"/>
        </w:rPr>
        <w:t>10.07 PROFESSIONAL AGENTS. The Trustee may employ and pay from the Trust Fund reasonable compensation to agents, attorneys, accountants and other persons to advise the Trustee as in its opinion may be necessary. The Trustee may delegate to any agent, attorney, accountant or other person selected by it any non-Trustee power or duty vested in it by the Plan, and the Trustee may act or refrain from acting on the advice or opinion of any agent, attorney, accountant or other person so selected.</w:t>
      </w:r>
    </w:p>
    <w:p>
      <w:pPr>
        <w:spacing w:after="0" w:line="79"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5"/>
          <w:szCs w:val="15"/>
          <w:color w:val="auto"/>
        </w:rPr>
        <w:t>10.08 DISTRIBUTION OF TRUST FUND. Subject to Section 13.06, the Trustee will make all distributions of benefits under the Plan in Employer Securities valued at fair market value at the time of distribution. The Trustee will pay in cash any fractional security share to which a Participant or his Beneficiary is entitled. In the event the Trustee is to make a distribution in shares of Employer Securities, the Trustee may apply any balance in a Participant's General Investments Account to provide whole shares of Employer Securities for distribution at the then fair market value.</w:t>
      </w:r>
    </w:p>
    <w:p>
      <w:pPr>
        <w:sectPr>
          <w:pgSz w:w="11900" w:h="16838" w:orient="portrait"/>
          <w:cols w:equalWidth="0" w:num="1">
            <w:col w:w="10219"/>
          </w:cols>
          <w:pgMar w:left="240" w:top="287" w:right="1440" w:bottom="0" w:gutter="0" w:footer="0" w:header="0"/>
        </w:sectPr>
      </w:pPr>
    </w:p>
    <w:bookmarkStart w:id="44" w:name="page45"/>
    <w:bookmarkEnd w:id="44"/>
    <w:p>
      <w:pPr>
        <w:spacing w:after="0" w:line="117" w:lineRule="exact"/>
        <w:rPr>
          <w:sz w:val="20"/>
          <w:szCs w:val="20"/>
          <w:color w:val="auto"/>
        </w:rPr>
      </w:pPr>
    </w:p>
    <w:p>
      <w:pPr>
        <w:ind w:right="3199" w:firstLine="451"/>
        <w:spacing w:after="0" w:line="285" w:lineRule="auto"/>
        <w:rPr>
          <w:sz w:val="20"/>
          <w:szCs w:val="20"/>
          <w:color w:val="auto"/>
        </w:rPr>
      </w:pPr>
      <w:r>
        <w:rPr>
          <w:rFonts w:ascii="Courier New" w:cs="Courier New" w:eastAsia="Courier New" w:hAnsi="Courier New"/>
          <w:sz w:val="15"/>
          <w:szCs w:val="15"/>
          <w:color w:val="auto"/>
        </w:rPr>
        <w:t>10.09 DISTRIBUTION DIRECTIONS. If no one claims a payment or distribution made from the Trust, the Trustee must promptly notify the Administrative Committee and then dispose of the payment in accordance with the subsequent direction of the Administrative Committee.</w:t>
      </w:r>
    </w:p>
    <w:p>
      <w:pPr>
        <w:spacing w:after="0" w:line="60" w:lineRule="exact"/>
        <w:rPr>
          <w:sz w:val="20"/>
          <w:szCs w:val="20"/>
          <w:color w:val="auto"/>
        </w:rPr>
      </w:pPr>
    </w:p>
    <w:p>
      <w:pPr>
        <w:ind w:right="3019" w:firstLine="451"/>
        <w:spacing w:after="0" w:line="254" w:lineRule="auto"/>
        <w:rPr>
          <w:sz w:val="20"/>
          <w:szCs w:val="20"/>
          <w:color w:val="auto"/>
        </w:rPr>
      </w:pPr>
      <w:r>
        <w:rPr>
          <w:rFonts w:ascii="Courier New" w:cs="Courier New" w:eastAsia="Courier New" w:hAnsi="Courier New"/>
          <w:sz w:val="15"/>
          <w:szCs w:val="15"/>
          <w:color w:val="auto"/>
        </w:rPr>
        <w:t>10.10 THIRD PARTY/MULTIPLE TRUSTEES. No person dealing with the Trustee is obligated to see to the proper application of any money paid or property delivered to the Trustee, or to inquire whether the Trustee has acted pursuant to any of the terms of the Plan. Each person dealing with the Trustee may act upon any notice, request or representation in writing by the Trustee, or by the Trustee's duly authorized agent, and is not liable to any person in so acting. The certificate of the Trustee that it is acting in accordance with the Plan will be conclusive in favor of any person relying on the certificate. If more than two persons act as Trustee, a decision of the majority of such persons controls with respect to any decision regarding the administration or investment of the Trust Fund or any portion of the Trust Fund with respect to which such persons act as Trustee. However, the signature of only one Trustee is necessary to effect any transaction on behalf of the Trust.</w:t>
      </w:r>
    </w:p>
    <w:p>
      <w:pPr>
        <w:spacing w:after="0" w:line="90" w:lineRule="exact"/>
        <w:rPr>
          <w:sz w:val="20"/>
          <w:szCs w:val="20"/>
          <w:color w:val="auto"/>
        </w:rPr>
      </w:pPr>
    </w:p>
    <w:p>
      <w:pPr>
        <w:ind w:right="3019" w:firstLine="451"/>
        <w:spacing w:after="0" w:line="268" w:lineRule="auto"/>
        <w:rPr>
          <w:sz w:val="20"/>
          <w:szCs w:val="20"/>
          <w:color w:val="auto"/>
        </w:rPr>
      </w:pPr>
      <w:r>
        <w:rPr>
          <w:rFonts w:ascii="Courier New" w:cs="Courier New" w:eastAsia="Courier New" w:hAnsi="Courier New"/>
          <w:sz w:val="15"/>
          <w:szCs w:val="15"/>
          <w:color w:val="auto"/>
        </w:rPr>
        <w:t>10.11 RESIGNATION. The Trustee may resign at any time as Trustee of the Plan by giving 30 days' written notice in advance to the Employer and to the Administrative Committee. If the Employer fails to appoint a successor Trustee within 60 days of its receipt of the Trustee's written notice of resignation, the Trustee will treat the Employer as having appointed itself as Trustee and as having filed its acceptance of appointment with the former Trustee.</w:t>
      </w:r>
    </w:p>
    <w:p>
      <w:pPr>
        <w:spacing w:after="0" w:line="75" w:lineRule="exact"/>
        <w:rPr>
          <w:sz w:val="20"/>
          <w:szCs w:val="20"/>
          <w:color w:val="auto"/>
        </w:rPr>
      </w:pPr>
    </w:p>
    <w:p>
      <w:pPr>
        <w:ind w:right="3019" w:firstLine="451"/>
        <w:spacing w:after="0" w:line="286" w:lineRule="auto"/>
        <w:rPr>
          <w:sz w:val="20"/>
          <w:szCs w:val="20"/>
          <w:color w:val="auto"/>
        </w:rPr>
      </w:pPr>
      <w:r>
        <w:rPr>
          <w:rFonts w:ascii="Courier New" w:cs="Courier New" w:eastAsia="Courier New" w:hAnsi="Courier New"/>
          <w:sz w:val="14"/>
          <w:szCs w:val="14"/>
          <w:color w:val="auto"/>
        </w:rPr>
        <w:t>10.12 REMOVAL. The Employer, by giving 30 days written notice in advance to the Trustee, may remove any Trustee. In the event of the resignation or removal of a Trustee, the Employer must appoint a successor Trustee if it intends to continue the Plan. If two or more persons hold the position of Trustee, in the event of the removal of one such person, during any period the selection of a replacement is pending, or during any period such person is unable to serve for any reason, the remaining person or persons will act as the Trustee.</w:t>
      </w:r>
    </w:p>
    <w:p>
      <w:pPr>
        <w:spacing w:after="0" w:line="64" w:lineRule="exact"/>
        <w:rPr>
          <w:sz w:val="20"/>
          <w:szCs w:val="20"/>
          <w:color w:val="auto"/>
        </w:rPr>
      </w:pPr>
    </w:p>
    <w:p>
      <w:pPr>
        <w:ind w:right="3019" w:firstLine="451"/>
        <w:spacing w:after="0" w:line="253" w:lineRule="auto"/>
        <w:rPr>
          <w:sz w:val="20"/>
          <w:szCs w:val="20"/>
          <w:color w:val="auto"/>
        </w:rPr>
      </w:pPr>
      <w:r>
        <w:rPr>
          <w:rFonts w:ascii="Courier New" w:cs="Courier New" w:eastAsia="Courier New" w:hAnsi="Courier New"/>
          <w:sz w:val="15"/>
          <w:szCs w:val="15"/>
          <w:color w:val="auto"/>
        </w:rPr>
        <w:t>10.13 INTERIM DUTIES AND SUCCESSOR TRUSTEE. Each successor Trustee succeeds to the title to the Trust vested in his predecessor by accepting in writing his appointment as successor Trustee and filing the acceptance with the former Trustee and the Administrative Committee without the signing or filing of any further statement. The resigning or removed Trustee, upon receipt of acceptance in writing of the Trust by the successor Trustee, must execute all documents and do all acts necessary to vest the title of record in any successor Trustee. Each successor Trustee has and enjoys all of the powers, both discretionary and ministerial, conferred under this Agreement upon his predecessor. A successor Trustee is not personally liable for any act or failure to act of any predecessor Trustee, except as required under ERISA. With the approval of the Employer and the Administrative Committee, a successor Trustee, with respect to the Plan, may accept the account rendered and the property delivered to it by a predecessor Trustee without incurring any liability or responsibility for so doing.</w:t>
      </w:r>
    </w:p>
    <w:p>
      <w:pPr>
        <w:spacing w:after="0" w:line="87" w:lineRule="exact"/>
        <w:rPr>
          <w:sz w:val="20"/>
          <w:szCs w:val="20"/>
          <w:color w:val="auto"/>
        </w:rPr>
      </w:pPr>
    </w:p>
    <w:p>
      <w:pPr>
        <w:ind w:right="3019" w:firstLine="451"/>
        <w:spacing w:after="0" w:line="256" w:lineRule="auto"/>
        <w:rPr>
          <w:sz w:val="20"/>
          <w:szCs w:val="20"/>
          <w:color w:val="auto"/>
        </w:rPr>
      </w:pPr>
      <w:r>
        <w:rPr>
          <w:rFonts w:ascii="Courier New" w:cs="Courier New" w:eastAsia="Courier New" w:hAnsi="Courier New"/>
          <w:sz w:val="15"/>
          <w:szCs w:val="15"/>
          <w:color w:val="auto"/>
        </w:rPr>
        <w:t>10.14 VALUATION OF TRUST. The Trustee must value the Trust Fund as of each Accounting Date and as of each November 30, February 28, and May 31 to determine the fair market value of each Participant's Accrued Benefit in the Trust. The Trustee also must value the Trust Fund on such other valuation dates as directed in writing by the Administrative Committee. With respect to activities carried on by the Plan, an independent appraiser meeting requirements similar to those prescribed by Treasury regulations under Code ss.170(a)(1) must perform all valuations of Employer Securities which are not readily tradeable on an established securities market. The valuation requirement of the immediately preceding sentence applies solely to Employer Securities acquired by the Plan after December 31, 1986.</w:t>
      </w:r>
    </w:p>
    <w:p>
      <w:pPr>
        <w:spacing w:after="0" w:line="87" w:lineRule="exact"/>
        <w:rPr>
          <w:sz w:val="20"/>
          <w:szCs w:val="20"/>
          <w:color w:val="auto"/>
        </w:rPr>
      </w:pPr>
    </w:p>
    <w:p>
      <w:pPr>
        <w:ind w:right="3019" w:firstLine="451"/>
        <w:spacing w:after="0" w:line="259" w:lineRule="auto"/>
        <w:rPr>
          <w:sz w:val="20"/>
          <w:szCs w:val="20"/>
          <w:color w:val="auto"/>
        </w:rPr>
      </w:pPr>
      <w:r>
        <w:rPr>
          <w:rFonts w:ascii="Courier New" w:cs="Courier New" w:eastAsia="Courier New" w:hAnsi="Courier New"/>
          <w:sz w:val="15"/>
          <w:szCs w:val="15"/>
          <w:color w:val="auto"/>
        </w:rPr>
        <w:t>10.15 LIMITATION ON LIABILITY - IF INVESTMENT MANAGER APPOINTED. The Trustee is not liable for the acts or omissions of any Investment Manager or Managers the Administrative Committee may appoint, nor is the Trustee under any obligation to invest or otherwise manage any asset of the Plan which is subject to the management of a properly appointed Investment Manager. The Administrative Committee, the Trustee and any properly appointed Investment Manager may execute a letter agreement as a part of this Plan delineating the duties, responsibilities and liabilities of the Investment Manager with respect to any part of the Trust Fund under the control of the Investment Manager.</w:t>
      </w:r>
    </w:p>
    <w:p>
      <w:pPr>
        <w:spacing w:after="0" w:line="83" w:lineRule="exact"/>
        <w:rPr>
          <w:sz w:val="20"/>
          <w:szCs w:val="20"/>
          <w:color w:val="auto"/>
        </w:rPr>
      </w:pPr>
    </w:p>
    <w:p>
      <w:pPr>
        <w:ind w:right="3199" w:firstLine="451"/>
        <w:spacing w:after="0" w:line="268" w:lineRule="auto"/>
        <w:rPr>
          <w:sz w:val="20"/>
          <w:szCs w:val="20"/>
          <w:color w:val="auto"/>
        </w:rPr>
      </w:pPr>
      <w:r>
        <w:rPr>
          <w:rFonts w:ascii="Courier New" w:cs="Courier New" w:eastAsia="Courier New" w:hAnsi="Courier New"/>
          <w:sz w:val="15"/>
          <w:szCs w:val="15"/>
          <w:color w:val="auto"/>
        </w:rPr>
        <w:t>10.16 INVESTMENT IN GROUP TRUST FUND. The Trustee, for collective investment purposes, may combine into one trust fund the Trust created under this Plan with the Trust created under any other qualified retirement plan the Employer maintains. However, the Trustee must maintain separate records of account for the assets of each Trust in order to reflect properly each Participant's Accrued Benefit under the plan(s) in which he is a Participant.</w:t>
      </w:r>
    </w:p>
    <w:p>
      <w:pPr>
        <w:spacing w:after="0" w:line="7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 * * * * * * * * * *</w:t>
      </w:r>
    </w:p>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XI</w:t>
      </w:r>
    </w:p>
    <w:p>
      <w:pPr>
        <w:spacing w:after="0" w:line="3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REPURCHASE OF EMPLOYER SECURITIES</w:t>
      </w:r>
    </w:p>
    <w:p>
      <w:pPr>
        <w:spacing w:after="0" w:line="14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11.01 [Reserved]</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 * * * * * * * * * *</w:t>
      </w:r>
    </w:p>
    <w:p>
      <w:pPr>
        <w:spacing w:after="0" w:line="350"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XII</w:t>
      </w:r>
    </w:p>
    <w:p>
      <w:pPr>
        <w:spacing w:after="0" w:line="3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MISCELLANEOUS</w:t>
      </w:r>
    </w:p>
    <w:p>
      <w:pPr>
        <w:spacing w:after="0" w:line="149" w:lineRule="exact"/>
        <w:rPr>
          <w:sz w:val="20"/>
          <w:szCs w:val="20"/>
          <w:color w:val="auto"/>
        </w:rPr>
      </w:pPr>
    </w:p>
    <w:p>
      <w:pPr>
        <w:ind w:right="3279" w:firstLine="451"/>
        <w:spacing w:after="0" w:line="365" w:lineRule="auto"/>
        <w:rPr>
          <w:sz w:val="20"/>
          <w:szCs w:val="20"/>
          <w:color w:val="auto"/>
        </w:rPr>
      </w:pPr>
      <w:r>
        <w:rPr>
          <w:rFonts w:ascii="Courier New" w:cs="Courier New" w:eastAsia="Courier New" w:hAnsi="Courier New"/>
          <w:sz w:val="15"/>
          <w:szCs w:val="15"/>
          <w:color w:val="auto"/>
        </w:rPr>
        <w:t>12.01 EVIDENCE. Anyone required to give evidence under the terms of the Plan may do so by certificate, affidavit, document or other information which</w:t>
      </w:r>
    </w:p>
    <w:p>
      <w:pPr>
        <w:sectPr>
          <w:pgSz w:w="11900" w:h="16955" w:orient="portrait"/>
          <w:cols w:equalWidth="0" w:num="1">
            <w:col w:w="10219"/>
          </w:cols>
          <w:pgMar w:left="240" w:top="113" w:right="1440" w:bottom="0" w:gutter="0" w:footer="0" w:header="0"/>
        </w:sectPr>
      </w:pPr>
    </w:p>
    <w:bookmarkStart w:id="45" w:name="page46"/>
    <w:bookmarkEnd w:id="45"/>
    <w:p>
      <w:pPr>
        <w:spacing w:after="0" w:line="60" w:lineRule="exact"/>
        <w:rPr>
          <w:sz w:val="20"/>
          <w:szCs w:val="20"/>
          <w:color w:val="auto"/>
        </w:rPr>
      </w:pPr>
    </w:p>
    <w:p>
      <w:pPr>
        <w:ind w:left="8" w:right="3099"/>
        <w:spacing w:after="0" w:line="285" w:lineRule="auto"/>
        <w:rPr>
          <w:sz w:val="20"/>
          <w:szCs w:val="20"/>
          <w:color w:val="auto"/>
        </w:rPr>
      </w:pPr>
      <w:r>
        <w:rPr>
          <w:rFonts w:ascii="Courier New" w:cs="Courier New" w:eastAsia="Courier New" w:hAnsi="Courier New"/>
          <w:sz w:val="15"/>
          <w:szCs w:val="15"/>
          <w:color w:val="auto"/>
        </w:rPr>
        <w:t>the person to act in reliance may consider pertinent, reliable and genuine, and to have been signed, made or presented by the proper party or parties. Both the Administrative Committee and the Trustee are fully protected in acting and relying upon any evidence described under the immediately preceding sentence.</w:t>
      </w:r>
    </w:p>
    <w:p>
      <w:pPr>
        <w:spacing w:after="0" w:line="60" w:lineRule="exact"/>
        <w:rPr>
          <w:sz w:val="20"/>
          <w:szCs w:val="20"/>
          <w:color w:val="auto"/>
        </w:rPr>
      </w:pPr>
    </w:p>
    <w:p>
      <w:pPr>
        <w:ind w:left="8" w:right="3019" w:firstLine="451"/>
        <w:spacing w:after="0" w:line="253" w:lineRule="auto"/>
        <w:rPr>
          <w:sz w:val="20"/>
          <w:szCs w:val="20"/>
          <w:color w:val="auto"/>
        </w:rPr>
      </w:pPr>
      <w:r>
        <w:rPr>
          <w:rFonts w:ascii="Courier New" w:cs="Courier New" w:eastAsia="Courier New" w:hAnsi="Courier New"/>
          <w:sz w:val="15"/>
          <w:szCs w:val="15"/>
          <w:color w:val="auto"/>
        </w:rPr>
        <w:t>12.02 NO RESPONSIBILITY FOR EMPLOYER ACTION. Neither the Trustee nor the Administrative Committee has any obligation or responsibility with respect to any action required by the Plan to be taken by the Employer, any Participant or eligible Employee, or for the failure of any of the above persons to act or make any payment or contribution, or to otherwise provide any benefit contemplated under this Plan. Furthermore, the Plan does not require the Trustee or the Administrative Committee to collect any contribution required under the Plan, or to determine the correctness of the amount of any Employer contribution. Neither the Trustee nor the Administrative Committee need inquire into or be responsible for any action or failure to act on the part of the others, or on the part of any other person who has any responsibility regarding the management, administration or operation of the Plan, whether by the express terms of the Plan or by a separate agreement authorized by the Plan or by the applicable provisions of ERISA. Any action required of a corporate Employer must be by its Board of Directors or its designate.</w:t>
      </w:r>
    </w:p>
    <w:p>
      <w:pPr>
        <w:spacing w:after="0" w:line="87" w:lineRule="exact"/>
        <w:rPr>
          <w:sz w:val="20"/>
          <w:szCs w:val="20"/>
          <w:color w:val="auto"/>
        </w:rPr>
      </w:pPr>
    </w:p>
    <w:p>
      <w:pPr>
        <w:ind w:left="8" w:right="3099" w:firstLine="451"/>
        <w:spacing w:after="0" w:line="264" w:lineRule="auto"/>
        <w:rPr>
          <w:sz w:val="20"/>
          <w:szCs w:val="20"/>
          <w:color w:val="auto"/>
        </w:rPr>
      </w:pPr>
      <w:r>
        <w:rPr>
          <w:rFonts w:ascii="Courier New" w:cs="Courier New" w:eastAsia="Courier New" w:hAnsi="Courier New"/>
          <w:sz w:val="15"/>
          <w:szCs w:val="15"/>
          <w:color w:val="auto"/>
        </w:rPr>
        <w:t>12.03 FIDUCIARIES NOT INSURERS. The Trustee, the Administrative Committee, the Plan Administrator and the Employer in no way guarantee the Trust Fund from loss or depreciation. The Employer does not guarantee the payment of any money which may be or becomes due to any person from the Trust Fund. The liability of the Administrative Committee and the Trustee to make any payment from the Trust Fund at any time and all times is limited to the then available assets of the Trust.</w:t>
      </w:r>
    </w:p>
    <w:p>
      <w:pPr>
        <w:spacing w:after="0" w:line="79" w:lineRule="exact"/>
        <w:rPr>
          <w:sz w:val="20"/>
          <w:szCs w:val="20"/>
          <w:color w:val="auto"/>
        </w:rPr>
      </w:pPr>
    </w:p>
    <w:p>
      <w:pPr>
        <w:ind w:left="8" w:right="3199" w:firstLine="451"/>
        <w:spacing w:after="0" w:line="305" w:lineRule="auto"/>
        <w:rPr>
          <w:sz w:val="20"/>
          <w:szCs w:val="20"/>
          <w:color w:val="auto"/>
        </w:rPr>
      </w:pPr>
      <w:r>
        <w:rPr>
          <w:rFonts w:ascii="Courier New" w:cs="Courier New" w:eastAsia="Courier New" w:hAnsi="Courier New"/>
          <w:sz w:val="15"/>
          <w:szCs w:val="15"/>
          <w:color w:val="auto"/>
        </w:rPr>
        <w:t>12.04 WAIVER OF NOTICE. Any person entitled to notice under the Plan may waive the notice, unless the Code or Treasury regulations prescribe the notice or ERISA specifically or impliedly prohibits such a waiver.</w:t>
      </w:r>
    </w:p>
    <w:p>
      <w:pPr>
        <w:spacing w:after="0" w:line="46" w:lineRule="exact"/>
        <w:rPr>
          <w:sz w:val="20"/>
          <w:szCs w:val="20"/>
          <w:color w:val="auto"/>
        </w:rPr>
      </w:pPr>
    </w:p>
    <w:p>
      <w:pPr>
        <w:ind w:left="8" w:right="3019" w:firstLine="451"/>
        <w:spacing w:after="0" w:line="285" w:lineRule="auto"/>
        <w:rPr>
          <w:sz w:val="20"/>
          <w:szCs w:val="20"/>
          <w:color w:val="auto"/>
        </w:rPr>
      </w:pPr>
      <w:r>
        <w:rPr>
          <w:rFonts w:ascii="Courier New" w:cs="Courier New" w:eastAsia="Courier New" w:hAnsi="Courier New"/>
          <w:sz w:val="15"/>
          <w:szCs w:val="15"/>
          <w:color w:val="auto"/>
        </w:rPr>
        <w:t>12.05 SUCCESSORS. The Plan is binding upon all persons entitled to benefits under the Plan, their respective heirs and legal representatives, upon the Employer, its successors and assigns, and upon the Trustee, the Administrative Committee, the Plan Administrator and their successors.</w:t>
      </w:r>
    </w:p>
    <w:p>
      <w:pPr>
        <w:spacing w:after="0" w:line="60" w:lineRule="exact"/>
        <w:rPr>
          <w:sz w:val="20"/>
          <w:szCs w:val="20"/>
          <w:color w:val="auto"/>
        </w:rPr>
      </w:pPr>
    </w:p>
    <w:p>
      <w:pPr>
        <w:ind w:left="8" w:right="3279" w:firstLine="451"/>
        <w:spacing w:after="0" w:line="305" w:lineRule="auto"/>
        <w:rPr>
          <w:sz w:val="20"/>
          <w:szCs w:val="20"/>
          <w:color w:val="auto"/>
        </w:rPr>
      </w:pPr>
      <w:r>
        <w:rPr>
          <w:rFonts w:ascii="Courier New" w:cs="Courier New" w:eastAsia="Courier New" w:hAnsi="Courier New"/>
          <w:sz w:val="15"/>
          <w:szCs w:val="15"/>
          <w:color w:val="auto"/>
        </w:rPr>
        <w:t>12.06 WORD USAGE. Words used in the masculine also apply to the feminine where applicable, and wherever the context of the Plan dictates, the plural includes the singular and the singular includes the plural.</w:t>
      </w:r>
    </w:p>
    <w:p>
      <w:pPr>
        <w:spacing w:after="0" w:line="46" w:lineRule="exact"/>
        <w:rPr>
          <w:sz w:val="20"/>
          <w:szCs w:val="20"/>
          <w:color w:val="auto"/>
        </w:rPr>
      </w:pPr>
    </w:p>
    <w:p>
      <w:pPr>
        <w:ind w:left="8" w:right="3019" w:firstLine="451"/>
        <w:spacing w:after="0" w:line="305" w:lineRule="auto"/>
        <w:rPr>
          <w:sz w:val="20"/>
          <w:szCs w:val="20"/>
          <w:color w:val="auto"/>
        </w:rPr>
      </w:pPr>
      <w:r>
        <w:rPr>
          <w:rFonts w:ascii="Courier New" w:cs="Courier New" w:eastAsia="Courier New" w:hAnsi="Courier New"/>
          <w:sz w:val="15"/>
          <w:szCs w:val="15"/>
          <w:color w:val="auto"/>
        </w:rPr>
        <w:t>12.07 STATE LAW. Iowa law will determine all questions arising with respect to the provisions of this Agreement except to the extent superseded by Federal law.</w:t>
      </w:r>
    </w:p>
    <w:p>
      <w:pPr>
        <w:spacing w:after="0" w:line="46"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5"/>
          <w:szCs w:val="15"/>
          <w:color w:val="auto"/>
        </w:rPr>
        <w:t>12.08 EMPLOYMENT NOT GUARANTEED. Nothing contained in this Plan, or with respect to the establishment of the Trust, or any modification or amendment to the Plan or Trust, or in the creation of any Account, or the payment of any benefit, gives any Employee, Employee-Participant or any Beneficiary any right to continue employment, any legal or equitable right against the Employer, or Employee of the Employer, or against the Trustee, or its agents or employees, or against the Plan Administrator, except as expressly provided by the Plan, the Trust, ERISA or by a separate agreement.</w:t>
      </w:r>
    </w:p>
    <w:p>
      <w:pPr>
        <w:spacing w:after="0" w:line="76"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 * * * * * * * * * *</w:t>
      </w:r>
    </w:p>
    <w:p>
      <w:pPr>
        <w:spacing w:after="0" w:line="350"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ARTICLE XIII</w:t>
      </w:r>
    </w:p>
    <w:p>
      <w:pPr>
        <w:spacing w:after="0" w:line="31" w:lineRule="exact"/>
        <w:rPr>
          <w:sz w:val="20"/>
          <w:szCs w:val="20"/>
          <w:color w:val="auto"/>
        </w:rPr>
      </w:pPr>
    </w:p>
    <w:p>
      <w:pPr>
        <w:jc w:val="center"/>
        <w:ind w:right="2932"/>
        <w:spacing w:after="0"/>
        <w:rPr>
          <w:sz w:val="20"/>
          <w:szCs w:val="20"/>
          <w:color w:val="auto"/>
        </w:rPr>
      </w:pPr>
      <w:r>
        <w:rPr>
          <w:rFonts w:ascii="Courier New" w:cs="Courier New" w:eastAsia="Courier New" w:hAnsi="Courier New"/>
          <w:sz w:val="15"/>
          <w:szCs w:val="15"/>
          <w:color w:val="auto"/>
        </w:rPr>
        <w:t>EXCLUSIVE BENEFIT, AMENDMENT, TERMINATION</w:t>
      </w:r>
    </w:p>
    <w:p>
      <w:pPr>
        <w:spacing w:after="0" w:line="149"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5"/>
          <w:szCs w:val="15"/>
          <w:color w:val="auto"/>
        </w:rPr>
        <w:t>13.01 EXCLUSIVE BENEFIT. Except as provided under Article III, the Employer has no beneficial interest in any asset of the Trust and no part of any asset in the Trust may ever revert to or be repaid to an Employer, either directly or indirectly; nor, prior to the satisfaction of all liabilities with respect to the Participants and their Beneficiaries under the Plan, may any part of the corpus or income of the Trust Fund, or any asset of the Trust, be (at any time) used for, or diverted to, purposes other than the exclusive benefit of the Participants or their Beneficiaries.</w:t>
      </w:r>
    </w:p>
    <w:p>
      <w:pPr>
        <w:spacing w:after="0" w:line="76" w:lineRule="exact"/>
        <w:rPr>
          <w:sz w:val="20"/>
          <w:szCs w:val="20"/>
          <w:color w:val="auto"/>
        </w:rPr>
      </w:pPr>
    </w:p>
    <w:p>
      <w:pPr>
        <w:ind w:left="8" w:right="3379" w:firstLine="451"/>
        <w:spacing w:after="0" w:line="365" w:lineRule="auto"/>
        <w:rPr>
          <w:sz w:val="20"/>
          <w:szCs w:val="20"/>
          <w:color w:val="auto"/>
        </w:rPr>
      </w:pPr>
      <w:r>
        <w:rPr>
          <w:rFonts w:ascii="Courier New" w:cs="Courier New" w:eastAsia="Courier New" w:hAnsi="Courier New"/>
          <w:sz w:val="15"/>
          <w:szCs w:val="15"/>
          <w:color w:val="auto"/>
        </w:rPr>
        <w:t>13.02 AMENDMENT BY EMPLOYER. The Employer has the right at any time and from time to time:</w:t>
      </w:r>
    </w:p>
    <w:p>
      <w:pPr>
        <w:spacing w:after="0" w:line="3" w:lineRule="exact"/>
        <w:rPr>
          <w:sz w:val="20"/>
          <w:szCs w:val="20"/>
          <w:color w:val="auto"/>
        </w:rPr>
      </w:pPr>
    </w:p>
    <w:p>
      <w:pPr>
        <w:ind w:left="448" w:right="3099" w:firstLine="3"/>
        <w:spacing w:after="0" w:line="305" w:lineRule="auto"/>
        <w:tabs>
          <w:tab w:leader="none" w:pos="808"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this Agreement in any manner it deems necessary or advisable in order to qualify (or maintain qualification of) this Plan and the Trust created under it under the appropriate provisions of Code ss.401(a); and</w:t>
      </w:r>
    </w:p>
    <w:p>
      <w:pPr>
        <w:spacing w:after="0" w:line="45" w:lineRule="exact"/>
        <w:rPr>
          <w:rFonts w:ascii="Courier New" w:cs="Courier New" w:eastAsia="Courier New" w:hAnsi="Courier New"/>
          <w:sz w:val="15"/>
          <w:szCs w:val="15"/>
          <w:color w:val="auto"/>
        </w:rPr>
      </w:pPr>
    </w:p>
    <w:p>
      <w:pPr>
        <w:ind w:left="808" w:hanging="357"/>
        <w:spacing w:after="0"/>
        <w:tabs>
          <w:tab w:leader="none" w:pos="808"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this Agreement in any other manner.</w:t>
      </w:r>
    </w:p>
    <w:p>
      <w:pPr>
        <w:spacing w:after="0" w:line="177" w:lineRule="exact"/>
        <w:rPr>
          <w:sz w:val="20"/>
          <w:szCs w:val="20"/>
          <w:color w:val="auto"/>
        </w:rPr>
      </w:pPr>
    </w:p>
    <w:p>
      <w:pPr>
        <w:ind w:left="8" w:right="3019" w:firstLine="451"/>
        <w:spacing w:after="0" w:line="276" w:lineRule="auto"/>
        <w:rPr>
          <w:sz w:val="20"/>
          <w:szCs w:val="20"/>
          <w:color w:val="auto"/>
        </w:rPr>
      </w:pPr>
      <w:r>
        <w:rPr>
          <w:rFonts w:ascii="Courier New" w:cs="Courier New" w:eastAsia="Courier New" w:hAnsi="Courier New"/>
          <w:sz w:val="14"/>
          <w:szCs w:val="14"/>
          <w:color w:val="auto"/>
        </w:rPr>
        <w:t>No amendment may authorize or permit any of the Trust Fund (other than the part which is required to pay taxes and administration expenses) to be used for or diverted to purposes other than for the exclusive benefit of the Participants or their Beneficiaries or estates. No amendment may cause or permit any portion of the Trust Fund to revert to or become a property of the Employer. The Employer also may not make any amendment which affects the rights, duties or responsibilities of the Trustee, the Plan Administrator or the Administrative Committee without the written consent of the affected Trustee, the Plan Administrator or the affected member of the Administrative Committee. The Employer must make all amendments in writing. Each amendment must state the date to which it is either retroactively or prospectively effective.</w:t>
      </w:r>
    </w:p>
    <w:p>
      <w:pPr>
        <w:spacing w:after="0" w:line="74" w:lineRule="exact"/>
        <w:rPr>
          <w:sz w:val="20"/>
          <w:szCs w:val="20"/>
          <w:color w:val="auto"/>
        </w:rPr>
      </w:pPr>
    </w:p>
    <w:p>
      <w:pPr>
        <w:ind w:left="8" w:right="3199" w:hanging="8"/>
        <w:spacing w:after="0" w:line="285" w:lineRule="auto"/>
        <w:tabs>
          <w:tab w:leader="none" w:pos="368"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SS.411(D)(6) PROTECTED BENEFITS. An amendment (including the adoption of this Plan as a restatement of an existing plan) may not decrease a Participant's Accrued Benefit, except to the extent permitted under Code ss.412(c)(8), and may not reduce or eliminate Code ss.411(d)(6) protected</w:t>
      </w:r>
    </w:p>
    <w:p>
      <w:pPr>
        <w:sectPr>
          <w:pgSz w:w="11900" w:h="16899" w:orient="portrait"/>
          <w:cols w:equalWidth="0" w:num="1">
            <w:col w:w="10227"/>
          </w:cols>
          <w:pgMar w:left="232" w:top="114" w:right="1440" w:bottom="0" w:gutter="0" w:footer="0" w:header="0"/>
        </w:sectPr>
      </w:pPr>
    </w:p>
    <w:bookmarkStart w:id="46" w:name="page47"/>
    <w:bookmarkEnd w:id="46"/>
    <w:p>
      <w:pPr>
        <w:spacing w:after="0" w:line="41" w:lineRule="exact"/>
        <w:rPr>
          <w:sz w:val="20"/>
          <w:szCs w:val="20"/>
          <w:color w:val="auto"/>
        </w:rPr>
      </w:pPr>
    </w:p>
    <w:p>
      <w:pPr>
        <w:ind w:left="8" w:right="3019"/>
        <w:spacing w:after="0" w:line="267" w:lineRule="auto"/>
        <w:rPr>
          <w:sz w:val="20"/>
          <w:szCs w:val="20"/>
          <w:color w:val="auto"/>
        </w:rPr>
      </w:pPr>
      <w:r>
        <w:rPr>
          <w:rFonts w:ascii="Courier New" w:cs="Courier New" w:eastAsia="Courier New" w:hAnsi="Courier New"/>
          <w:sz w:val="14"/>
          <w:szCs w:val="14"/>
          <w:color w:val="auto"/>
        </w:rPr>
        <w:t>benefits determined immediately prior to the adoption date (or, if later, the effective date) of the amendment. An amendment reduces or eliminates Code ss.411(d)(6) protected benefits if the amendment has the effect of either (1) eliminating or reducing an early retirement benefit or a retirement-type subsidy (as defined in Treasury regulations), or (2) except as provided by Treasury regulations, eliminating an optional form of benefit. The Administrative Committee must disregard an amendment to the extent application of the amendment would fail to satisfy this paragraph. If the Administrative Committee must disregard an amendment because the amendment would violate clause (1) or clause</w:t>
      </w:r>
    </w:p>
    <w:p>
      <w:pPr>
        <w:ind w:left="8" w:right="3099"/>
        <w:spacing w:after="0" w:line="285" w:lineRule="auto"/>
        <w:rPr>
          <w:sz w:val="20"/>
          <w:szCs w:val="20"/>
          <w:color w:val="auto"/>
        </w:rPr>
      </w:pPr>
      <w:r>
        <w:rPr>
          <w:rFonts w:ascii="Courier New" w:cs="Courier New" w:eastAsia="Courier New" w:hAnsi="Courier New"/>
          <w:sz w:val="15"/>
          <w:szCs w:val="15"/>
          <w:color w:val="auto"/>
        </w:rPr>
        <w:t>(2), the Administrative Committee must maintain a schedule of the early retirement option or other optional forms of benefit the Plan must continue for the affected Participants.</w:t>
      </w:r>
    </w:p>
    <w:p>
      <w:pPr>
        <w:spacing w:after="0" w:line="60" w:lineRule="exact"/>
        <w:rPr>
          <w:sz w:val="20"/>
          <w:szCs w:val="20"/>
          <w:color w:val="auto"/>
        </w:rPr>
      </w:pPr>
    </w:p>
    <w:p>
      <w:pPr>
        <w:ind w:left="8" w:right="3099" w:firstLine="451"/>
        <w:spacing w:after="0" w:line="285" w:lineRule="auto"/>
        <w:rPr>
          <w:sz w:val="20"/>
          <w:szCs w:val="20"/>
          <w:color w:val="auto"/>
        </w:rPr>
      </w:pPr>
      <w:r>
        <w:rPr>
          <w:rFonts w:ascii="Courier New" w:cs="Courier New" w:eastAsia="Courier New" w:hAnsi="Courier New"/>
          <w:sz w:val="15"/>
          <w:szCs w:val="15"/>
          <w:color w:val="auto"/>
        </w:rPr>
        <w:t>13.03 DISCONTINUANCE. The Employer has the right, at any time, to suspend or discontinue its contributions under the Plan, and to terminate, at any time, this Plan and the Trust created under this Agreement. The Plan will terminate upon the first to occur of the following:</w:t>
      </w:r>
    </w:p>
    <w:p>
      <w:pPr>
        <w:spacing w:after="0" w:line="60" w:lineRule="exact"/>
        <w:rPr>
          <w:sz w:val="20"/>
          <w:szCs w:val="20"/>
          <w:color w:val="auto"/>
        </w:rPr>
      </w:pPr>
    </w:p>
    <w:p>
      <w:pPr>
        <w:ind w:left="808" w:hanging="357"/>
        <w:spacing w:after="0"/>
        <w:tabs>
          <w:tab w:leader="none" w:pos="808"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terminated by action of the Employer;</w:t>
      </w:r>
    </w:p>
    <w:p>
      <w:pPr>
        <w:spacing w:after="0" w:line="176" w:lineRule="exact"/>
        <w:rPr>
          <w:rFonts w:ascii="Courier New" w:cs="Courier New" w:eastAsia="Courier New" w:hAnsi="Courier New"/>
          <w:sz w:val="15"/>
          <w:szCs w:val="15"/>
          <w:color w:val="auto"/>
        </w:rPr>
      </w:pPr>
    </w:p>
    <w:p>
      <w:pPr>
        <w:ind w:left="448" w:right="3199" w:firstLine="3"/>
        <w:spacing w:after="0" w:line="274" w:lineRule="auto"/>
        <w:tabs>
          <w:tab w:leader="none" w:pos="808"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dissolution or merger of the Employer, unless the successor makes provision to continue the Plan, in which event the successor must substitute itself as the Employer under this Plan. Any termination of the Plan resulting from this paragraph (b) is not effective until compliance with any applicable notice requirements under ERISA.</w:t>
      </w:r>
    </w:p>
    <w:p>
      <w:pPr>
        <w:spacing w:after="0" w:line="70" w:lineRule="exact"/>
        <w:rPr>
          <w:sz w:val="20"/>
          <w:szCs w:val="20"/>
          <w:color w:val="auto"/>
        </w:rPr>
      </w:pPr>
    </w:p>
    <w:p>
      <w:pPr>
        <w:ind w:left="8" w:right="3099" w:firstLine="451"/>
        <w:spacing w:after="0" w:line="274" w:lineRule="auto"/>
        <w:rPr>
          <w:sz w:val="20"/>
          <w:szCs w:val="20"/>
          <w:color w:val="auto"/>
        </w:rPr>
      </w:pPr>
      <w:r>
        <w:rPr>
          <w:rFonts w:ascii="Courier New" w:cs="Courier New" w:eastAsia="Courier New" w:hAnsi="Courier New"/>
          <w:sz w:val="15"/>
          <w:szCs w:val="15"/>
          <w:color w:val="auto"/>
        </w:rPr>
        <w:t>13.04 FULL VESTING ON TERMINATION. Upon either full or partial termination of the Plan, or, if applicable, upon complete discontinuance of profit sharing plan contributions to the Plan an affected Participant's right to his Accrued Benefit is 100% Nonforfeitable, irrespective of the Nonforfeitable percentage which otherwise would apply under Article V.</w:t>
      </w:r>
    </w:p>
    <w:p>
      <w:pPr>
        <w:spacing w:after="0" w:line="70" w:lineRule="exact"/>
        <w:rPr>
          <w:sz w:val="20"/>
          <w:szCs w:val="20"/>
          <w:color w:val="auto"/>
        </w:rPr>
      </w:pPr>
    </w:p>
    <w:p>
      <w:pPr>
        <w:ind w:left="8" w:right="3019" w:firstLine="451"/>
        <w:spacing w:after="0" w:line="256" w:lineRule="auto"/>
        <w:rPr>
          <w:sz w:val="20"/>
          <w:szCs w:val="20"/>
          <w:color w:val="auto"/>
        </w:rPr>
      </w:pPr>
      <w:r>
        <w:rPr>
          <w:rFonts w:ascii="Courier New" w:cs="Courier New" w:eastAsia="Courier New" w:hAnsi="Courier New"/>
          <w:sz w:val="15"/>
          <w:szCs w:val="15"/>
          <w:color w:val="auto"/>
        </w:rPr>
        <w:t>13.05 MERGER/DIRECT TRANSFER. The Trustee may not consent to, or be a party to, any merger or consolidation with another plan, or to a transfer of assets or liabilities to another plan, unless immediately after the merger, consolidation or transfer, the surviving Plan provides each Participant a benefit equal to or greater than the benefit each Participant would have received had the Plan terminated immediately before the merger or consolidation or transfer. The Trustee possesses the specific authority to enter into merger agreements or direct transfer of assets agreements with the trustees of other retirement plans described in Code ss.401(a), including an elective transfer, and to accept the direct transfer of plan assets, or to transfer plan assets, as a party to any such agreement.</w:t>
      </w:r>
    </w:p>
    <w:p>
      <w:pPr>
        <w:spacing w:after="0" w:line="87" w:lineRule="exact"/>
        <w:rPr>
          <w:sz w:val="20"/>
          <w:szCs w:val="20"/>
          <w:color w:val="auto"/>
        </w:rPr>
      </w:pPr>
    </w:p>
    <w:p>
      <w:pPr>
        <w:ind w:left="8" w:right="3199" w:firstLine="451"/>
        <w:spacing w:after="0" w:line="264" w:lineRule="auto"/>
        <w:rPr>
          <w:sz w:val="20"/>
          <w:szCs w:val="20"/>
          <w:color w:val="auto"/>
        </w:rPr>
      </w:pPr>
      <w:r>
        <w:rPr>
          <w:rFonts w:ascii="Courier New" w:cs="Courier New" w:eastAsia="Courier New" w:hAnsi="Courier New"/>
          <w:sz w:val="15"/>
          <w:szCs w:val="15"/>
          <w:color w:val="auto"/>
        </w:rPr>
        <w:t>The Trustee may accept a direct transfer of plan assets on behalf of an Employee prior to the date the Employee satisfies the Plan's eligibility conditions. If the Trustee accepts a direct transfer of plan assets, the Administrative Committee and Trustee must treat the Employee as a Participant for all purposes of the Plan except the Employee is not a Participant for purposes of sharing in Employer contributions or Participant forfeitures under the Plan until he actually becomes a Participant in the Plan.</w:t>
      </w:r>
    </w:p>
    <w:p>
      <w:pPr>
        <w:spacing w:after="0" w:line="79" w:lineRule="exact"/>
        <w:rPr>
          <w:sz w:val="20"/>
          <w:szCs w:val="20"/>
          <w:color w:val="auto"/>
        </w:rPr>
      </w:pPr>
    </w:p>
    <w:p>
      <w:pPr>
        <w:ind w:left="8" w:right="3019" w:hanging="8"/>
        <w:spacing w:after="0" w:line="264" w:lineRule="auto"/>
        <w:tabs>
          <w:tab w:leader="none" w:pos="368"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ELECTIVE TRANSFERS. The Trustee, after August 9, 1988, may not consent to, or be a party to a merger, consolidation or transfer of assets with a defined benefit plan, except with respect to an elective transfer, or unless the transferred benefits are in the form of paid-up individual annuity contracts guaranteeing the payment of the transferred benefits in accordance with the terms of the transferor plan and in a manner consistent with the Code and with ERISA. The Trustee will hold, administer and distribute the transferred assets as a part of the Trust Fund and the Trustee must maintain a separate Employer contribution Account for the benefit of the Employee on whose behalf the Trustee accepted the transfer in order to reflect the value of the transferred assets. Unless a transfer of assets to this Plan is an elective transfer, the Plan will preserve all Code ss.411(d)(6) protected benefits with respect to those transferred assets, in the manner described in Section 13.02. A transfer is an elective transfer if: (1) the transfer satisfies the first paragraph of this Section 13.05; (2) the transfer is voluntary, under a fully informed election by the Participant; (3) the Participant has an alternative that retains his Code ss.411(d)(6) protected benefits (including an option to leave his benefit in the transferor plan, if that plan is not terminating); (4) the transfer satisfies the applicable spousal consent requirements of the Code; (5) the transferor plan satisfies the joint and survivor notice requirements of the Code, if the Participant's transferred benefit is subject to those requirements; (6) the Participant has a right to immediate distribution from the transferor plan, in lieu of the elective transfer; (7) the transferred benefit is at least the greater of the single sum distribution provided by the transferor plan for which the Participant is eligible or the present value of the Participant's accrued benefit under the transferor plan payable at that plan's normal retirement age;</w:t>
      </w:r>
    </w:p>
    <w:p>
      <w:pPr>
        <w:spacing w:after="0" w:line="174" w:lineRule="exact"/>
        <w:rPr>
          <w:rFonts w:ascii="Courier New" w:cs="Courier New" w:eastAsia="Courier New" w:hAnsi="Courier New"/>
          <w:sz w:val="14"/>
          <w:szCs w:val="14"/>
          <w:color w:val="auto"/>
        </w:rPr>
      </w:pPr>
    </w:p>
    <w:p>
      <w:pPr>
        <w:ind w:left="8" w:right="3019"/>
        <w:spacing w:after="0" w:line="31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 the Participant has a 100% Nonforfeitable interest in the transferred benefit; and (9) the transfer otherwise satisfies applicable Treasury regulations. An elective transfer may occur between qualified plans of any type.</w:t>
      </w:r>
    </w:p>
    <w:p>
      <w:pPr>
        <w:spacing w:after="0" w:line="43" w:lineRule="exact"/>
        <w:rPr>
          <w:rFonts w:ascii="Courier New" w:cs="Courier New" w:eastAsia="Courier New" w:hAnsi="Courier New"/>
          <w:sz w:val="14"/>
          <w:szCs w:val="14"/>
          <w:color w:val="auto"/>
        </w:rPr>
      </w:pPr>
    </w:p>
    <w:p>
      <w:pPr>
        <w:ind w:left="368" w:hanging="368"/>
        <w:spacing w:after="0"/>
        <w:tabs>
          <w:tab w:leader="none" w:pos="368"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RESTRICTIONS UNDER CODE SS.401(k). If the Plan receives a</w:t>
      </w:r>
    </w:p>
    <w:p>
      <w:pPr>
        <w:spacing w:after="0" w:line="31" w:lineRule="exact"/>
        <w:rPr>
          <w:rFonts w:ascii="Courier New" w:cs="Courier New" w:eastAsia="Courier New" w:hAnsi="Courier New"/>
          <w:sz w:val="15"/>
          <w:szCs w:val="15"/>
          <w:color w:val="auto"/>
        </w:rPr>
      </w:pPr>
    </w:p>
    <w:p>
      <w:pPr>
        <w:ind w:left="8" w:right="319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direct transfer (by merger or otherwise) of elective contributions (or amounts treated as elective contributions) under a Plan with a Code ss.401(k) arrangement, the distribution restrictions of Code ss.ss.401(k)(2) and (10) continue to apply to those transferred elective contributions.</w:t>
      </w:r>
    </w:p>
    <w:p>
      <w:pPr>
        <w:spacing w:after="0" w:line="71" w:lineRule="exact"/>
        <w:rPr>
          <w:rFonts w:ascii="Courier New" w:cs="Courier New" w:eastAsia="Courier New" w:hAnsi="Courier New"/>
          <w:sz w:val="15"/>
          <w:szCs w:val="15"/>
          <w:color w:val="auto"/>
        </w:rPr>
      </w:pPr>
    </w:p>
    <w:p>
      <w:pPr>
        <w:ind w:left="8" w:right="3199" w:hanging="8"/>
        <w:spacing w:after="0" w:line="264" w:lineRule="auto"/>
        <w:tabs>
          <w:tab w:leader="none" w:pos="368"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ROLLOVER DISTRIBUTION. For distributions made after December 31, 1992, a Participant may elect, at the time and in the manner prescribed by the Administrative Committee, to have any portion of his eligible rollover distribution paid directly to an eligible retirement plan specified by the Participant in his direct rollover designation. For purposes of this Section 13.05(C), a Participant includes a Participant's surviving spouse and the Participant's spouse or former spouse who is an alternate payee under a</w:t>
      </w:r>
    </w:p>
    <w:p>
      <w:pPr>
        <w:sectPr>
          <w:pgSz w:w="11900" w:h="16880" w:orient="portrait"/>
          <w:cols w:equalWidth="0" w:num="1">
            <w:col w:w="10227"/>
          </w:cols>
          <w:pgMar w:left="232" w:top="113" w:right="1440" w:bottom="0" w:gutter="0" w:footer="0" w:header="0"/>
        </w:sectPr>
      </w:pPr>
    </w:p>
    <w:bookmarkStart w:id="47" w:name="page48"/>
    <w:bookmarkEnd w:id="47"/>
    <w:p>
      <w:pPr>
        <w:ind w:left="8"/>
        <w:spacing w:after="0"/>
        <w:rPr>
          <w:sz w:val="20"/>
          <w:szCs w:val="20"/>
          <w:color w:val="auto"/>
        </w:rPr>
      </w:pPr>
      <w:r>
        <w:rPr>
          <w:rFonts w:ascii="Courier New" w:cs="Courier New" w:eastAsia="Courier New" w:hAnsi="Courier New"/>
          <w:sz w:val="15"/>
          <w:szCs w:val="15"/>
          <w:color w:val="auto"/>
        </w:rPr>
        <w:t>qualified domestic relations order.</w:t>
      </w:r>
    </w:p>
    <w:p>
      <w:pPr>
        <w:spacing w:after="0" w:line="177" w:lineRule="exact"/>
        <w:rPr>
          <w:sz w:val="20"/>
          <w:szCs w:val="20"/>
          <w:color w:val="auto"/>
        </w:rPr>
      </w:pPr>
    </w:p>
    <w:p>
      <w:pPr>
        <w:ind w:left="368" w:hanging="368"/>
        <w:spacing w:after="0"/>
        <w:tabs>
          <w:tab w:leader="none" w:pos="368"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6" w:lineRule="exact"/>
        <w:rPr>
          <w:rFonts w:ascii="Courier New" w:cs="Courier New" w:eastAsia="Courier New" w:hAnsi="Courier New"/>
          <w:sz w:val="15"/>
          <w:szCs w:val="15"/>
          <w:color w:val="auto"/>
        </w:rPr>
      </w:pPr>
    </w:p>
    <w:p>
      <w:pPr>
        <w:ind w:left="8" w:right="3099" w:firstLine="443"/>
        <w:spacing w:after="0" w:line="256" w:lineRule="auto"/>
        <w:tabs>
          <w:tab w:leader="none" w:pos="819"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rollover distribution." An eligible rollover distribution is any distribution of all or any portion of the balance to the credit of the Participant, except an eligible rollover distribution does not include: any distribution which is one of a series of substantially equal periodic payments (not less frequently than annually) made for the life (or life expectancy) of the Participant or the joint lives (or joint life expectancies) of the Participant and the Participant's designated beneficiary, or for a specified period of ten years or more; any distribution to the extent required under Code ss.401(a)(9); and the portion of any distribution which is not includible in gross income (determined without regard to the exclusion of net unrealized appreciation with respect to employer securities).</w:t>
      </w:r>
    </w:p>
    <w:p>
      <w:pPr>
        <w:spacing w:after="0" w:line="86" w:lineRule="exact"/>
        <w:rPr>
          <w:rFonts w:ascii="Courier New" w:cs="Courier New" w:eastAsia="Courier New" w:hAnsi="Courier New"/>
          <w:sz w:val="15"/>
          <w:szCs w:val="15"/>
          <w:color w:val="auto"/>
        </w:rPr>
      </w:pPr>
    </w:p>
    <w:p>
      <w:pPr>
        <w:ind w:left="8" w:right="3099" w:firstLine="443"/>
        <w:spacing w:after="0" w:line="264" w:lineRule="auto"/>
        <w:tabs>
          <w:tab w:leader="none" w:pos="819"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retirement plan." An eligible retirement plan is an individual retirement account described in Code ss.408(a), an individual retirement annuity described in Code ss.408(b), an annuity plan described in Code ss.403(a), or a qualified trust described in Code ss.401(a), which accepts the Participant's eligible rollover distribution. However, in the case of an eligible rollover distribution to the surviving spouse, an eligible retirement plan is an individual retirement account or individual retirement annuity.</w:t>
      </w:r>
    </w:p>
    <w:p>
      <w:pPr>
        <w:spacing w:after="0" w:line="78" w:lineRule="exact"/>
        <w:rPr>
          <w:rFonts w:ascii="Courier New" w:cs="Courier New" w:eastAsia="Courier New" w:hAnsi="Courier New"/>
          <w:sz w:val="15"/>
          <w:szCs w:val="15"/>
          <w:color w:val="auto"/>
        </w:rPr>
      </w:pPr>
    </w:p>
    <w:p>
      <w:pPr>
        <w:ind w:left="8" w:right="3279" w:firstLine="443"/>
        <w:spacing w:after="0" w:line="365" w:lineRule="auto"/>
        <w:tabs>
          <w:tab w:leader="none" w:pos="819"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rollover." A direct rollover is a payment by the Plan to the eligible retirement plan specified by the Participant.</w:t>
      </w:r>
    </w:p>
    <w:p>
      <w:pPr>
        <w:spacing w:after="0" w:line="3" w:lineRule="exact"/>
        <w:rPr>
          <w:sz w:val="20"/>
          <w:szCs w:val="20"/>
          <w:color w:val="auto"/>
        </w:rPr>
      </w:pPr>
    </w:p>
    <w:p>
      <w:pPr>
        <w:ind w:left="8" w:right="3639" w:firstLine="451"/>
        <w:spacing w:after="0" w:line="365" w:lineRule="auto"/>
        <w:rPr>
          <w:sz w:val="20"/>
          <w:szCs w:val="20"/>
          <w:color w:val="auto"/>
        </w:rPr>
      </w:pPr>
      <w:r>
        <w:rPr>
          <w:rFonts w:ascii="Courier New" w:cs="Courier New" w:eastAsia="Courier New" w:hAnsi="Courier New"/>
          <w:sz w:val="15"/>
          <w:szCs w:val="15"/>
          <w:color w:val="auto"/>
        </w:rPr>
        <w:t>13.06 TERMINATION. Upon termination of the Plan, the distribution provisions of Article VI remain operative, with the following exceptions:</w:t>
      </w:r>
    </w:p>
    <w:p>
      <w:pPr>
        <w:spacing w:after="0" w:line="3" w:lineRule="exact"/>
        <w:rPr>
          <w:sz w:val="20"/>
          <w:szCs w:val="20"/>
          <w:color w:val="auto"/>
        </w:rPr>
      </w:pPr>
    </w:p>
    <w:p>
      <w:pPr>
        <w:ind w:left="808" w:hanging="357"/>
        <w:spacing w:after="0"/>
        <w:tabs>
          <w:tab w:leader="none" w:pos="808"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present value of the Participant's Nonforfeitable Accrued</w:t>
      </w:r>
    </w:p>
    <w:p>
      <w:pPr>
        <w:spacing w:after="0" w:line="31" w:lineRule="exact"/>
        <w:rPr>
          <w:rFonts w:ascii="Courier New" w:cs="Courier New" w:eastAsia="Courier New" w:hAnsi="Courier New"/>
          <w:sz w:val="15"/>
          <w:szCs w:val="15"/>
          <w:color w:val="auto"/>
        </w:rPr>
      </w:pPr>
    </w:p>
    <w:p>
      <w:pPr>
        <w:ind w:left="448" w:right="309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Benefit does not exceed $3,500, the Administrative Committee will direct the Trustee to distribute the Participant's Nonforfeitable Accrued Benefit to him in lump sum as soon as administratively practicable after the Plan terminates; and</w:t>
      </w:r>
    </w:p>
    <w:p>
      <w:pPr>
        <w:spacing w:after="0" w:line="71" w:lineRule="exact"/>
        <w:rPr>
          <w:rFonts w:ascii="Courier New" w:cs="Courier New" w:eastAsia="Courier New" w:hAnsi="Courier New"/>
          <w:sz w:val="15"/>
          <w:szCs w:val="15"/>
          <w:color w:val="auto"/>
        </w:rPr>
      </w:pPr>
    </w:p>
    <w:p>
      <w:pPr>
        <w:ind w:left="448" w:right="3019" w:firstLine="3"/>
        <w:spacing w:after="0" w:line="274" w:lineRule="auto"/>
        <w:tabs>
          <w:tab w:leader="none" w:pos="808"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present value of the Participant's Nonforfeitable Accrued Benefit exceeds $3,500, the Participant or the Beneficiary, in addition to the distribution events permitted under Article VI, may elect to have the Trustee commence distribution of his Nonforfeitable Accrued Benefit as soon as administratively practicable after the Plan terminates.</w:t>
      </w:r>
    </w:p>
    <w:p>
      <w:pPr>
        <w:spacing w:after="0" w:line="70" w:lineRule="exact"/>
        <w:rPr>
          <w:sz w:val="20"/>
          <w:szCs w:val="20"/>
          <w:color w:val="auto"/>
        </w:rPr>
      </w:pPr>
    </w:p>
    <w:p>
      <w:pPr>
        <w:ind w:left="8" w:right="3099" w:firstLine="451"/>
        <w:spacing w:after="0" w:line="274" w:lineRule="auto"/>
        <w:rPr>
          <w:sz w:val="20"/>
          <w:szCs w:val="20"/>
          <w:color w:val="auto"/>
        </w:rPr>
      </w:pPr>
      <w:r>
        <w:rPr>
          <w:rFonts w:ascii="Courier New" w:cs="Courier New" w:eastAsia="Courier New" w:hAnsi="Courier New"/>
          <w:sz w:val="15"/>
          <w:szCs w:val="15"/>
          <w:color w:val="auto"/>
        </w:rPr>
        <w:t>To liquidate the Trust, the Administrative Committee will purchase a deferred annuity contract for each Participant which protects the Participant's distribution rights under the Plan, if the Participant's Nonforfeitable Accrued Benefit exceeds $3,500 and the Participant does not elect an immediate distribution pursuant to paragraph (2).</w:t>
      </w:r>
    </w:p>
    <w:p>
      <w:pPr>
        <w:spacing w:after="0" w:line="70" w:lineRule="exact"/>
        <w:rPr>
          <w:sz w:val="20"/>
          <w:szCs w:val="20"/>
          <w:color w:val="auto"/>
        </w:rPr>
      </w:pPr>
    </w:p>
    <w:p>
      <w:pPr>
        <w:ind w:left="8" w:right="3019" w:firstLine="451"/>
        <w:spacing w:after="0" w:line="276" w:lineRule="auto"/>
        <w:rPr>
          <w:sz w:val="20"/>
          <w:szCs w:val="20"/>
          <w:color w:val="auto"/>
        </w:rPr>
      </w:pPr>
      <w:r>
        <w:rPr>
          <w:rFonts w:ascii="Courier New" w:cs="Courier New" w:eastAsia="Courier New" w:hAnsi="Courier New"/>
          <w:sz w:val="14"/>
          <w:szCs w:val="14"/>
          <w:color w:val="auto"/>
        </w:rPr>
        <w:t>If this paragraph applies, in lieu of the preceding provisions of this Section 13.06 and the distribution provisions of Article VI, the Administrative Committee will direct the Trustee to distribute each Participant's Nonforfeitable Accrued Benefit, in lump sum, as soon as administratively practicable after the termination of the Plan, irrespective of the present value of the Participant's Nonforfeitable Accrued Benefit and whether the Participant consents to that distribution. This paragraph applies only if: (1) the Plan does not provide an annuity option; (2) the Plan is a defined contribution plan at the time of its termination date; and (3) as of the period between the Plan termination date and the final distribution of assets, the Employer does not maintain any other defined contribution plan (other than an ESOP).</w:t>
      </w:r>
    </w:p>
    <w:p>
      <w:pPr>
        <w:spacing w:after="0" w:line="74" w:lineRule="exact"/>
        <w:rPr>
          <w:sz w:val="20"/>
          <w:szCs w:val="20"/>
          <w:color w:val="auto"/>
        </w:rPr>
      </w:pPr>
    </w:p>
    <w:p>
      <w:pPr>
        <w:ind w:left="8" w:right="3019" w:firstLine="451"/>
        <w:spacing w:after="0" w:line="256" w:lineRule="auto"/>
        <w:rPr>
          <w:sz w:val="20"/>
          <w:szCs w:val="20"/>
          <w:color w:val="auto"/>
        </w:rPr>
      </w:pPr>
      <w:r>
        <w:rPr>
          <w:rFonts w:ascii="Courier New" w:cs="Courier New" w:eastAsia="Courier New" w:hAnsi="Courier New"/>
          <w:sz w:val="15"/>
          <w:szCs w:val="15"/>
          <w:color w:val="auto"/>
        </w:rPr>
        <w:t>The Trust will continue until the Trustee in accordance with the direction of the Administrative Committee has distributed all of the benefits under the Plan. On each valuation date, the Administrative Committee will credit any part of a Participant's Accrued Benefit retained in the Trust with its proportionate share of the Trust's income, expenses, gains and losses, both realized and unrealized. Upon termination of the Plan, the amount, if any, in a suspense account under Article III will revert to the Employer, subject to the conditions of the Treasury regulations permitting such a revision. A resolution or amendment to freeze all future benefit accrual but otherwise to continue maintenance of this Plan, is not a termination for purposes of this Section 13.06.</w:t>
      </w:r>
    </w:p>
    <w:p>
      <w:pPr>
        <w:spacing w:after="0" w:line="87" w:lineRule="exact"/>
        <w:rPr>
          <w:sz w:val="20"/>
          <w:szCs w:val="20"/>
          <w:color w:val="auto"/>
        </w:rPr>
      </w:pPr>
    </w:p>
    <w:p>
      <w:pPr>
        <w:ind w:left="8" w:right="3379" w:firstLine="811"/>
        <w:spacing w:after="0" w:line="365" w:lineRule="auto"/>
        <w:rPr>
          <w:sz w:val="20"/>
          <w:szCs w:val="20"/>
          <w:color w:val="auto"/>
        </w:rPr>
      </w:pPr>
      <w:r>
        <w:rPr>
          <w:rFonts w:ascii="Courier New" w:cs="Courier New" w:eastAsia="Courier New" w:hAnsi="Courier New"/>
          <w:sz w:val="15"/>
          <w:szCs w:val="15"/>
          <w:color w:val="auto"/>
        </w:rPr>
        <w:t>IN WITNESS WHEREOF, the Trustee has executed this Plan and Trust in Forest City, Iowa this _______ day of May, 1993.</w:t>
      </w:r>
    </w:p>
    <w:p>
      <w:pPr>
        <w:spacing w:after="0" w:line="177" w:lineRule="exact"/>
        <w:rPr>
          <w:sz w:val="20"/>
          <w:szCs w:val="20"/>
          <w:color w:val="auto"/>
        </w:rPr>
      </w:pPr>
    </w:p>
    <w:p>
      <w:pPr>
        <w:ind w:left="2968"/>
        <w:spacing w:after="0"/>
        <w:rPr>
          <w:sz w:val="20"/>
          <w:szCs w:val="20"/>
          <w:color w:val="auto"/>
        </w:rPr>
      </w:pPr>
      <w:r>
        <w:rPr>
          <w:rFonts w:ascii="Courier New" w:cs="Courier New" w:eastAsia="Courier New" w:hAnsi="Courier New"/>
          <w:sz w:val="15"/>
          <w:szCs w:val="15"/>
          <w:color w:val="auto"/>
        </w:rPr>
        <w:t>WINNEBAGO INDUSTRIES, INC.</w:t>
      </w:r>
    </w:p>
    <w:p>
      <w:pPr>
        <w:spacing w:after="0" w:line="200" w:lineRule="exact"/>
        <w:rPr>
          <w:sz w:val="20"/>
          <w:szCs w:val="20"/>
          <w:color w:val="auto"/>
        </w:rPr>
      </w:pPr>
    </w:p>
    <w:p>
      <w:pPr>
        <w:spacing w:after="0" w:line="324" w:lineRule="exact"/>
        <w:rPr>
          <w:sz w:val="20"/>
          <w:szCs w:val="20"/>
          <w:color w:val="auto"/>
        </w:rPr>
      </w:pPr>
    </w:p>
    <w:p>
      <w:pPr>
        <w:ind w:left="2968"/>
        <w:spacing w:after="0"/>
        <w:rPr>
          <w:sz w:val="20"/>
          <w:szCs w:val="20"/>
          <w:color w:val="auto"/>
        </w:rPr>
      </w:pPr>
      <w:r>
        <w:rPr>
          <w:rFonts w:ascii="Courier New" w:cs="Courier New" w:eastAsia="Courier New" w:hAnsi="Courier New"/>
          <w:sz w:val="15"/>
          <w:szCs w:val="15"/>
          <w:color w:val="auto"/>
        </w:rPr>
        <w:t>By:</w:t>
      </w:r>
    </w:p>
    <w:p>
      <w:pPr>
        <w:spacing w:after="0" w:line="31"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Fred G. Dohrmann, President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968"/>
        <w:spacing w:after="0"/>
        <w:rPr>
          <w:sz w:val="20"/>
          <w:szCs w:val="20"/>
          <w:color w:val="auto"/>
        </w:rPr>
      </w:pPr>
      <w:r>
        <w:rPr>
          <w:rFonts w:ascii="Courier New" w:cs="Courier New" w:eastAsia="Courier New" w:hAnsi="Courier New"/>
          <w:sz w:val="15"/>
          <w:szCs w:val="15"/>
          <w:color w:val="auto"/>
        </w:rPr>
        <w:t>NORWEST BANK IOWA, N.A.</w:t>
      </w:r>
    </w:p>
    <w:p>
      <w:pPr>
        <w:spacing w:after="0" w:line="200" w:lineRule="exact"/>
        <w:rPr>
          <w:sz w:val="20"/>
          <w:szCs w:val="20"/>
          <w:color w:val="auto"/>
        </w:rPr>
      </w:pPr>
    </w:p>
    <w:p>
      <w:pPr>
        <w:spacing w:after="0" w:line="324" w:lineRule="exact"/>
        <w:rPr>
          <w:sz w:val="20"/>
          <w:szCs w:val="20"/>
          <w:color w:val="auto"/>
        </w:rPr>
      </w:pPr>
    </w:p>
    <w:p>
      <w:pPr>
        <w:ind w:left="2968"/>
        <w:spacing w:after="0"/>
        <w:rPr>
          <w:sz w:val="20"/>
          <w:szCs w:val="20"/>
          <w:color w:val="auto"/>
        </w:rPr>
      </w:pPr>
      <w:r>
        <w:rPr>
          <w:rFonts w:ascii="Courier New" w:cs="Courier New" w:eastAsia="Courier New" w:hAnsi="Courier New"/>
          <w:sz w:val="15"/>
          <w:szCs w:val="15"/>
          <w:color w:val="auto"/>
        </w:rPr>
        <w:t>By:</w:t>
      </w:r>
    </w:p>
    <w:p>
      <w:pPr>
        <w:spacing w:after="0" w:line="31"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Janet J. Jenkins, Vice-President/Trust</w:t>
      </w:r>
    </w:p>
    <w:p>
      <w:pPr>
        <w:spacing w:after="0" w:line="3"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Officer</w:t>
      </w:r>
    </w:p>
    <w:p>
      <w:pPr>
        <w:sectPr>
          <w:pgSz w:w="11900" w:h="16838" w:orient="portrait"/>
          <w:cols w:equalWidth="0" w:num="1">
            <w:col w:w="10227"/>
          </w:cols>
          <w:pgMar w:left="232" w:top="113" w:right="1440" w:bottom="0" w:gutter="0" w:footer="0" w:header="0"/>
        </w:sectPr>
      </w:pPr>
    </w:p>
    <w:bookmarkStart w:id="48" w:name="page49"/>
    <w:bookmarkEnd w:id="48"/>
    <w:p>
      <w:pPr>
        <w:spacing w:after="0" w:line="28"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"TRUSTEE"</w:t>
      </w:r>
    </w:p>
    <w:p>
      <w:pPr>
        <w:spacing w:after="0" w:line="200" w:lineRule="exact"/>
        <w:rPr>
          <w:sz w:val="20"/>
          <w:szCs w:val="20"/>
          <w:color w:val="auto"/>
        </w:rPr>
      </w:pPr>
    </w:p>
    <w:p>
      <w:pPr>
        <w:spacing w:after="0" w:line="324"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5"/>
          <w:szCs w:val="15"/>
          <w:color w:val="auto"/>
        </w:rPr>
        <w:t>PARTICIPATION AGREEMENT</w:t>
      </w:r>
    </w:p>
    <w:p>
      <w:pPr>
        <w:spacing w:after="0" w:line="31"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5"/>
          <w:szCs w:val="15"/>
          <w:color w:val="auto"/>
        </w:rPr>
        <w:t>FOR PARTICIPATION BY RELATED GROUP MEMBERS (PLAN SECTION 131)</w:t>
      </w:r>
    </w:p>
    <w:p>
      <w:pPr>
        <w:spacing w:after="0" w:line="322" w:lineRule="exact"/>
        <w:rPr>
          <w:sz w:val="20"/>
          <w:szCs w:val="20"/>
          <w:color w:val="auto"/>
        </w:rPr>
      </w:pPr>
    </w:p>
    <w:p>
      <w:pPr>
        <w:ind w:right="4500"/>
        <w:spacing w:after="0" w:line="268" w:lineRule="auto"/>
        <w:rPr>
          <w:sz w:val="20"/>
          <w:szCs w:val="20"/>
          <w:color w:val="auto"/>
        </w:rPr>
      </w:pPr>
      <w:r>
        <w:rPr>
          <w:rFonts w:ascii="Courier New" w:cs="Courier New" w:eastAsia="Courier New" w:hAnsi="Courier New"/>
          <w:sz w:val="15"/>
          <w:szCs w:val="15"/>
          <w:color w:val="auto"/>
        </w:rPr>
        <w:t>The undersigned Employers ("Participating Employers"), by execution of this Participation Agreement, hereby adopt and agree to be bound by all provisions, conditions and limitations of the Winnebago Industries, Inc. Employees' Stock Bonus Plan ("Plan"), as amended from time to time, and as fully as if each Participating Employer were an original party to the Plan as made by Winnebago Industries. Inc.</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440" w:type="dxa"/>
            <w:vAlign w:val="bottom"/>
          </w:tcPr>
          <w:p>
            <w:pPr>
              <w:ind w:left="440"/>
              <w:spacing w:after="0"/>
              <w:rPr>
                <w:sz w:val="20"/>
                <w:szCs w:val="20"/>
                <w:color w:val="auto"/>
              </w:rPr>
            </w:pPr>
            <w:r>
              <w:rPr>
                <w:rFonts w:ascii="Courier New" w:cs="Courier New" w:eastAsia="Courier New" w:hAnsi="Courier New"/>
                <w:sz w:val="15"/>
                <w:szCs w:val="15"/>
                <w:color w:val="auto"/>
              </w:rPr>
              <w:t>Dated this</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_____ day of May, 1993.</w:t>
            </w:r>
          </w:p>
        </w:tc>
        <w:tc>
          <w:tcPr>
            <w:tcW w:w="3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0"/>
        </w:trPr>
        <w:tc>
          <w:tcPr>
            <w:tcW w:w="1440" w:type="dxa"/>
            <w:vAlign w:val="bottom"/>
          </w:tcPr>
          <w:p>
            <w:pPr>
              <w:spacing w:after="0"/>
              <w:rPr>
                <w:sz w:val="24"/>
                <w:szCs w:val="24"/>
                <w:color w:val="auto"/>
              </w:rPr>
            </w:pPr>
          </w:p>
        </w:tc>
        <w:tc>
          <w:tcPr>
            <w:tcW w:w="57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NAMES OF PARTICIPATING EMPLOYERS:</w:t>
            </w:r>
          </w:p>
        </w:tc>
        <w:tc>
          <w:tcPr>
            <w:tcW w:w="0" w:type="dxa"/>
            <w:vAlign w:val="bottom"/>
          </w:tcPr>
          <w:p>
            <w:pPr>
              <w:spacing w:after="0"/>
              <w:rPr>
                <w:sz w:val="1"/>
                <w:szCs w:val="1"/>
                <w:color w:val="auto"/>
              </w:rPr>
            </w:pPr>
          </w:p>
        </w:tc>
      </w:tr>
      <w:tr>
        <w:trPr>
          <w:trHeight w:val="520"/>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WINNEBAGO INDUSTRIES, INC.</w:t>
            </w:r>
          </w:p>
        </w:tc>
        <w:tc>
          <w:tcPr>
            <w:tcW w:w="3600" w:type="dxa"/>
            <w:vAlign w:val="bottom"/>
          </w:tcPr>
          <w:p>
            <w:pPr>
              <w:ind w:left="80"/>
              <w:spacing w:after="0"/>
              <w:rPr>
                <w:sz w:val="20"/>
                <w:szCs w:val="20"/>
                <w:color w:val="auto"/>
              </w:rPr>
            </w:pPr>
            <w:r>
              <w:rPr>
                <w:rFonts w:ascii="Courier New" w:cs="Courier New" w:eastAsia="Courier New" w:hAnsi="Courier New"/>
                <w:sz w:val="15"/>
                <w:szCs w:val="15"/>
                <w:color w:val="auto"/>
              </w:rPr>
              <w:t>CYCLE-SAT, INC.</w:t>
            </w:r>
          </w:p>
        </w:tc>
        <w:tc>
          <w:tcPr>
            <w:tcW w:w="0" w:type="dxa"/>
            <w:vAlign w:val="bottom"/>
          </w:tcPr>
          <w:p>
            <w:pPr>
              <w:spacing w:after="0"/>
              <w:rPr>
                <w:sz w:val="1"/>
                <w:szCs w:val="1"/>
                <w:color w:val="auto"/>
              </w:rPr>
            </w:pPr>
          </w:p>
        </w:tc>
      </w:tr>
      <w:tr>
        <w:trPr>
          <w:trHeight w:val="612"/>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Signed: Fred G. Dohrmann</w:t>
            </w:r>
          </w:p>
        </w:tc>
        <w:tc>
          <w:tcPr>
            <w:tcW w:w="3600" w:type="dxa"/>
            <w:vAlign w:val="bottom"/>
          </w:tcPr>
          <w:p>
            <w:pPr>
              <w:ind w:left="80"/>
              <w:spacing w:after="0"/>
              <w:rPr>
                <w:sz w:val="20"/>
                <w:szCs w:val="20"/>
                <w:color w:val="auto"/>
              </w:rPr>
            </w:pPr>
            <w:r>
              <w:rPr>
                <w:rFonts w:ascii="Courier New" w:cs="Courier New" w:eastAsia="Courier New" w:hAnsi="Courier New"/>
                <w:sz w:val="15"/>
                <w:szCs w:val="15"/>
                <w:color w:val="auto"/>
              </w:rPr>
              <w:t>Signed: Loren A. Swenson</w:t>
            </w:r>
          </w:p>
        </w:tc>
        <w:tc>
          <w:tcPr>
            <w:tcW w:w="0" w:type="dxa"/>
            <w:vAlign w:val="bottom"/>
          </w:tcPr>
          <w:p>
            <w:pPr>
              <w:spacing w:after="0"/>
              <w:rPr>
                <w:sz w:val="1"/>
                <w:szCs w:val="1"/>
                <w:color w:val="auto"/>
              </w:rPr>
            </w:pPr>
          </w:p>
        </w:tc>
      </w:tr>
      <w:tr>
        <w:trPr>
          <w:trHeight w:val="173"/>
        </w:trPr>
        <w:tc>
          <w:tcPr>
            <w:tcW w:w="3600" w:type="dxa"/>
            <w:vAlign w:val="bottom"/>
            <w:gridSpan w:val="2"/>
            <w:vMerge w:val="restart"/>
          </w:tcPr>
          <w:p>
            <w:pPr>
              <w:ind w:left="720"/>
              <w:spacing w:after="0"/>
              <w:rPr>
                <w:sz w:val="20"/>
                <w:szCs w:val="20"/>
                <w:color w:val="auto"/>
              </w:rPr>
            </w:pPr>
            <w:r>
              <w:rPr>
                <w:rFonts w:ascii="Courier New" w:cs="Courier New" w:eastAsia="Courier New" w:hAnsi="Courier New"/>
                <w:sz w:val="20"/>
                <w:szCs w:val="20"/>
                <w:color w:val="auto"/>
                <w:w w:val="70"/>
                <w:vertAlign w:val="subscript"/>
              </w:rPr>
              <w:t>Fred</w:t>
            </w: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G.Dohrmann,President</w:t>
            </w:r>
          </w:p>
        </w:tc>
        <w:tc>
          <w:tcPr>
            <w:tcW w:w="3600" w:type="dxa"/>
            <w:vAlign w:val="bottom"/>
          </w:tcPr>
          <w:p>
            <w:pPr>
              <w:ind w:left="82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70"/>
        </w:trPr>
        <w:tc>
          <w:tcPr>
            <w:tcW w:w="3600" w:type="dxa"/>
            <w:vAlign w:val="bottom"/>
            <w:gridSpan w:val="2"/>
            <w:vMerge w:val="continue"/>
          </w:tcPr>
          <w:p>
            <w:pPr>
              <w:spacing w:after="0"/>
              <w:rPr>
                <w:sz w:val="23"/>
                <w:szCs w:val="23"/>
                <w:color w:val="auto"/>
              </w:rPr>
            </w:pPr>
          </w:p>
        </w:tc>
        <w:tc>
          <w:tcPr>
            <w:tcW w:w="3600" w:type="dxa"/>
            <w:vAlign w:val="bottom"/>
          </w:tcPr>
          <w:p>
            <w:pPr>
              <w:ind w:left="820"/>
              <w:spacing w:after="0"/>
              <w:rPr>
                <w:sz w:val="20"/>
                <w:szCs w:val="20"/>
                <w:color w:val="auto"/>
              </w:rPr>
            </w:pPr>
            <w:r>
              <w:rPr>
                <w:rFonts w:ascii="Courier New" w:cs="Courier New" w:eastAsia="Courier New" w:hAnsi="Courier New"/>
                <w:sz w:val="15"/>
                <w:szCs w:val="15"/>
                <w:color w:val="auto"/>
              </w:rPr>
              <w:t>Loren A. Swenson, President</w:t>
            </w:r>
          </w:p>
        </w:tc>
        <w:tc>
          <w:tcPr>
            <w:tcW w:w="0" w:type="dxa"/>
            <w:vAlign w:val="bottom"/>
          </w:tcPr>
          <w:p>
            <w:pPr>
              <w:spacing w:after="0"/>
              <w:rPr>
                <w:sz w:val="1"/>
                <w:szCs w:val="1"/>
                <w:color w:val="auto"/>
              </w:rPr>
            </w:pPr>
          </w:p>
        </w:tc>
      </w:tr>
      <w:tr>
        <w:trPr>
          <w:trHeight w:val="679"/>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NORTH IOWA ELECTRONICS, INC.</w:t>
            </w:r>
          </w:p>
        </w:tc>
        <w:tc>
          <w:tcPr>
            <w:tcW w:w="3600" w:type="dxa"/>
            <w:vAlign w:val="bottom"/>
          </w:tcPr>
          <w:p>
            <w:pPr>
              <w:ind w:left="80"/>
              <w:spacing w:after="0"/>
              <w:rPr>
                <w:sz w:val="20"/>
                <w:szCs w:val="20"/>
                <w:color w:val="auto"/>
              </w:rPr>
            </w:pPr>
            <w:r>
              <w:rPr>
                <w:rFonts w:ascii="Courier New" w:cs="Courier New" w:eastAsia="Courier New" w:hAnsi="Courier New"/>
                <w:sz w:val="15"/>
                <w:szCs w:val="15"/>
                <w:color w:val="auto"/>
              </w:rPr>
              <w:t>WINNEBAGO REALTY CORP.</w:t>
            </w:r>
          </w:p>
        </w:tc>
        <w:tc>
          <w:tcPr>
            <w:tcW w:w="0" w:type="dxa"/>
            <w:vAlign w:val="bottom"/>
          </w:tcPr>
          <w:p>
            <w:pPr>
              <w:spacing w:after="0"/>
              <w:rPr>
                <w:sz w:val="1"/>
                <w:szCs w:val="1"/>
                <w:color w:val="auto"/>
              </w:rPr>
            </w:pPr>
          </w:p>
        </w:tc>
      </w:tr>
      <w:tr>
        <w:trPr>
          <w:trHeight w:val="612"/>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Signed: /s/ Fred G. Dohrmann</w:t>
            </w:r>
          </w:p>
        </w:tc>
        <w:tc>
          <w:tcPr>
            <w:tcW w:w="3600" w:type="dxa"/>
            <w:vAlign w:val="bottom"/>
          </w:tcPr>
          <w:p>
            <w:pPr>
              <w:ind w:left="80"/>
              <w:spacing w:after="0"/>
              <w:rPr>
                <w:sz w:val="20"/>
                <w:szCs w:val="20"/>
                <w:color w:val="auto"/>
              </w:rPr>
            </w:pPr>
            <w:r>
              <w:rPr>
                <w:rFonts w:ascii="Courier New" w:cs="Courier New" w:eastAsia="Courier New" w:hAnsi="Courier New"/>
                <w:sz w:val="15"/>
                <w:szCs w:val="15"/>
                <w:color w:val="auto"/>
              </w:rPr>
              <w:t>Signed: Fred G. Dohrmann</w:t>
            </w:r>
          </w:p>
        </w:tc>
        <w:tc>
          <w:tcPr>
            <w:tcW w:w="0" w:type="dxa"/>
            <w:vAlign w:val="bottom"/>
          </w:tcPr>
          <w:p>
            <w:pPr>
              <w:spacing w:after="0"/>
              <w:rPr>
                <w:sz w:val="1"/>
                <w:szCs w:val="1"/>
                <w:color w:val="auto"/>
              </w:rPr>
            </w:pPr>
          </w:p>
        </w:tc>
      </w:tr>
      <w:tr>
        <w:trPr>
          <w:trHeight w:val="173"/>
        </w:trPr>
        <w:tc>
          <w:tcPr>
            <w:tcW w:w="3600" w:type="dxa"/>
            <w:vAlign w:val="bottom"/>
            <w:gridSpan w:val="2"/>
            <w:vMerge w:val="restart"/>
          </w:tcPr>
          <w:p>
            <w:pPr>
              <w:ind w:left="720"/>
              <w:spacing w:after="0"/>
              <w:rPr>
                <w:sz w:val="20"/>
                <w:szCs w:val="20"/>
                <w:color w:val="auto"/>
              </w:rPr>
            </w:pPr>
            <w:r>
              <w:rPr>
                <w:rFonts w:ascii="Courier New" w:cs="Courier New" w:eastAsia="Courier New" w:hAnsi="Courier New"/>
                <w:sz w:val="20"/>
                <w:szCs w:val="20"/>
                <w:color w:val="auto"/>
                <w:w w:val="70"/>
                <w:vertAlign w:val="subscript"/>
              </w:rPr>
              <w:t>Fred</w:t>
            </w: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G.Dohrmann,President</w:t>
            </w:r>
          </w:p>
        </w:tc>
        <w:tc>
          <w:tcPr>
            <w:tcW w:w="3600" w:type="dxa"/>
            <w:vAlign w:val="bottom"/>
          </w:tcPr>
          <w:p>
            <w:pPr>
              <w:ind w:left="82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70"/>
        </w:trPr>
        <w:tc>
          <w:tcPr>
            <w:tcW w:w="3600" w:type="dxa"/>
            <w:vAlign w:val="bottom"/>
            <w:gridSpan w:val="2"/>
            <w:vMerge w:val="continue"/>
          </w:tcPr>
          <w:p>
            <w:pPr>
              <w:spacing w:after="0"/>
              <w:rPr>
                <w:sz w:val="23"/>
                <w:szCs w:val="23"/>
                <w:color w:val="auto"/>
              </w:rPr>
            </w:pPr>
          </w:p>
        </w:tc>
        <w:tc>
          <w:tcPr>
            <w:tcW w:w="3600" w:type="dxa"/>
            <w:vAlign w:val="bottom"/>
          </w:tcPr>
          <w:p>
            <w:pPr>
              <w:ind w:left="820"/>
              <w:spacing w:after="0"/>
              <w:rPr>
                <w:sz w:val="20"/>
                <w:szCs w:val="20"/>
                <w:color w:val="auto"/>
              </w:rPr>
            </w:pPr>
            <w:r>
              <w:rPr>
                <w:rFonts w:ascii="Courier New" w:cs="Courier New" w:eastAsia="Courier New" w:hAnsi="Courier New"/>
                <w:sz w:val="15"/>
                <w:szCs w:val="15"/>
                <w:color w:val="auto"/>
              </w:rPr>
              <w:t>Fred G. Dohrmann, President</w:t>
            </w:r>
          </w:p>
        </w:tc>
        <w:tc>
          <w:tcPr>
            <w:tcW w:w="0" w:type="dxa"/>
            <w:vAlign w:val="bottom"/>
          </w:tcPr>
          <w:p>
            <w:pPr>
              <w:spacing w:after="0"/>
              <w:rPr>
                <w:sz w:val="1"/>
                <w:szCs w:val="1"/>
                <w:color w:val="auto"/>
              </w:rPr>
            </w:pPr>
          </w:p>
        </w:tc>
      </w:tr>
      <w:tr>
        <w:trPr>
          <w:trHeight w:val="679"/>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WINNEBAGO RV, INC.</w:t>
            </w:r>
          </w:p>
        </w:tc>
        <w:tc>
          <w:tcPr>
            <w:tcW w:w="3600" w:type="dxa"/>
            <w:vAlign w:val="bottom"/>
          </w:tcPr>
          <w:p>
            <w:pPr>
              <w:ind w:left="80"/>
              <w:spacing w:after="0"/>
              <w:rPr>
                <w:sz w:val="20"/>
                <w:szCs w:val="20"/>
                <w:color w:val="auto"/>
              </w:rPr>
            </w:pPr>
            <w:r>
              <w:rPr>
                <w:rFonts w:ascii="Courier New" w:cs="Courier New" w:eastAsia="Courier New" w:hAnsi="Courier New"/>
                <w:sz w:val="15"/>
                <w:szCs w:val="15"/>
                <w:color w:val="auto"/>
              </w:rPr>
              <w:t>WINNEBAGO ACCEPTANCE CORP.</w:t>
            </w:r>
          </w:p>
        </w:tc>
        <w:tc>
          <w:tcPr>
            <w:tcW w:w="0" w:type="dxa"/>
            <w:vAlign w:val="bottom"/>
          </w:tcPr>
          <w:p>
            <w:pPr>
              <w:spacing w:after="0"/>
              <w:rPr>
                <w:sz w:val="1"/>
                <w:szCs w:val="1"/>
                <w:color w:val="auto"/>
              </w:rPr>
            </w:pPr>
          </w:p>
        </w:tc>
      </w:tr>
      <w:tr>
        <w:trPr>
          <w:trHeight w:val="612"/>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Signed: Fred G. Dohrmann</w:t>
            </w:r>
          </w:p>
        </w:tc>
        <w:tc>
          <w:tcPr>
            <w:tcW w:w="3600" w:type="dxa"/>
            <w:vAlign w:val="bottom"/>
          </w:tcPr>
          <w:p>
            <w:pPr>
              <w:ind w:left="80"/>
              <w:spacing w:after="0"/>
              <w:rPr>
                <w:sz w:val="20"/>
                <w:szCs w:val="20"/>
                <w:color w:val="auto"/>
              </w:rPr>
            </w:pPr>
            <w:r>
              <w:rPr>
                <w:rFonts w:ascii="Courier New" w:cs="Courier New" w:eastAsia="Courier New" w:hAnsi="Courier New"/>
                <w:sz w:val="15"/>
                <w:szCs w:val="15"/>
                <w:color w:val="auto"/>
              </w:rPr>
              <w:t>Signed: Fred G. Dohrmann</w:t>
            </w:r>
          </w:p>
        </w:tc>
        <w:tc>
          <w:tcPr>
            <w:tcW w:w="0" w:type="dxa"/>
            <w:vAlign w:val="bottom"/>
          </w:tcPr>
          <w:p>
            <w:pPr>
              <w:spacing w:after="0"/>
              <w:rPr>
                <w:sz w:val="1"/>
                <w:szCs w:val="1"/>
                <w:color w:val="auto"/>
              </w:rPr>
            </w:pPr>
          </w:p>
        </w:tc>
      </w:tr>
      <w:tr>
        <w:trPr>
          <w:trHeight w:val="173"/>
        </w:trPr>
        <w:tc>
          <w:tcPr>
            <w:tcW w:w="3600" w:type="dxa"/>
            <w:vAlign w:val="bottom"/>
            <w:gridSpan w:val="2"/>
            <w:vMerge w:val="restart"/>
          </w:tcPr>
          <w:p>
            <w:pPr>
              <w:ind w:left="720"/>
              <w:spacing w:after="0"/>
              <w:rPr>
                <w:sz w:val="20"/>
                <w:szCs w:val="20"/>
                <w:color w:val="auto"/>
              </w:rPr>
            </w:pPr>
            <w:r>
              <w:rPr>
                <w:rFonts w:ascii="Courier New" w:cs="Courier New" w:eastAsia="Courier New" w:hAnsi="Courier New"/>
                <w:sz w:val="20"/>
                <w:szCs w:val="20"/>
                <w:color w:val="auto"/>
                <w:w w:val="70"/>
                <w:vertAlign w:val="subscript"/>
              </w:rPr>
              <w:t>Fred</w:t>
            </w: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G.Dohrmann,President</w:t>
            </w:r>
          </w:p>
        </w:tc>
        <w:tc>
          <w:tcPr>
            <w:tcW w:w="3600" w:type="dxa"/>
            <w:vAlign w:val="bottom"/>
          </w:tcPr>
          <w:p>
            <w:pPr>
              <w:ind w:left="82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70"/>
        </w:trPr>
        <w:tc>
          <w:tcPr>
            <w:tcW w:w="3600" w:type="dxa"/>
            <w:vAlign w:val="bottom"/>
            <w:gridSpan w:val="2"/>
            <w:vMerge w:val="continue"/>
          </w:tcPr>
          <w:p>
            <w:pPr>
              <w:spacing w:after="0"/>
              <w:rPr>
                <w:sz w:val="23"/>
                <w:szCs w:val="23"/>
                <w:color w:val="auto"/>
              </w:rPr>
            </w:pPr>
          </w:p>
        </w:tc>
        <w:tc>
          <w:tcPr>
            <w:tcW w:w="3600" w:type="dxa"/>
            <w:vAlign w:val="bottom"/>
          </w:tcPr>
          <w:p>
            <w:pPr>
              <w:ind w:left="820"/>
              <w:spacing w:after="0"/>
              <w:rPr>
                <w:sz w:val="20"/>
                <w:szCs w:val="20"/>
                <w:color w:val="auto"/>
              </w:rPr>
            </w:pPr>
            <w:r>
              <w:rPr>
                <w:rFonts w:ascii="Courier New" w:cs="Courier New" w:eastAsia="Courier New" w:hAnsi="Courier New"/>
                <w:sz w:val="15"/>
                <w:szCs w:val="15"/>
                <w:color w:val="auto"/>
              </w:rPr>
              <w:t>Fred G. Dohrmann, President</w:t>
            </w:r>
          </w:p>
        </w:tc>
        <w:tc>
          <w:tcPr>
            <w:tcW w:w="0" w:type="dxa"/>
            <w:vAlign w:val="bottom"/>
          </w:tcPr>
          <w:p>
            <w:pPr>
              <w:spacing w:after="0"/>
              <w:rPr>
                <w:sz w:val="1"/>
                <w:szCs w:val="1"/>
                <w:color w:val="auto"/>
              </w:rPr>
            </w:pPr>
          </w:p>
        </w:tc>
      </w:tr>
      <w:tr>
        <w:trPr>
          <w:trHeight w:val="679"/>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WINNEBAGO PRODUCTS, INC.</w:t>
            </w:r>
          </w:p>
        </w:tc>
        <w:tc>
          <w:tcPr>
            <w:tcW w:w="3600" w:type="dxa"/>
            <w:vAlign w:val="bottom"/>
          </w:tcPr>
          <w:p>
            <w:pPr>
              <w:ind w:left="80"/>
              <w:spacing w:after="0"/>
              <w:rPr>
                <w:sz w:val="20"/>
                <w:szCs w:val="20"/>
                <w:color w:val="auto"/>
              </w:rPr>
            </w:pPr>
            <w:r>
              <w:rPr>
                <w:rFonts w:ascii="Courier New" w:cs="Courier New" w:eastAsia="Courier New" w:hAnsi="Courier New"/>
                <w:sz w:val="15"/>
                <w:szCs w:val="15"/>
                <w:color w:val="auto"/>
              </w:rPr>
              <w:t>WINNEBAGO INTERNATIONAL CORP.</w:t>
            </w:r>
          </w:p>
        </w:tc>
        <w:tc>
          <w:tcPr>
            <w:tcW w:w="0" w:type="dxa"/>
            <w:vAlign w:val="bottom"/>
          </w:tcPr>
          <w:p>
            <w:pPr>
              <w:spacing w:after="0"/>
              <w:rPr>
                <w:sz w:val="1"/>
                <w:szCs w:val="1"/>
                <w:color w:val="auto"/>
              </w:rPr>
            </w:pPr>
          </w:p>
        </w:tc>
      </w:tr>
      <w:tr>
        <w:trPr>
          <w:trHeight w:val="612"/>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Signed: Fred G. Dohrmann</w:t>
            </w:r>
          </w:p>
        </w:tc>
        <w:tc>
          <w:tcPr>
            <w:tcW w:w="3600" w:type="dxa"/>
            <w:vAlign w:val="bottom"/>
          </w:tcPr>
          <w:p>
            <w:pPr>
              <w:ind w:left="80"/>
              <w:spacing w:after="0"/>
              <w:rPr>
                <w:sz w:val="20"/>
                <w:szCs w:val="20"/>
                <w:color w:val="auto"/>
              </w:rPr>
            </w:pPr>
            <w:r>
              <w:rPr>
                <w:rFonts w:ascii="Courier New" w:cs="Courier New" w:eastAsia="Courier New" w:hAnsi="Courier New"/>
                <w:sz w:val="15"/>
                <w:szCs w:val="15"/>
                <w:color w:val="auto"/>
              </w:rPr>
              <w:t>Signed: Fred G. Dohrmann</w:t>
            </w:r>
          </w:p>
        </w:tc>
        <w:tc>
          <w:tcPr>
            <w:tcW w:w="0" w:type="dxa"/>
            <w:vAlign w:val="bottom"/>
          </w:tcPr>
          <w:p>
            <w:pPr>
              <w:spacing w:after="0"/>
              <w:rPr>
                <w:sz w:val="1"/>
                <w:szCs w:val="1"/>
                <w:color w:val="auto"/>
              </w:rPr>
            </w:pPr>
          </w:p>
        </w:tc>
      </w:tr>
      <w:tr>
        <w:trPr>
          <w:trHeight w:val="173"/>
        </w:trPr>
        <w:tc>
          <w:tcPr>
            <w:tcW w:w="3600" w:type="dxa"/>
            <w:vAlign w:val="bottom"/>
            <w:gridSpan w:val="2"/>
            <w:vMerge w:val="restart"/>
          </w:tcPr>
          <w:p>
            <w:pPr>
              <w:ind w:left="720"/>
              <w:spacing w:after="0"/>
              <w:rPr>
                <w:sz w:val="20"/>
                <w:szCs w:val="20"/>
                <w:color w:val="auto"/>
              </w:rPr>
            </w:pPr>
            <w:r>
              <w:rPr>
                <w:rFonts w:ascii="Courier New" w:cs="Courier New" w:eastAsia="Courier New" w:hAnsi="Courier New"/>
                <w:sz w:val="20"/>
                <w:szCs w:val="20"/>
                <w:color w:val="auto"/>
                <w:w w:val="70"/>
                <w:vertAlign w:val="subscript"/>
              </w:rPr>
              <w:t>Fred</w:t>
            </w: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G.Dohrmann,President</w:t>
            </w:r>
          </w:p>
        </w:tc>
        <w:tc>
          <w:tcPr>
            <w:tcW w:w="3600" w:type="dxa"/>
            <w:vAlign w:val="bottom"/>
          </w:tcPr>
          <w:p>
            <w:pPr>
              <w:ind w:left="82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3"/>
        </w:trPr>
        <w:tc>
          <w:tcPr>
            <w:tcW w:w="3600" w:type="dxa"/>
            <w:vAlign w:val="bottom"/>
            <w:gridSpan w:val="2"/>
            <w:vMerge w:val="continue"/>
          </w:tcPr>
          <w:p>
            <w:pPr>
              <w:spacing w:after="0"/>
              <w:rPr>
                <w:sz w:val="15"/>
                <w:szCs w:val="15"/>
                <w:color w:val="auto"/>
              </w:rPr>
            </w:pPr>
          </w:p>
        </w:tc>
        <w:tc>
          <w:tcPr>
            <w:tcW w:w="3600" w:type="dxa"/>
            <w:vAlign w:val="bottom"/>
          </w:tcPr>
          <w:p>
            <w:pPr>
              <w:ind w:left="820"/>
              <w:spacing w:after="0"/>
              <w:rPr>
                <w:sz w:val="20"/>
                <w:szCs w:val="20"/>
                <w:color w:val="auto"/>
              </w:rPr>
            </w:pPr>
            <w:r>
              <w:rPr>
                <w:rFonts w:ascii="Courier New" w:cs="Courier New" w:eastAsia="Courier New" w:hAnsi="Courier New"/>
                <w:sz w:val="15"/>
                <w:szCs w:val="15"/>
                <w:color w:val="auto"/>
              </w:rPr>
              <w:t>Fred G. Dohrmann, President &amp;</w:t>
            </w:r>
          </w:p>
        </w:tc>
        <w:tc>
          <w:tcPr>
            <w:tcW w:w="0" w:type="dxa"/>
            <w:vAlign w:val="bottom"/>
          </w:tcPr>
          <w:p>
            <w:pPr>
              <w:spacing w:after="0"/>
              <w:rPr>
                <w:sz w:val="1"/>
                <w:szCs w:val="1"/>
                <w:color w:val="auto"/>
              </w:rPr>
            </w:pPr>
          </w:p>
        </w:tc>
      </w:tr>
      <w:tr>
        <w:trPr>
          <w:trHeight w:val="255"/>
        </w:trPr>
        <w:tc>
          <w:tcPr>
            <w:tcW w:w="144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3600" w:type="dxa"/>
            <w:vAlign w:val="bottom"/>
          </w:tcPr>
          <w:p>
            <w:pPr>
              <w:ind w:left="820"/>
              <w:spacing w:after="0"/>
              <w:rPr>
                <w:sz w:val="20"/>
                <w:szCs w:val="20"/>
                <w:color w:val="auto"/>
              </w:rPr>
            </w:pPr>
            <w:r>
              <w:rPr>
                <w:rFonts w:ascii="Courier New" w:cs="Courier New" w:eastAsia="Courier New" w:hAnsi="Courier New"/>
                <w:sz w:val="15"/>
                <w:szCs w:val="15"/>
                <w:color w:val="auto"/>
              </w:rPr>
              <w:t>COO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8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TABLE OF CONTENTS</w:t>
            </w:r>
          </w:p>
        </w:tc>
        <w:tc>
          <w:tcPr>
            <w:tcW w:w="48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2"/>
        </w:trPr>
        <w:tc>
          <w:tcPr>
            <w:tcW w:w="4640" w:type="dxa"/>
            <w:vAlign w:val="bottom"/>
            <w:gridSpan w:val="2"/>
          </w:tcPr>
          <w:p>
            <w:pPr>
              <w:spacing w:after="0"/>
              <w:rPr>
                <w:sz w:val="20"/>
                <w:szCs w:val="20"/>
                <w:color w:val="auto"/>
              </w:rPr>
            </w:pPr>
            <w:r>
              <w:rPr>
                <w:rFonts w:ascii="Courier New" w:cs="Courier New" w:eastAsia="Courier New" w:hAnsi="Courier New"/>
                <w:sz w:val="15"/>
                <w:szCs w:val="15"/>
                <w:color w:val="auto"/>
              </w:rPr>
              <w:t>ALPHABETICAL LISTING OF</w:t>
            </w:r>
          </w:p>
        </w:tc>
        <w:tc>
          <w:tcPr>
            <w:tcW w:w="1760" w:type="dxa"/>
            <w:vAlign w:val="bottom"/>
            <w:vMerge w:val="restart"/>
          </w:tcPr>
          <w:p>
            <w:pPr>
              <w:jc w:val="right"/>
              <w:ind w:right="1105"/>
              <w:spacing w:after="0"/>
              <w:rPr>
                <w:sz w:val="20"/>
                <w:szCs w:val="20"/>
                <w:color w:val="auto"/>
              </w:rPr>
            </w:pPr>
            <w:r>
              <w:rPr>
                <w:rFonts w:ascii="Courier New" w:cs="Courier New" w:eastAsia="Courier New" w:hAnsi="Courier New"/>
                <w:sz w:val="15"/>
                <w:szCs w:val="15"/>
                <w:color w:val="auto"/>
              </w:rPr>
              <w:t>iii</w:t>
            </w:r>
          </w:p>
        </w:tc>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ARTICLE V, TERMINATION OF SERVICE -</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40" w:type="dxa"/>
            <w:vAlign w:val="bottom"/>
            <w:gridSpan w:val="2"/>
          </w:tcPr>
          <w:p>
            <w:pPr>
              <w:spacing w:after="0"/>
              <w:rPr>
                <w:sz w:val="20"/>
                <w:szCs w:val="20"/>
                <w:color w:val="auto"/>
              </w:rPr>
            </w:pPr>
            <w:r>
              <w:rPr>
                <w:rFonts w:ascii="Courier New" w:cs="Courier New" w:eastAsia="Courier New" w:hAnsi="Courier New"/>
                <w:sz w:val="15"/>
                <w:szCs w:val="15"/>
                <w:color w:val="auto"/>
              </w:rPr>
              <w:t>DEFINITIONS</w:t>
            </w:r>
          </w:p>
        </w:tc>
        <w:tc>
          <w:tcPr>
            <w:tcW w:w="1760" w:type="dxa"/>
            <w:vAlign w:val="bottom"/>
            <w:vMerge w:val="continue"/>
          </w:tcPr>
          <w:p>
            <w:pPr>
              <w:spacing w:after="0"/>
              <w:rPr>
                <w:sz w:val="15"/>
                <w:szCs w:val="15"/>
                <w:color w:val="auto"/>
              </w:rPr>
            </w:pPr>
          </w:p>
        </w:tc>
        <w:tc>
          <w:tcPr>
            <w:tcW w:w="4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PARTICIPANT VESTING</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5.01</w:t>
            </w:r>
          </w:p>
        </w:tc>
        <w:tc>
          <w:tcPr>
            <w:tcW w:w="0" w:type="dxa"/>
            <w:vAlign w:val="bottom"/>
          </w:tcPr>
          <w:p>
            <w:pPr>
              <w:spacing w:after="0"/>
              <w:rPr>
                <w:sz w:val="1"/>
                <w:szCs w:val="1"/>
                <w:color w:val="auto"/>
              </w:rPr>
            </w:pPr>
          </w:p>
        </w:tc>
      </w:tr>
      <w:tr>
        <w:trPr>
          <w:trHeight w:val="173"/>
        </w:trPr>
        <w:tc>
          <w:tcPr>
            <w:tcW w:w="46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ARTICLE I, DEFINITIONS</w:t>
            </w:r>
          </w:p>
        </w:tc>
        <w:tc>
          <w:tcPr>
            <w:tcW w:w="176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Courier New" w:cs="Courier New" w:eastAsia="Courier New" w:hAnsi="Courier New"/>
                <w:sz w:val="15"/>
                <w:szCs w:val="15"/>
                <w:color w:val="auto"/>
              </w:rPr>
              <w:t>5.01</w:t>
            </w: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Normal Retirement Age  ...................</w:t>
            </w: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640" w:type="dxa"/>
            <w:vAlign w:val="bottom"/>
            <w:gridSpan w:val="2"/>
            <w:vMerge w:val="continue"/>
          </w:tcPr>
          <w:p>
            <w:pPr>
              <w:spacing w:after="0"/>
              <w:rPr>
                <w:sz w:val="15"/>
                <w:szCs w:val="15"/>
                <w:color w:val="auto"/>
              </w:rPr>
            </w:pPr>
          </w:p>
        </w:tc>
        <w:tc>
          <w:tcPr>
            <w:tcW w:w="1760" w:type="dxa"/>
            <w:vAlign w:val="bottom"/>
            <w:vMerge w:val="restart"/>
          </w:tcPr>
          <w:p>
            <w:pPr>
              <w:jc w:val="right"/>
              <w:ind w:right="1105"/>
              <w:spacing w:after="0"/>
              <w:rPr>
                <w:sz w:val="20"/>
                <w:szCs w:val="20"/>
                <w:color w:val="auto"/>
              </w:rPr>
            </w:pPr>
            <w:r>
              <w:rPr>
                <w:rFonts w:ascii="Courier New" w:cs="Courier New" w:eastAsia="Courier New" w:hAnsi="Courier New"/>
                <w:sz w:val="15"/>
                <w:szCs w:val="15"/>
                <w:color w:val="auto"/>
              </w:rPr>
              <w:t>1.01</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5.02</w:t>
            </w: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Participant Disability or Death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5.01</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Plan  ....................................</w:t>
            </w:r>
          </w:p>
        </w:tc>
        <w:tc>
          <w:tcPr>
            <w:tcW w:w="1760" w:type="dxa"/>
            <w:vAlign w:val="bottom"/>
            <w:vMerge w:val="continue"/>
          </w:tcPr>
          <w:p>
            <w:pPr>
              <w:spacing w:after="0"/>
              <w:rPr>
                <w:sz w:val="15"/>
                <w:szCs w:val="15"/>
                <w:color w:val="auto"/>
              </w:rPr>
            </w:pPr>
          </w:p>
        </w:tc>
        <w:tc>
          <w:tcPr>
            <w:tcW w:w="480" w:type="dxa"/>
            <w:vAlign w:val="bottom"/>
          </w:tcPr>
          <w:p>
            <w:pPr>
              <w:spacing w:after="0"/>
              <w:rPr>
                <w:sz w:val="20"/>
                <w:szCs w:val="20"/>
                <w:color w:val="auto"/>
              </w:rPr>
            </w:pPr>
            <w:r>
              <w:rPr>
                <w:rFonts w:ascii="Courier New" w:cs="Courier New" w:eastAsia="Courier New" w:hAnsi="Courier New"/>
                <w:sz w:val="15"/>
                <w:szCs w:val="15"/>
                <w:color w:val="auto"/>
              </w:rPr>
              <w:t>5.03</w:t>
            </w: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Vesting Schedule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5.01</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Employer  ................................</w:t>
            </w:r>
          </w:p>
        </w:tc>
        <w:tc>
          <w:tcPr>
            <w:tcW w:w="176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1.01</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5.04</w:t>
            </w: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Cash-Out Distributions to Partially-Vested</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Trustee  .................................</w:t>
            </w:r>
          </w:p>
        </w:tc>
        <w:tc>
          <w:tcPr>
            <w:tcW w:w="176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1.01</w:t>
            </w:r>
          </w:p>
        </w:tc>
        <w:tc>
          <w:tcPr>
            <w:tcW w:w="480" w:type="dxa"/>
            <w:vAlign w:val="bottom"/>
          </w:tcPr>
          <w:p>
            <w:pPr>
              <w:spacing w:after="0"/>
              <w:rPr>
                <w:sz w:val="15"/>
                <w:szCs w:val="15"/>
                <w:color w:val="auto"/>
              </w:rPr>
            </w:pPr>
          </w:p>
        </w:tc>
        <w:tc>
          <w:tcPr>
            <w:tcW w:w="46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Participants/Restoration of Forfeited Accrued</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Plan Administrator  ......................</w:t>
            </w:r>
          </w:p>
        </w:tc>
        <w:tc>
          <w:tcPr>
            <w:tcW w:w="176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1.01</w:t>
            </w:r>
          </w:p>
        </w:tc>
        <w:tc>
          <w:tcPr>
            <w:tcW w:w="480" w:type="dxa"/>
            <w:vAlign w:val="bottom"/>
            <w:vMerge w:val="restart"/>
          </w:tcPr>
          <w:p>
            <w:pPr>
              <w:spacing w:after="0"/>
              <w:rPr>
                <w:sz w:val="20"/>
                <w:szCs w:val="20"/>
                <w:color w:val="auto"/>
              </w:rPr>
            </w:pPr>
            <w:r>
              <w:rPr>
                <w:rFonts w:ascii="Courier New" w:cs="Courier New" w:eastAsia="Courier New" w:hAnsi="Courier New"/>
                <w:sz w:val="15"/>
                <w:szCs w:val="15"/>
                <w:color w:val="auto"/>
              </w:rPr>
              <w:t>5.05</w:t>
            </w:r>
          </w:p>
        </w:tc>
        <w:tc>
          <w:tcPr>
            <w:tcW w:w="4060" w:type="dxa"/>
            <w:vAlign w:val="bottom"/>
          </w:tcPr>
          <w:p>
            <w:pPr>
              <w:ind w:left="320"/>
              <w:spacing w:after="0"/>
              <w:rPr>
                <w:sz w:val="20"/>
                <w:szCs w:val="20"/>
                <w:color w:val="auto"/>
              </w:rPr>
            </w:pPr>
            <w:r>
              <w:rPr>
                <w:rFonts w:ascii="Courier New" w:cs="Courier New" w:eastAsia="Courier New" w:hAnsi="Courier New"/>
                <w:sz w:val="15"/>
                <w:szCs w:val="15"/>
                <w:color w:val="auto"/>
              </w:rPr>
              <w:t>Benefit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5.01</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Advisory Committee  ......................</w:t>
            </w:r>
          </w:p>
        </w:tc>
        <w:tc>
          <w:tcPr>
            <w:tcW w:w="176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1.01</w:t>
            </w:r>
          </w:p>
        </w:tc>
        <w:tc>
          <w:tcPr>
            <w:tcW w:w="480" w:type="dxa"/>
            <w:vAlign w:val="bottom"/>
            <w:vMerge w:val="continue"/>
          </w:tcPr>
          <w:p>
            <w:pPr>
              <w:spacing w:after="0"/>
              <w:rPr>
                <w:sz w:val="15"/>
                <w:szCs w:val="15"/>
                <w:color w:val="auto"/>
              </w:rPr>
            </w:pP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Segregated Account for Repaid Amount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5.03</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Employee  ................................</w:t>
            </w:r>
          </w:p>
        </w:tc>
        <w:tc>
          <w:tcPr>
            <w:tcW w:w="176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1.01</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5.06</w:t>
            </w: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Year of Service - Vesting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5.03</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Highly Compensated Employee  .............</w:t>
            </w:r>
          </w:p>
        </w:tc>
        <w:tc>
          <w:tcPr>
            <w:tcW w:w="176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1.01</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5.07</w:t>
            </w: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Break in Service - Vesting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5.03</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Participant  .............................</w:t>
            </w:r>
          </w:p>
        </w:tc>
        <w:tc>
          <w:tcPr>
            <w:tcW w:w="176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1.02</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5.08</w:t>
            </w: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Included Years of Service - Vesting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5.03</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Beneficiary  .............................</w:t>
            </w:r>
          </w:p>
        </w:tc>
        <w:tc>
          <w:tcPr>
            <w:tcW w:w="176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1.02</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5.09</w:t>
            </w: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Forfeiture Occurs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5.03</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1.10</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Compensation  ............................</w:t>
            </w:r>
          </w:p>
        </w:tc>
        <w:tc>
          <w:tcPr>
            <w:tcW w:w="176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1.03</w:t>
            </w:r>
          </w:p>
        </w:tc>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ARTICLE VI, TIME AND METHOD OF PAYMENT</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1.11</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Account  .................................</w:t>
            </w:r>
          </w:p>
        </w:tc>
        <w:tc>
          <w:tcPr>
            <w:tcW w:w="176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1.04</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OF</w:t>
            </w: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BENEFITS</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6.01</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1.12</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Accrued Benefit  .........................</w:t>
            </w:r>
          </w:p>
        </w:tc>
        <w:tc>
          <w:tcPr>
            <w:tcW w:w="176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1.04</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6.01</w:t>
            </w: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Time of Payment of Accrued Benefit  ......</w:t>
            </w: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1.13</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Nonforfeitable  ..........................</w:t>
            </w:r>
          </w:p>
        </w:tc>
        <w:tc>
          <w:tcPr>
            <w:tcW w:w="176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1.04</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6.02</w:t>
            </w: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Method of Payment of Accrued Benefit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6.02</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1.14</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Plan Year  ...............................</w:t>
            </w:r>
          </w:p>
        </w:tc>
        <w:tc>
          <w:tcPr>
            <w:tcW w:w="176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1.04</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6.03</w:t>
            </w: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Benefit Payment Elections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6.04</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1.15</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Effective Date  ..........................</w:t>
            </w:r>
          </w:p>
        </w:tc>
        <w:tc>
          <w:tcPr>
            <w:tcW w:w="176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1.04</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6.04</w:t>
            </w: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Annuity Distributions to Participants</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6.04</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1.16</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Plan Entry Date  .........................</w:t>
            </w:r>
          </w:p>
        </w:tc>
        <w:tc>
          <w:tcPr>
            <w:tcW w:w="176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1.04</w:t>
            </w:r>
          </w:p>
        </w:tc>
        <w:tc>
          <w:tcPr>
            <w:tcW w:w="480" w:type="dxa"/>
            <w:vAlign w:val="bottom"/>
            <w:vMerge w:val="restart"/>
          </w:tcPr>
          <w:p>
            <w:pPr>
              <w:spacing w:after="0"/>
              <w:rPr>
                <w:sz w:val="20"/>
                <w:szCs w:val="20"/>
                <w:color w:val="auto"/>
              </w:rPr>
            </w:pPr>
            <w:r>
              <w:rPr>
                <w:rFonts w:ascii="Courier New" w:cs="Courier New" w:eastAsia="Courier New" w:hAnsi="Courier New"/>
                <w:sz w:val="15"/>
                <w:szCs w:val="15"/>
                <w:color w:val="auto"/>
              </w:rPr>
              <w:t>6.05</w:t>
            </w:r>
          </w:p>
        </w:tc>
        <w:tc>
          <w:tcPr>
            <w:tcW w:w="4060" w:type="dxa"/>
            <w:vAlign w:val="bottom"/>
          </w:tcPr>
          <w:p>
            <w:pPr>
              <w:ind w:left="320"/>
              <w:spacing w:after="0"/>
              <w:rPr>
                <w:sz w:val="20"/>
                <w:szCs w:val="20"/>
                <w:color w:val="auto"/>
              </w:rPr>
            </w:pPr>
            <w:r>
              <w:rPr>
                <w:rFonts w:ascii="Courier New" w:cs="Courier New" w:eastAsia="Courier New" w:hAnsi="Courier New"/>
                <w:sz w:val="15"/>
                <w:szCs w:val="15"/>
                <w:color w:val="auto"/>
              </w:rPr>
              <w:t>and Surviving Spouses  ................</w:t>
            </w: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1.17</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Accounting Date  .........................</w:t>
            </w:r>
          </w:p>
        </w:tc>
        <w:tc>
          <w:tcPr>
            <w:tcW w:w="176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1.04</w:t>
            </w:r>
          </w:p>
        </w:tc>
        <w:tc>
          <w:tcPr>
            <w:tcW w:w="480" w:type="dxa"/>
            <w:vAlign w:val="bottom"/>
            <w:vMerge w:val="continue"/>
          </w:tcPr>
          <w:p>
            <w:pPr>
              <w:spacing w:after="0"/>
              <w:rPr>
                <w:sz w:val="15"/>
                <w:szCs w:val="15"/>
                <w:color w:val="auto"/>
              </w:rPr>
            </w:pP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Distributions Under Domestic</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6.04</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1.18</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Trust  ...................................</w:t>
            </w:r>
          </w:p>
        </w:tc>
        <w:tc>
          <w:tcPr>
            <w:tcW w:w="176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1.04</w:t>
            </w:r>
          </w:p>
        </w:tc>
        <w:tc>
          <w:tcPr>
            <w:tcW w:w="480" w:type="dxa"/>
            <w:vAlign w:val="bottom"/>
          </w:tcPr>
          <w:p>
            <w:pPr>
              <w:spacing w:after="0"/>
              <w:rPr>
                <w:sz w:val="15"/>
                <w:szCs w:val="15"/>
                <w:color w:val="auto"/>
              </w:rPr>
            </w:pPr>
          </w:p>
        </w:tc>
        <w:tc>
          <w:tcPr>
            <w:tcW w:w="4060" w:type="dxa"/>
            <w:vAlign w:val="bottom"/>
          </w:tcPr>
          <w:p>
            <w:pPr>
              <w:ind w:left="320"/>
              <w:spacing w:after="0"/>
              <w:rPr>
                <w:sz w:val="20"/>
                <w:szCs w:val="20"/>
                <w:color w:val="auto"/>
              </w:rPr>
            </w:pPr>
            <w:r>
              <w:rPr>
                <w:rFonts w:ascii="Courier New" w:cs="Courier New" w:eastAsia="Courier New" w:hAnsi="Courier New"/>
                <w:sz w:val="15"/>
                <w:szCs w:val="15"/>
                <w:color w:val="auto"/>
              </w:rPr>
              <w:t>Relations Orders  .....................</w:t>
            </w: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1.19</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Trust Fund  ..............................</w:t>
            </w:r>
          </w:p>
        </w:tc>
        <w:tc>
          <w:tcPr>
            <w:tcW w:w="176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1.04</w:t>
            </w:r>
          </w:p>
        </w:tc>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ARTICLE VII, EMPLOYER ADMINISTRATIVE</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1.20</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Nontransferable Annuity  .................</w:t>
            </w:r>
          </w:p>
        </w:tc>
        <w:tc>
          <w:tcPr>
            <w:tcW w:w="176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1.04</w:t>
            </w:r>
          </w:p>
        </w:tc>
        <w:tc>
          <w:tcPr>
            <w:tcW w:w="4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PROVISIONS</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7.01</w:t>
            </w:r>
          </w:p>
        </w:tc>
        <w:tc>
          <w:tcPr>
            <w:tcW w:w="0" w:type="dxa"/>
            <w:vAlign w:val="bottom"/>
          </w:tcPr>
          <w:p>
            <w:pPr>
              <w:spacing w:after="0"/>
              <w:rPr>
                <w:sz w:val="1"/>
                <w:szCs w:val="1"/>
                <w:color w:val="auto"/>
              </w:rPr>
            </w:pPr>
          </w:p>
        </w:tc>
      </w:tr>
      <w:tr>
        <w:trPr>
          <w:trHeight w:val="255"/>
        </w:trPr>
        <w:tc>
          <w:tcPr>
            <w:tcW w:w="480" w:type="dxa"/>
            <w:vAlign w:val="bottom"/>
          </w:tcPr>
          <w:p>
            <w:pPr>
              <w:spacing w:after="0"/>
              <w:rPr>
                <w:sz w:val="20"/>
                <w:szCs w:val="20"/>
                <w:color w:val="auto"/>
              </w:rPr>
            </w:pPr>
            <w:r>
              <w:rPr>
                <w:rFonts w:ascii="Courier New" w:cs="Courier New" w:eastAsia="Courier New" w:hAnsi="Courier New"/>
                <w:sz w:val="15"/>
                <w:szCs w:val="15"/>
                <w:color w:val="auto"/>
              </w:rPr>
              <w:t>1.21</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ERISA  ...................................</w:t>
            </w:r>
          </w:p>
        </w:tc>
        <w:tc>
          <w:tcPr>
            <w:tcW w:w="176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1.04</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7.01</w:t>
            </w: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Information to Committee  ................</w:t>
            </w:r>
          </w:p>
        </w:tc>
        <w:tc>
          <w:tcPr>
            <w:tcW w:w="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ectPr>
          <w:pgSz w:w="11900" w:h="16867" w:orient="portrait"/>
          <w:cols w:equalWidth="0" w:num="1">
            <w:col w:w="11520"/>
          </w:cols>
          <w:pgMar w:left="240" w:top="460" w:right="139" w:bottom="0" w:gutter="0" w:footer="0" w:header="0"/>
        </w:sectPr>
      </w:pPr>
    </w:p>
    <w:bookmarkStart w:id="49" w:name="page50"/>
    <w:bookmarkEnd w:id="49"/>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1.22</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Code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w:t>
            </w: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7.02</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No Liability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7.01</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1.23</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Service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w:t>
            </w: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7.03</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Indemnity of Certain Fiduciaries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7.01</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1.24</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Hour of Service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w:t>
            </w: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7.04</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Employer Direction of Investment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7.01</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1.25</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Disability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1.06</w:t>
            </w: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7.05</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Amendment to Vesting Schedule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7.01</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1.26</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Service for Predecessor Employer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1.06</w:t>
            </w:r>
          </w:p>
        </w:tc>
        <w:tc>
          <w:tcPr>
            <w:tcW w:w="5540" w:type="dxa"/>
            <w:vAlign w:val="bottom"/>
            <w:gridSpan w:val="2"/>
          </w:tcPr>
          <w:p>
            <w:pPr>
              <w:ind w:left="1040"/>
              <w:spacing w:after="0"/>
              <w:rPr>
                <w:sz w:val="20"/>
                <w:szCs w:val="20"/>
                <w:color w:val="auto"/>
              </w:rPr>
            </w:pPr>
            <w:r>
              <w:rPr>
                <w:rFonts w:ascii="Courier New" w:cs="Courier New" w:eastAsia="Courier New" w:hAnsi="Courier New"/>
                <w:sz w:val="15"/>
                <w:szCs w:val="15"/>
                <w:color w:val="auto"/>
              </w:rPr>
              <w:t>ARTICLE VIII, PARTICIPANT ADMINISTRATIVE</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1.27</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Related Employers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1.06</w:t>
            </w:r>
          </w:p>
        </w:tc>
        <w:tc>
          <w:tcPr>
            <w:tcW w:w="5540" w:type="dxa"/>
            <w:vAlign w:val="bottom"/>
            <w:gridSpan w:val="2"/>
          </w:tcPr>
          <w:p>
            <w:pPr>
              <w:ind w:left="1300"/>
              <w:spacing w:after="0"/>
              <w:rPr>
                <w:sz w:val="20"/>
                <w:szCs w:val="20"/>
                <w:color w:val="auto"/>
              </w:rPr>
            </w:pPr>
            <w:r>
              <w:rPr>
                <w:rFonts w:ascii="Courier New" w:cs="Courier New" w:eastAsia="Courier New" w:hAnsi="Courier New"/>
                <w:sz w:val="15"/>
                <w:szCs w:val="15"/>
                <w:color w:val="auto"/>
              </w:rPr>
              <w:t>PROVISIONS</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8.01</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1.28</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Leased Employees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1.06</w:t>
            </w: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8.01</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Beneficiary Designations  ................</w:t>
            </w: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1.29</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Determination of Top Heavy Status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w:t>
            </w: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8.02</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No Beneficiary Designation/Death</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8.01</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1.30</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Employer Securities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1.08</w:t>
            </w:r>
          </w:p>
        </w:tc>
        <w:tc>
          <w:tcPr>
            <w:tcW w:w="1520" w:type="dxa"/>
            <w:vAlign w:val="bottom"/>
            <w:vMerge w:val="restart"/>
          </w:tcPr>
          <w:p>
            <w:pPr>
              <w:ind w:left="1040"/>
              <w:spacing w:after="0"/>
              <w:rPr>
                <w:sz w:val="20"/>
                <w:szCs w:val="20"/>
                <w:color w:val="auto"/>
              </w:rPr>
            </w:pPr>
            <w:r>
              <w:rPr>
                <w:rFonts w:ascii="Courier New" w:cs="Courier New" w:eastAsia="Courier New" w:hAnsi="Courier New"/>
                <w:sz w:val="15"/>
                <w:szCs w:val="15"/>
                <w:color w:val="auto"/>
              </w:rPr>
              <w:t>8.03</w:t>
            </w:r>
          </w:p>
        </w:tc>
        <w:tc>
          <w:tcPr>
            <w:tcW w:w="4020" w:type="dxa"/>
            <w:vAlign w:val="bottom"/>
          </w:tcPr>
          <w:p>
            <w:pPr>
              <w:ind w:left="320"/>
              <w:spacing w:after="0"/>
              <w:rPr>
                <w:sz w:val="20"/>
                <w:szCs w:val="20"/>
                <w:color w:val="auto"/>
              </w:rPr>
            </w:pPr>
            <w:r>
              <w:rPr>
                <w:rFonts w:ascii="Courier New" w:cs="Courier New" w:eastAsia="Courier New" w:hAnsi="Courier New"/>
                <w:sz w:val="15"/>
                <w:szCs w:val="15"/>
                <w:color w:val="auto"/>
              </w:rPr>
              <w:t>of Beneficiary  .......................</w:t>
            </w: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1.31</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Plan Maintained By More Than</w:t>
            </w:r>
          </w:p>
        </w:tc>
        <w:tc>
          <w:tcPr>
            <w:tcW w:w="7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1.08</w:t>
            </w:r>
          </w:p>
        </w:tc>
        <w:tc>
          <w:tcPr>
            <w:tcW w:w="1520" w:type="dxa"/>
            <w:vAlign w:val="bottom"/>
            <w:vMerge w:val="continue"/>
          </w:tcPr>
          <w:p>
            <w:pPr>
              <w:spacing w:after="0"/>
              <w:rPr>
                <w:sz w:val="15"/>
                <w:szCs w:val="15"/>
                <w:color w:val="auto"/>
              </w:rPr>
            </w:pP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Personal Data to Committee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8.01</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15"/>
                <w:szCs w:val="15"/>
                <w:color w:val="auto"/>
              </w:rPr>
            </w:pPr>
          </w:p>
        </w:tc>
        <w:tc>
          <w:tcPr>
            <w:tcW w:w="4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One Employer  ..........................</w:t>
            </w:r>
          </w:p>
        </w:tc>
        <w:tc>
          <w:tcPr>
            <w:tcW w:w="760" w:type="dxa"/>
            <w:vAlign w:val="bottom"/>
            <w:vMerge w:val="continue"/>
          </w:tcPr>
          <w:p>
            <w:pPr>
              <w:spacing w:after="0"/>
              <w:rPr>
                <w:sz w:val="15"/>
                <w:szCs w:val="15"/>
                <w:color w:val="auto"/>
              </w:rPr>
            </w:pP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8.04</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Address for Notification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8.01</w:t>
            </w:r>
          </w:p>
        </w:tc>
        <w:tc>
          <w:tcPr>
            <w:tcW w:w="0" w:type="dxa"/>
            <w:vAlign w:val="bottom"/>
          </w:tcPr>
          <w:p>
            <w:pPr>
              <w:spacing w:after="0"/>
              <w:rPr>
                <w:sz w:val="1"/>
                <w:szCs w:val="1"/>
                <w:color w:val="auto"/>
              </w:rPr>
            </w:pPr>
          </w:p>
        </w:tc>
      </w:tr>
      <w:tr>
        <w:trPr>
          <w:trHeight w:val="173"/>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ARTICLE II, EMPLOYEE PARTICIPANTS</w:t>
            </w:r>
          </w:p>
        </w:tc>
        <w:tc>
          <w:tcPr>
            <w:tcW w:w="7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2.01</w:t>
            </w: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8.05</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Assignment or Alienation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8.01</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2.01</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Eligibility  .............................</w:t>
            </w:r>
          </w:p>
        </w:tc>
        <w:tc>
          <w:tcPr>
            <w:tcW w:w="760" w:type="dxa"/>
            <w:vAlign w:val="bottom"/>
            <w:vMerge w:val="continue"/>
          </w:tcPr>
          <w:p>
            <w:pPr>
              <w:spacing w:after="0"/>
              <w:rPr>
                <w:sz w:val="15"/>
                <w:szCs w:val="15"/>
                <w:color w:val="auto"/>
              </w:rPr>
            </w:pP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8.06</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Notice of Change in Terms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8.02</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2.02</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Year of Service - Participation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2.01</w:t>
            </w: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8.07</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Litigation Against the Trust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8.02</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2.03</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Break in Service - Participation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2.01</w:t>
            </w: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8.08</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Information Available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8.02</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2.04</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Participation upon Re-employment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2.01</w:t>
            </w: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8.09</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Appeal Procedure for Denial</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8.02</w:t>
            </w:r>
          </w:p>
        </w:tc>
        <w:tc>
          <w:tcPr>
            <w:tcW w:w="0" w:type="dxa"/>
            <w:vAlign w:val="bottom"/>
          </w:tcPr>
          <w:p>
            <w:pPr>
              <w:spacing w:after="0"/>
              <w:rPr>
                <w:sz w:val="1"/>
                <w:szCs w:val="1"/>
                <w:color w:val="auto"/>
              </w:rPr>
            </w:pPr>
          </w:p>
        </w:tc>
      </w:tr>
      <w:tr>
        <w:trPr>
          <w:trHeight w:val="173"/>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ARTICLE III, EMPLOYER CONTRIBUTIONS AND</w:t>
            </w:r>
          </w:p>
        </w:tc>
        <w:tc>
          <w:tcPr>
            <w:tcW w:w="760" w:type="dxa"/>
            <w:vAlign w:val="bottom"/>
          </w:tcPr>
          <w:p>
            <w:pPr>
              <w:spacing w:after="0"/>
              <w:rPr>
                <w:sz w:val="15"/>
                <w:szCs w:val="15"/>
                <w:color w:val="auto"/>
              </w:rPr>
            </w:pPr>
          </w:p>
        </w:tc>
        <w:tc>
          <w:tcPr>
            <w:tcW w:w="1520" w:type="dxa"/>
            <w:vAlign w:val="bottom"/>
            <w:vMerge w:val="restart"/>
          </w:tcPr>
          <w:p>
            <w:pPr>
              <w:ind w:left="1040"/>
              <w:spacing w:after="0"/>
              <w:rPr>
                <w:sz w:val="20"/>
                <w:szCs w:val="20"/>
                <w:color w:val="auto"/>
              </w:rPr>
            </w:pPr>
            <w:r>
              <w:rPr>
                <w:rFonts w:ascii="Courier New" w:cs="Courier New" w:eastAsia="Courier New" w:hAnsi="Courier New"/>
                <w:sz w:val="15"/>
                <w:szCs w:val="15"/>
                <w:color w:val="auto"/>
              </w:rPr>
              <w:t>8.10</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of Benefits  .............................</w:t>
            </w: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6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FORFEITURES</w:t>
            </w:r>
          </w:p>
        </w:tc>
        <w:tc>
          <w:tcPr>
            <w:tcW w:w="7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3.01</w:t>
            </w:r>
          </w:p>
        </w:tc>
        <w:tc>
          <w:tcPr>
            <w:tcW w:w="1520" w:type="dxa"/>
            <w:vAlign w:val="bottom"/>
            <w:vMerge w:val="continue"/>
          </w:tcPr>
          <w:p>
            <w:pPr>
              <w:spacing w:after="0"/>
              <w:rPr>
                <w:sz w:val="15"/>
                <w:szCs w:val="15"/>
                <w:color w:val="auto"/>
              </w:rPr>
            </w:pP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Participant Direction of Investment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8.03</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3.01</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Amount  ..................................</w:t>
            </w:r>
          </w:p>
        </w:tc>
        <w:tc>
          <w:tcPr>
            <w:tcW w:w="760" w:type="dxa"/>
            <w:vAlign w:val="bottom"/>
            <w:vMerge w:val="continue"/>
          </w:tcPr>
          <w:p>
            <w:pPr>
              <w:spacing w:after="0"/>
              <w:rPr>
                <w:sz w:val="15"/>
                <w:szCs w:val="15"/>
                <w:color w:val="auto"/>
              </w:rPr>
            </w:pPr>
          </w:p>
        </w:tc>
        <w:tc>
          <w:tcPr>
            <w:tcW w:w="5540" w:type="dxa"/>
            <w:vAlign w:val="bottom"/>
            <w:gridSpan w:val="2"/>
          </w:tcPr>
          <w:p>
            <w:pPr>
              <w:ind w:left="1040"/>
              <w:spacing w:after="0"/>
              <w:rPr>
                <w:sz w:val="20"/>
                <w:szCs w:val="20"/>
                <w:color w:val="auto"/>
              </w:rPr>
            </w:pPr>
            <w:r>
              <w:rPr>
                <w:rFonts w:ascii="Courier New" w:cs="Courier New" w:eastAsia="Courier New" w:hAnsi="Courier New"/>
                <w:sz w:val="15"/>
                <w:szCs w:val="15"/>
                <w:color w:val="auto"/>
              </w:rPr>
              <w:t>ARTICLE IX, ADVISORY COMMITTEE - DUTIES</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3.02</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Determination of Contribution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3.01</w:t>
            </w:r>
          </w:p>
        </w:tc>
        <w:tc>
          <w:tcPr>
            <w:tcW w:w="5540" w:type="dxa"/>
            <w:vAlign w:val="bottom"/>
            <w:gridSpan w:val="2"/>
          </w:tcPr>
          <w:p>
            <w:pPr>
              <w:ind w:left="1300"/>
              <w:spacing w:after="0"/>
              <w:rPr>
                <w:sz w:val="20"/>
                <w:szCs w:val="20"/>
                <w:color w:val="auto"/>
              </w:rPr>
            </w:pPr>
            <w:r>
              <w:rPr>
                <w:rFonts w:ascii="Courier New" w:cs="Courier New" w:eastAsia="Courier New" w:hAnsi="Courier New"/>
                <w:sz w:val="15"/>
                <w:szCs w:val="15"/>
                <w:color w:val="auto"/>
              </w:rPr>
              <w:t>WITH RESPECT TO PARTICIPANTS' ACCOUNTS</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9.01</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3.03</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Time of Payment of Contribution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3.01</w:t>
            </w: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9.01</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Members' Compensation, Expenses  .........</w:t>
            </w: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3.04</w:t>
            </w:r>
          </w:p>
        </w:tc>
        <w:tc>
          <w:tcPr>
            <w:tcW w:w="4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Contribution Allocation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3.01</w:t>
            </w: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9.02</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Term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9.01</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3.05</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Forfeiture Allocation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3.02</w:t>
            </w: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9.03</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Powers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9.01</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3.06</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Accrual of Benefit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3.03</w:t>
            </w: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9.04</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General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9.01</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3.07</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Limitations on Allocations to</w:t>
            </w:r>
          </w:p>
        </w:tc>
        <w:tc>
          <w:tcPr>
            <w:tcW w:w="7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3.03</w:t>
            </w: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9.05</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Funding Policy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9.01</w:t>
            </w:r>
          </w:p>
        </w:tc>
        <w:tc>
          <w:tcPr>
            <w:tcW w:w="0" w:type="dxa"/>
            <w:vAlign w:val="bottom"/>
          </w:tcPr>
          <w:p>
            <w:pPr>
              <w:spacing w:after="0"/>
              <w:rPr>
                <w:sz w:val="1"/>
                <w:szCs w:val="1"/>
                <w:color w:val="auto"/>
              </w:rPr>
            </w:pPr>
          </w:p>
        </w:tc>
      </w:tr>
      <w:tr>
        <w:trPr>
          <w:trHeight w:val="173"/>
        </w:trPr>
        <w:tc>
          <w:tcPr>
            <w:tcW w:w="540" w:type="dxa"/>
            <w:vAlign w:val="bottom"/>
            <w:vMerge w:val="restart"/>
          </w:tcPr>
          <w:p>
            <w:pPr>
              <w:spacing w:after="0"/>
              <w:rPr>
                <w:sz w:val="20"/>
                <w:szCs w:val="20"/>
                <w:color w:val="auto"/>
              </w:rPr>
            </w:pPr>
            <w:r>
              <w:rPr>
                <w:rFonts w:ascii="Courier New" w:cs="Courier New" w:eastAsia="Courier New" w:hAnsi="Courier New"/>
                <w:sz w:val="15"/>
                <w:szCs w:val="15"/>
                <w:color w:val="auto"/>
              </w:rPr>
              <w:t>3.08</w:t>
            </w:r>
          </w:p>
        </w:tc>
        <w:tc>
          <w:tcPr>
            <w:tcW w:w="4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Participants' Accounts  ...............</w:t>
            </w:r>
          </w:p>
        </w:tc>
        <w:tc>
          <w:tcPr>
            <w:tcW w:w="760" w:type="dxa"/>
            <w:vAlign w:val="bottom"/>
            <w:vMerge w:val="continue"/>
          </w:tcPr>
          <w:p>
            <w:pPr>
              <w:spacing w:after="0"/>
              <w:rPr>
                <w:sz w:val="15"/>
                <w:szCs w:val="15"/>
                <w:color w:val="auto"/>
              </w:rPr>
            </w:pP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9.06</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Manner of Action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9.02</w:t>
            </w:r>
          </w:p>
        </w:tc>
        <w:tc>
          <w:tcPr>
            <w:tcW w:w="0" w:type="dxa"/>
            <w:vAlign w:val="bottom"/>
          </w:tcPr>
          <w:p>
            <w:pPr>
              <w:spacing w:after="0"/>
              <w:rPr>
                <w:sz w:val="1"/>
                <w:szCs w:val="1"/>
                <w:color w:val="auto"/>
              </w:rPr>
            </w:pPr>
          </w:p>
        </w:tc>
      </w:tr>
      <w:tr>
        <w:trPr>
          <w:trHeight w:val="173"/>
        </w:trPr>
        <w:tc>
          <w:tcPr>
            <w:tcW w:w="540" w:type="dxa"/>
            <w:vAlign w:val="bottom"/>
            <w:vMerge w:val="continue"/>
          </w:tcPr>
          <w:p>
            <w:pPr>
              <w:spacing w:after="0"/>
              <w:rPr>
                <w:sz w:val="15"/>
                <w:szCs w:val="15"/>
                <w:color w:val="auto"/>
              </w:rPr>
            </w:pP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Definitions - Article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3.04</w:t>
            </w: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9.07</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Authorized Representative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9.02</w:t>
            </w:r>
          </w:p>
        </w:tc>
        <w:tc>
          <w:tcPr>
            <w:tcW w:w="0" w:type="dxa"/>
            <w:vAlign w:val="bottom"/>
          </w:tcPr>
          <w:p>
            <w:pPr>
              <w:spacing w:after="0"/>
              <w:rPr>
                <w:sz w:val="1"/>
                <w:szCs w:val="1"/>
                <w:color w:val="auto"/>
              </w:rPr>
            </w:pPr>
          </w:p>
        </w:tc>
      </w:tr>
      <w:tr>
        <w:trPr>
          <w:trHeight w:val="173"/>
        </w:trPr>
        <w:tc>
          <w:tcPr>
            <w:tcW w:w="460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ARTICLE IV, PARTICIPANTS CONTRIBUTIONS</w:t>
            </w:r>
          </w:p>
        </w:tc>
        <w:tc>
          <w:tcPr>
            <w:tcW w:w="760" w:type="dxa"/>
            <w:vAlign w:val="bottom"/>
          </w:tcPr>
          <w:p>
            <w:pPr>
              <w:spacing w:after="0"/>
              <w:rPr>
                <w:sz w:val="15"/>
                <w:szCs w:val="15"/>
                <w:color w:val="auto"/>
              </w:rPr>
            </w:pP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9.08</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Interested Member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9.02</w:t>
            </w:r>
          </w:p>
        </w:tc>
        <w:tc>
          <w:tcPr>
            <w:tcW w:w="0" w:type="dxa"/>
            <w:vAlign w:val="bottom"/>
          </w:tcPr>
          <w:p>
            <w:pPr>
              <w:spacing w:after="0"/>
              <w:rPr>
                <w:sz w:val="1"/>
                <w:szCs w:val="1"/>
                <w:color w:val="auto"/>
              </w:rPr>
            </w:pPr>
          </w:p>
        </w:tc>
      </w:tr>
      <w:tr>
        <w:trPr>
          <w:trHeight w:val="173"/>
        </w:trPr>
        <w:tc>
          <w:tcPr>
            <w:tcW w:w="4600" w:type="dxa"/>
            <w:vAlign w:val="bottom"/>
            <w:gridSpan w:val="2"/>
            <w:vMerge w:val="continue"/>
          </w:tcPr>
          <w:p>
            <w:pPr>
              <w:spacing w:after="0"/>
              <w:rPr>
                <w:sz w:val="15"/>
                <w:szCs w:val="15"/>
                <w:color w:val="auto"/>
              </w:rPr>
            </w:pPr>
          </w:p>
        </w:tc>
        <w:tc>
          <w:tcPr>
            <w:tcW w:w="7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4.01</w:t>
            </w: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9.09</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Individual Accounts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9.02</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4.01</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Participant Voluntary Contributions  .....</w:t>
            </w:r>
          </w:p>
        </w:tc>
        <w:tc>
          <w:tcPr>
            <w:tcW w:w="760" w:type="dxa"/>
            <w:vAlign w:val="bottom"/>
            <w:vMerge w:val="continue"/>
          </w:tcPr>
          <w:p>
            <w:pPr>
              <w:spacing w:after="0"/>
              <w:rPr>
                <w:sz w:val="15"/>
                <w:szCs w:val="15"/>
                <w:color w:val="auto"/>
              </w:rPr>
            </w:pP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9.10</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Value of Participant's Accrued Benefit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9.02</w:t>
            </w:r>
          </w:p>
        </w:tc>
        <w:tc>
          <w:tcPr>
            <w:tcW w:w="0" w:type="dxa"/>
            <w:vAlign w:val="bottom"/>
          </w:tcPr>
          <w:p>
            <w:pPr>
              <w:spacing w:after="0"/>
              <w:rPr>
                <w:sz w:val="1"/>
                <w:szCs w:val="1"/>
                <w:color w:val="auto"/>
              </w:rPr>
            </w:pPr>
          </w:p>
        </w:tc>
      </w:tr>
      <w:tr>
        <w:trPr>
          <w:trHeight w:val="255"/>
        </w:trPr>
        <w:tc>
          <w:tcPr>
            <w:tcW w:w="540" w:type="dxa"/>
            <w:vAlign w:val="bottom"/>
          </w:tcPr>
          <w:p>
            <w:pPr>
              <w:spacing w:after="0"/>
              <w:rPr>
                <w:sz w:val="20"/>
                <w:szCs w:val="20"/>
                <w:color w:val="auto"/>
              </w:rPr>
            </w:pPr>
            <w:r>
              <w:rPr>
                <w:rFonts w:ascii="Courier New" w:cs="Courier New" w:eastAsia="Courier New" w:hAnsi="Courier New"/>
                <w:sz w:val="15"/>
                <w:szCs w:val="15"/>
                <w:color w:val="auto"/>
              </w:rPr>
              <w:t>4.02</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Participant Rollover Contributions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4.01</w:t>
            </w: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9.11</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Allocation to Participants' Accounts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9.02</w:t>
            </w:r>
          </w:p>
        </w:tc>
        <w:tc>
          <w:tcPr>
            <w:tcW w:w="0" w:type="dxa"/>
            <w:vAlign w:val="bottom"/>
          </w:tcPr>
          <w:p>
            <w:pPr>
              <w:spacing w:after="0"/>
              <w:rPr>
                <w:sz w:val="1"/>
                <w:szCs w:val="1"/>
                <w:color w:val="auto"/>
              </w:rPr>
            </w:pPr>
          </w:p>
        </w:tc>
      </w:tr>
      <w:tr>
        <w:trPr>
          <w:trHeight w:val="347"/>
        </w:trPr>
        <w:tc>
          <w:tcPr>
            <w:tcW w:w="5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i</w:t>
            </w:r>
          </w:p>
        </w:tc>
        <w:tc>
          <w:tcPr>
            <w:tcW w:w="4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2"/>
        </w:trPr>
        <w:tc>
          <w:tcPr>
            <w:tcW w:w="540" w:type="dxa"/>
            <w:vAlign w:val="bottom"/>
          </w:tcPr>
          <w:p>
            <w:pPr>
              <w:spacing w:after="0"/>
              <w:rPr>
                <w:sz w:val="20"/>
                <w:szCs w:val="20"/>
                <w:color w:val="auto"/>
              </w:rPr>
            </w:pPr>
            <w:r>
              <w:rPr>
                <w:rFonts w:ascii="Courier New" w:cs="Courier New" w:eastAsia="Courier New" w:hAnsi="Courier New"/>
                <w:sz w:val="15"/>
                <w:szCs w:val="15"/>
                <w:color w:val="auto"/>
              </w:rPr>
              <w:t>9.12</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Individual Statement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9.03</w:t>
            </w:r>
          </w:p>
        </w:tc>
        <w:tc>
          <w:tcPr>
            <w:tcW w:w="5540" w:type="dxa"/>
            <w:vAlign w:val="bottom"/>
            <w:gridSpan w:val="2"/>
          </w:tcPr>
          <w:p>
            <w:pPr>
              <w:ind w:left="1040"/>
              <w:spacing w:after="0"/>
              <w:rPr>
                <w:sz w:val="20"/>
                <w:szCs w:val="20"/>
                <w:color w:val="auto"/>
              </w:rPr>
            </w:pPr>
            <w:r>
              <w:rPr>
                <w:rFonts w:ascii="Courier New" w:cs="Courier New" w:eastAsia="Courier New" w:hAnsi="Courier New"/>
                <w:sz w:val="15"/>
                <w:szCs w:val="15"/>
                <w:color w:val="auto"/>
              </w:rPr>
              <w:t>ARTICLE XI, REPURCHASE OF EMPLOYER</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9.13</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Account Charged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9.03</w:t>
            </w:r>
          </w:p>
        </w:tc>
        <w:tc>
          <w:tcPr>
            <w:tcW w:w="5540" w:type="dxa"/>
            <w:vAlign w:val="bottom"/>
            <w:gridSpan w:val="2"/>
          </w:tcPr>
          <w:p>
            <w:pPr>
              <w:ind w:left="1300"/>
              <w:spacing w:after="0"/>
              <w:rPr>
                <w:sz w:val="20"/>
                <w:szCs w:val="20"/>
                <w:color w:val="auto"/>
              </w:rPr>
            </w:pPr>
            <w:r>
              <w:rPr>
                <w:rFonts w:ascii="Courier New" w:cs="Courier New" w:eastAsia="Courier New" w:hAnsi="Courier New"/>
                <w:sz w:val="15"/>
                <w:szCs w:val="15"/>
                <w:color w:val="auto"/>
              </w:rPr>
              <w:t>SECURITIES</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11.01</w:t>
            </w:r>
          </w:p>
        </w:tc>
        <w:tc>
          <w:tcPr>
            <w:tcW w:w="0" w:type="dxa"/>
            <w:vAlign w:val="bottom"/>
          </w:tcPr>
          <w:p>
            <w:pPr>
              <w:spacing w:after="0"/>
              <w:rPr>
                <w:sz w:val="1"/>
                <w:szCs w:val="1"/>
                <w:color w:val="auto"/>
              </w:rPr>
            </w:pPr>
          </w:p>
        </w:tc>
      </w:tr>
      <w:tr>
        <w:trPr>
          <w:trHeight w:val="255"/>
        </w:trPr>
        <w:tc>
          <w:tcPr>
            <w:tcW w:w="540" w:type="dxa"/>
            <w:vAlign w:val="bottom"/>
          </w:tcPr>
          <w:p>
            <w:pPr>
              <w:spacing w:after="0"/>
              <w:rPr>
                <w:sz w:val="20"/>
                <w:szCs w:val="20"/>
                <w:color w:val="auto"/>
              </w:rPr>
            </w:pPr>
            <w:r>
              <w:rPr>
                <w:rFonts w:ascii="Courier New" w:cs="Courier New" w:eastAsia="Courier New" w:hAnsi="Courier New"/>
                <w:sz w:val="15"/>
                <w:szCs w:val="15"/>
                <w:color w:val="auto"/>
              </w:rPr>
              <w:t>9.14</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Unclaimed Account Procedure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9.03</w:t>
            </w: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11.01</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[Reserved]  ..............................</w:t>
            </w:r>
          </w:p>
        </w:tc>
        <w:tc>
          <w:tcPr>
            <w:tcW w:w="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ARTICLE X, TRUSTEE, POWERS, AND DUTIES ..........</w:t>
            </w:r>
          </w:p>
        </w:tc>
        <w:tc>
          <w:tcPr>
            <w:tcW w:w="7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10.01</w:t>
            </w:r>
          </w:p>
        </w:tc>
        <w:tc>
          <w:tcPr>
            <w:tcW w:w="5540" w:type="dxa"/>
            <w:vAlign w:val="bottom"/>
            <w:gridSpan w:val="2"/>
          </w:tcPr>
          <w:p>
            <w:pPr>
              <w:ind w:left="1040"/>
              <w:spacing w:after="0"/>
              <w:rPr>
                <w:sz w:val="20"/>
                <w:szCs w:val="20"/>
                <w:color w:val="auto"/>
              </w:rPr>
            </w:pPr>
            <w:r>
              <w:rPr>
                <w:rFonts w:ascii="Courier New" w:cs="Courier New" w:eastAsia="Courier New" w:hAnsi="Courier New"/>
                <w:sz w:val="15"/>
                <w:szCs w:val="15"/>
                <w:color w:val="auto"/>
              </w:rPr>
              <w:t>ARTICLE XII, MISCELLANEOUS</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12.01</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10.01</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Acceptance  ..............................</w:t>
            </w:r>
          </w:p>
        </w:tc>
        <w:tc>
          <w:tcPr>
            <w:tcW w:w="760" w:type="dxa"/>
            <w:vAlign w:val="bottom"/>
            <w:vMerge w:val="continue"/>
          </w:tcPr>
          <w:p>
            <w:pPr>
              <w:spacing w:after="0"/>
              <w:rPr>
                <w:sz w:val="15"/>
                <w:szCs w:val="15"/>
                <w:color w:val="auto"/>
              </w:rPr>
            </w:pP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12.01</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Evidence  ................................</w:t>
            </w: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10.02</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Receipt of Contributions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10.01</w:t>
            </w: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12.02</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No Responsibility for</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12.01</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10.03</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Full Investment Powers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10.01</w:t>
            </w:r>
          </w:p>
        </w:tc>
        <w:tc>
          <w:tcPr>
            <w:tcW w:w="1520" w:type="dxa"/>
            <w:vAlign w:val="bottom"/>
            <w:vMerge w:val="restart"/>
          </w:tcPr>
          <w:p>
            <w:pPr>
              <w:ind w:left="1040"/>
              <w:spacing w:after="0"/>
              <w:rPr>
                <w:sz w:val="20"/>
                <w:szCs w:val="20"/>
                <w:color w:val="auto"/>
              </w:rPr>
            </w:pPr>
            <w:r>
              <w:rPr>
                <w:rFonts w:ascii="Courier New" w:cs="Courier New" w:eastAsia="Courier New" w:hAnsi="Courier New"/>
                <w:sz w:val="15"/>
                <w:szCs w:val="15"/>
                <w:color w:val="auto"/>
              </w:rPr>
              <w:t>12.03</w:t>
            </w:r>
          </w:p>
        </w:tc>
        <w:tc>
          <w:tcPr>
            <w:tcW w:w="4020" w:type="dxa"/>
            <w:vAlign w:val="bottom"/>
          </w:tcPr>
          <w:p>
            <w:pPr>
              <w:ind w:left="320"/>
              <w:spacing w:after="0"/>
              <w:rPr>
                <w:sz w:val="20"/>
                <w:szCs w:val="20"/>
                <w:color w:val="auto"/>
              </w:rPr>
            </w:pPr>
            <w:r>
              <w:rPr>
                <w:rFonts w:ascii="Courier New" w:cs="Courier New" w:eastAsia="Courier New" w:hAnsi="Courier New"/>
                <w:sz w:val="15"/>
                <w:szCs w:val="15"/>
                <w:color w:val="auto"/>
              </w:rPr>
              <w:t>Employer Action  ......................</w:t>
            </w: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10.04</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Records and Statements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10.02</w:t>
            </w:r>
          </w:p>
        </w:tc>
        <w:tc>
          <w:tcPr>
            <w:tcW w:w="1520" w:type="dxa"/>
            <w:vAlign w:val="bottom"/>
            <w:vMerge w:val="continue"/>
          </w:tcPr>
          <w:p>
            <w:pPr>
              <w:spacing w:after="0"/>
              <w:rPr>
                <w:sz w:val="15"/>
                <w:szCs w:val="15"/>
                <w:color w:val="auto"/>
              </w:rPr>
            </w:pP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Fiduciaries Not Insurers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12.01</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10.05</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Fees and Expenses from Fund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10.02</w:t>
            </w: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12.04</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Waiver of Notice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12.01</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10.06</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Parties to Litigation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10.03</w:t>
            </w: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12.05</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Successors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12.01</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10.07</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Professional Agents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10.03</w:t>
            </w: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12.06</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Word Usage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12.01</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10.08</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Distribution of Trust Fund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10.03</w:t>
            </w: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12.07</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State Law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12.01</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10.09</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Distribution Directions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10.03</w:t>
            </w: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12.08</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Employment Not Guaranteed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12.01</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Third Party/Multiple Trustees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10.03</w:t>
            </w:r>
          </w:p>
        </w:tc>
        <w:tc>
          <w:tcPr>
            <w:tcW w:w="5540" w:type="dxa"/>
            <w:vAlign w:val="bottom"/>
            <w:gridSpan w:val="2"/>
            <w:vMerge w:val="restart"/>
          </w:tcPr>
          <w:p>
            <w:pPr>
              <w:ind w:left="1040"/>
              <w:spacing w:after="0"/>
              <w:rPr>
                <w:sz w:val="20"/>
                <w:szCs w:val="20"/>
                <w:color w:val="auto"/>
              </w:rPr>
            </w:pPr>
            <w:r>
              <w:rPr>
                <w:rFonts w:ascii="Courier New" w:cs="Courier New" w:eastAsia="Courier New" w:hAnsi="Courier New"/>
                <w:sz w:val="15"/>
                <w:szCs w:val="15"/>
                <w:color w:val="auto"/>
              </w:rPr>
              <w:t>ARTICLE XIII, EXCLUSIVE BENEFIT, AMENDMENT</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Resignation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10.03</w:t>
            </w:r>
          </w:p>
        </w:tc>
        <w:tc>
          <w:tcPr>
            <w:tcW w:w="554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Removal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10.03</w:t>
            </w:r>
          </w:p>
        </w:tc>
        <w:tc>
          <w:tcPr>
            <w:tcW w:w="5540" w:type="dxa"/>
            <w:vAlign w:val="bottom"/>
            <w:gridSpan w:val="2"/>
          </w:tcPr>
          <w:p>
            <w:pPr>
              <w:ind w:left="1300"/>
              <w:spacing w:after="0"/>
              <w:rPr>
                <w:sz w:val="20"/>
                <w:szCs w:val="20"/>
                <w:color w:val="auto"/>
              </w:rPr>
            </w:pPr>
            <w:r>
              <w:rPr>
                <w:rFonts w:ascii="Courier New" w:cs="Courier New" w:eastAsia="Courier New" w:hAnsi="Courier New"/>
                <w:sz w:val="15"/>
                <w:szCs w:val="15"/>
                <w:color w:val="auto"/>
              </w:rPr>
              <w:t>TERMINATION</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13.01</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10.13</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Interim Duties and Successor</w:t>
            </w:r>
          </w:p>
        </w:tc>
        <w:tc>
          <w:tcPr>
            <w:tcW w:w="7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10.04</w:t>
            </w: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13.01</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Exclusive Benefit  .......................</w:t>
            </w: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40" w:type="dxa"/>
            <w:vAlign w:val="bottom"/>
            <w:vMerge w:val="restart"/>
          </w:tcPr>
          <w:p>
            <w:pPr>
              <w:spacing w:after="0"/>
              <w:rPr>
                <w:sz w:val="20"/>
                <w:szCs w:val="20"/>
                <w:color w:val="auto"/>
              </w:rPr>
            </w:pPr>
            <w:r>
              <w:rPr>
                <w:rFonts w:ascii="Courier New" w:cs="Courier New" w:eastAsia="Courier New" w:hAnsi="Courier New"/>
                <w:sz w:val="15"/>
                <w:szCs w:val="15"/>
                <w:color w:val="auto"/>
              </w:rPr>
              <w:t>10.14</w:t>
            </w:r>
          </w:p>
        </w:tc>
        <w:tc>
          <w:tcPr>
            <w:tcW w:w="4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Trustee  ..............................</w:t>
            </w:r>
          </w:p>
        </w:tc>
        <w:tc>
          <w:tcPr>
            <w:tcW w:w="760" w:type="dxa"/>
            <w:vAlign w:val="bottom"/>
            <w:vMerge w:val="continue"/>
          </w:tcPr>
          <w:p>
            <w:pPr>
              <w:spacing w:after="0"/>
              <w:rPr>
                <w:sz w:val="15"/>
                <w:szCs w:val="15"/>
                <w:color w:val="auto"/>
              </w:rPr>
            </w:pP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13.02</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Amendment by Employer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13.01</w:t>
            </w:r>
          </w:p>
        </w:tc>
        <w:tc>
          <w:tcPr>
            <w:tcW w:w="0" w:type="dxa"/>
            <w:vAlign w:val="bottom"/>
          </w:tcPr>
          <w:p>
            <w:pPr>
              <w:spacing w:after="0"/>
              <w:rPr>
                <w:sz w:val="1"/>
                <w:szCs w:val="1"/>
                <w:color w:val="auto"/>
              </w:rPr>
            </w:pPr>
          </w:p>
        </w:tc>
      </w:tr>
      <w:tr>
        <w:trPr>
          <w:trHeight w:val="173"/>
        </w:trPr>
        <w:tc>
          <w:tcPr>
            <w:tcW w:w="540" w:type="dxa"/>
            <w:vAlign w:val="bottom"/>
            <w:vMerge w:val="continue"/>
          </w:tcPr>
          <w:p>
            <w:pPr>
              <w:spacing w:after="0"/>
              <w:rPr>
                <w:sz w:val="15"/>
                <w:szCs w:val="15"/>
                <w:color w:val="auto"/>
              </w:rPr>
            </w:pP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Valuation of Trust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10.04</w:t>
            </w: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13.03</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Discontinuance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13.01</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rPr>
              <w:t>10.15</w:t>
            </w: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Limitation on Liability - If</w:t>
            </w:r>
          </w:p>
        </w:tc>
        <w:tc>
          <w:tcPr>
            <w:tcW w:w="7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10.04</w:t>
            </w: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13.04</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Full Vesting on Termination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13.01</w:t>
            </w:r>
          </w:p>
        </w:tc>
        <w:tc>
          <w:tcPr>
            <w:tcW w:w="0" w:type="dxa"/>
            <w:vAlign w:val="bottom"/>
          </w:tcPr>
          <w:p>
            <w:pPr>
              <w:spacing w:after="0"/>
              <w:rPr>
                <w:sz w:val="1"/>
                <w:szCs w:val="1"/>
                <w:color w:val="auto"/>
              </w:rPr>
            </w:pPr>
          </w:p>
        </w:tc>
      </w:tr>
      <w:tr>
        <w:trPr>
          <w:trHeight w:val="173"/>
        </w:trPr>
        <w:tc>
          <w:tcPr>
            <w:tcW w:w="540" w:type="dxa"/>
            <w:vAlign w:val="bottom"/>
            <w:vMerge w:val="restart"/>
          </w:tcPr>
          <w:p>
            <w:pPr>
              <w:spacing w:after="0"/>
              <w:rPr>
                <w:sz w:val="20"/>
                <w:szCs w:val="20"/>
                <w:color w:val="auto"/>
              </w:rPr>
            </w:pPr>
            <w:r>
              <w:rPr>
                <w:rFonts w:ascii="Courier New" w:cs="Courier New" w:eastAsia="Courier New" w:hAnsi="Courier New"/>
                <w:sz w:val="15"/>
                <w:szCs w:val="15"/>
                <w:color w:val="auto"/>
              </w:rPr>
              <w:t>10.16</w:t>
            </w:r>
          </w:p>
        </w:tc>
        <w:tc>
          <w:tcPr>
            <w:tcW w:w="4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Investment Manager Appointed  .........</w:t>
            </w:r>
          </w:p>
        </w:tc>
        <w:tc>
          <w:tcPr>
            <w:tcW w:w="760" w:type="dxa"/>
            <w:vAlign w:val="bottom"/>
            <w:vMerge w:val="continue"/>
          </w:tcPr>
          <w:p>
            <w:pPr>
              <w:spacing w:after="0"/>
              <w:rPr>
                <w:sz w:val="15"/>
                <w:szCs w:val="15"/>
                <w:color w:val="auto"/>
              </w:rPr>
            </w:pP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13.05</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Merger/Direct Transfer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13.02</w:t>
            </w:r>
          </w:p>
        </w:tc>
        <w:tc>
          <w:tcPr>
            <w:tcW w:w="0" w:type="dxa"/>
            <w:vAlign w:val="bottom"/>
          </w:tcPr>
          <w:p>
            <w:pPr>
              <w:spacing w:after="0"/>
              <w:rPr>
                <w:sz w:val="1"/>
                <w:szCs w:val="1"/>
                <w:color w:val="auto"/>
              </w:rPr>
            </w:pPr>
          </w:p>
        </w:tc>
      </w:tr>
      <w:tr>
        <w:trPr>
          <w:trHeight w:val="255"/>
        </w:trPr>
        <w:tc>
          <w:tcPr>
            <w:tcW w:w="540" w:type="dxa"/>
            <w:vAlign w:val="bottom"/>
            <w:vMerge w:val="continue"/>
          </w:tcPr>
          <w:p>
            <w:pPr>
              <w:spacing w:after="0"/>
              <w:rPr>
                <w:sz w:val="22"/>
                <w:szCs w:val="22"/>
                <w:color w:val="auto"/>
              </w:rPr>
            </w:pPr>
          </w:p>
        </w:tc>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Investment in Group Trust Fund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10.04</w:t>
            </w:r>
          </w:p>
        </w:tc>
        <w:tc>
          <w:tcPr>
            <w:tcW w:w="1520" w:type="dxa"/>
            <w:vAlign w:val="bottom"/>
          </w:tcPr>
          <w:p>
            <w:pPr>
              <w:ind w:left="1040"/>
              <w:spacing w:after="0"/>
              <w:rPr>
                <w:sz w:val="20"/>
                <w:szCs w:val="20"/>
                <w:color w:val="auto"/>
              </w:rPr>
            </w:pPr>
            <w:r>
              <w:rPr>
                <w:rFonts w:ascii="Courier New" w:cs="Courier New" w:eastAsia="Courier New" w:hAnsi="Courier New"/>
                <w:sz w:val="15"/>
                <w:szCs w:val="15"/>
                <w:color w:val="auto"/>
              </w:rPr>
              <w:t>13.06</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Termination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13.03</w:t>
            </w:r>
          </w:p>
        </w:tc>
        <w:tc>
          <w:tcPr>
            <w:tcW w:w="0" w:type="dxa"/>
            <w:vAlign w:val="bottom"/>
          </w:tcPr>
          <w:p>
            <w:pPr>
              <w:spacing w:after="0"/>
              <w:rPr>
                <w:sz w:val="1"/>
                <w:szCs w:val="1"/>
                <w:color w:val="auto"/>
              </w:rPr>
            </w:pPr>
          </w:p>
        </w:tc>
      </w:tr>
    </w:tbl>
    <w:p>
      <w:pPr>
        <w:spacing w:after="0" w:line="92"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 * * * * * * * * * *</w:t>
      </w:r>
    </w:p>
    <w:p>
      <w:pPr>
        <w:spacing w:after="0" w:line="177"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100" w:type="dxa"/>
            <w:vAlign w:val="bottom"/>
          </w:tcPr>
          <w:p>
            <w:pPr>
              <w:spacing w:after="0"/>
              <w:rPr>
                <w:sz w:val="22"/>
                <w:szCs w:val="22"/>
                <w:color w:val="auto"/>
              </w:rPr>
            </w:pPr>
          </w:p>
        </w:tc>
        <w:tc>
          <w:tcPr>
            <w:tcW w:w="586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ALPHABETICAL LISTING OF DEFINITIONS</w:t>
            </w: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100" w:type="dxa"/>
            <w:vAlign w:val="bottom"/>
            <w:vMerge w:val="restart"/>
          </w:tcPr>
          <w:p>
            <w:pPr>
              <w:spacing w:after="0"/>
              <w:rPr>
                <w:sz w:val="20"/>
                <w:szCs w:val="20"/>
                <w:color w:val="auto"/>
              </w:rPr>
            </w:pPr>
            <w:r>
              <w:rPr>
                <w:rFonts w:ascii="Courier New" w:cs="Courier New" w:eastAsia="Courier New" w:hAnsi="Courier New"/>
                <w:sz w:val="15"/>
                <w:szCs w:val="15"/>
                <w:color w:val="auto"/>
              </w:rPr>
              <w:t>PLAN DEFINITION</w:t>
            </w:r>
          </w:p>
        </w:tc>
        <w:tc>
          <w:tcPr>
            <w:tcW w:w="19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SECTION REFERENCE</w:t>
            </w:r>
          </w:p>
        </w:tc>
        <w:tc>
          <w:tcPr>
            <w:tcW w:w="388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PLAN DEFINITION</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REFERENCE</w:t>
            </w:r>
          </w:p>
        </w:tc>
        <w:tc>
          <w:tcPr>
            <w:tcW w:w="0" w:type="dxa"/>
            <w:vAlign w:val="bottom"/>
          </w:tcPr>
          <w:p>
            <w:pPr>
              <w:spacing w:after="0"/>
              <w:rPr>
                <w:sz w:val="1"/>
                <w:szCs w:val="1"/>
                <w:color w:val="auto"/>
              </w:rPr>
            </w:pPr>
          </w:p>
        </w:tc>
      </w:tr>
      <w:tr>
        <w:trPr>
          <w:trHeight w:val="255"/>
        </w:trPr>
        <w:tc>
          <w:tcPr>
            <w:tcW w:w="4100" w:type="dxa"/>
            <w:vAlign w:val="bottom"/>
            <w:vMerge w:val="continue"/>
          </w:tcPr>
          <w:p>
            <w:pPr>
              <w:spacing w:after="0"/>
              <w:rPr>
                <w:sz w:val="22"/>
                <w:szCs w:val="22"/>
                <w:color w:val="auto"/>
              </w:rPr>
            </w:pPr>
          </w:p>
        </w:tc>
        <w:tc>
          <w:tcPr>
            <w:tcW w:w="19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(PAGE NUMBER)</w:t>
            </w:r>
          </w:p>
        </w:tc>
        <w:tc>
          <w:tcPr>
            <w:tcW w:w="3880" w:type="dxa"/>
            <w:vAlign w:val="bottom"/>
            <w:vMerge w:val="continue"/>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(PAGE NUMBER)</w:t>
            </w:r>
          </w:p>
        </w:tc>
        <w:tc>
          <w:tcPr>
            <w:tcW w:w="0" w:type="dxa"/>
            <w:vAlign w:val="bottom"/>
          </w:tcPr>
          <w:p>
            <w:pPr>
              <w:spacing w:after="0"/>
              <w:rPr>
                <w:sz w:val="1"/>
                <w:szCs w:val="1"/>
                <w:color w:val="auto"/>
              </w:rPr>
            </w:pPr>
          </w:p>
        </w:tc>
      </w:tr>
      <w:tr>
        <w:trPr>
          <w:trHeight w:val="438"/>
        </w:trPr>
        <w:tc>
          <w:tcPr>
            <w:tcW w:w="4100" w:type="dxa"/>
            <w:vAlign w:val="bottom"/>
          </w:tcPr>
          <w:p>
            <w:pPr>
              <w:spacing w:after="0"/>
              <w:rPr>
                <w:sz w:val="20"/>
                <w:szCs w:val="20"/>
                <w:color w:val="auto"/>
              </w:rPr>
            </w:pPr>
            <w:r>
              <w:rPr>
                <w:rFonts w:ascii="Courier New" w:cs="Courier New" w:eastAsia="Courier New" w:hAnsi="Courier New"/>
                <w:sz w:val="15"/>
                <w:szCs w:val="15"/>
                <w:color w:val="auto"/>
              </w:rPr>
              <w:t>Account ....................................</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(1.04)</w:t>
            </w:r>
          </w:p>
        </w:tc>
        <w:tc>
          <w:tcPr>
            <w:tcW w:w="3880" w:type="dxa"/>
            <w:vAlign w:val="bottom"/>
          </w:tcPr>
          <w:p>
            <w:pPr>
              <w:ind w:left="320"/>
              <w:spacing w:after="0"/>
              <w:rPr>
                <w:sz w:val="20"/>
                <w:szCs w:val="20"/>
                <w:color w:val="auto"/>
              </w:rPr>
            </w:pPr>
            <w:r>
              <w:rPr>
                <w:rFonts w:ascii="Courier New" w:cs="Courier New" w:eastAsia="Courier New" w:hAnsi="Courier New"/>
                <w:sz w:val="15"/>
                <w:szCs w:val="15"/>
                <w:color w:val="auto"/>
              </w:rPr>
              <w:t>Highly Compensated</w:t>
            </w: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1.07</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(1.01)</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Accounting Date  ...........................</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(1.04)</w:t>
            </w:r>
          </w:p>
        </w:tc>
        <w:tc>
          <w:tcPr>
            <w:tcW w:w="3880" w:type="dxa"/>
            <w:vAlign w:val="bottom"/>
          </w:tcPr>
          <w:p>
            <w:pPr>
              <w:ind w:left="580"/>
              <w:spacing w:after="0"/>
              <w:rPr>
                <w:sz w:val="20"/>
                <w:szCs w:val="20"/>
                <w:color w:val="auto"/>
              </w:rPr>
            </w:pPr>
            <w:r>
              <w:rPr>
                <w:rFonts w:ascii="Courier New" w:cs="Courier New" w:eastAsia="Courier New" w:hAnsi="Courier New"/>
                <w:sz w:val="15"/>
                <w:szCs w:val="15"/>
                <w:color w:val="auto"/>
              </w:rPr>
              <w:t>Employee  ..........................</w:t>
            </w:r>
          </w:p>
        </w:tc>
        <w:tc>
          <w:tcPr>
            <w:tcW w:w="98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Accrued Benefit  ...........................</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(1.04)</w:t>
            </w:r>
          </w:p>
        </w:tc>
        <w:tc>
          <w:tcPr>
            <w:tcW w:w="3880" w:type="dxa"/>
            <w:vAlign w:val="bottom"/>
          </w:tcPr>
          <w:p>
            <w:pPr>
              <w:ind w:left="320"/>
              <w:spacing w:after="0"/>
              <w:rPr>
                <w:sz w:val="20"/>
                <w:szCs w:val="20"/>
                <w:color w:val="auto"/>
              </w:rPr>
            </w:pPr>
            <w:r>
              <w:rPr>
                <w:rFonts w:ascii="Courier New" w:cs="Courier New" w:eastAsia="Courier New" w:hAnsi="Courier New"/>
                <w:sz w:val="15"/>
                <w:szCs w:val="15"/>
                <w:color w:val="auto"/>
              </w:rPr>
              <w:t>Hour of Service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Advisory Committee  ........................</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(1.01)</w:t>
            </w:r>
          </w:p>
        </w:tc>
        <w:tc>
          <w:tcPr>
            <w:tcW w:w="3880" w:type="dxa"/>
            <w:vAlign w:val="bottom"/>
          </w:tcPr>
          <w:p>
            <w:pPr>
              <w:ind w:left="320"/>
              <w:spacing w:after="0"/>
              <w:rPr>
                <w:sz w:val="20"/>
                <w:szCs w:val="20"/>
                <w:color w:val="auto"/>
              </w:rPr>
            </w:pPr>
            <w:r>
              <w:rPr>
                <w:rFonts w:ascii="Courier New" w:cs="Courier New" w:eastAsia="Courier New" w:hAnsi="Courier New"/>
                <w:sz w:val="15"/>
                <w:szCs w:val="15"/>
                <w:color w:val="auto"/>
              </w:rPr>
              <w:t>Investment Manager  ...................</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9.04(i) (9.01)</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Annual Addition  ...........................</w:t>
            </w:r>
          </w:p>
        </w:tc>
        <w:tc>
          <w:tcPr>
            <w:tcW w:w="19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3.08(a) (3.05)</w:t>
            </w:r>
          </w:p>
        </w:tc>
        <w:tc>
          <w:tcPr>
            <w:tcW w:w="3880" w:type="dxa"/>
            <w:vAlign w:val="bottom"/>
          </w:tcPr>
          <w:p>
            <w:pPr>
              <w:ind w:left="320"/>
              <w:spacing w:after="0"/>
              <w:rPr>
                <w:sz w:val="20"/>
                <w:szCs w:val="20"/>
                <w:color w:val="auto"/>
              </w:rPr>
            </w:pPr>
            <w:r>
              <w:rPr>
                <w:rFonts w:ascii="Courier New" w:cs="Courier New" w:eastAsia="Courier New" w:hAnsi="Courier New"/>
                <w:sz w:val="15"/>
                <w:szCs w:val="15"/>
                <w:color w:val="auto"/>
              </w:rPr>
              <w:t>Joint and Survivor Annuity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6.04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(6.05)</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Annuity Starting Date  .....................</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6.01</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(6.01)</w:t>
            </w:r>
          </w:p>
        </w:tc>
        <w:tc>
          <w:tcPr>
            <w:tcW w:w="3880" w:type="dxa"/>
            <w:vAlign w:val="bottom"/>
          </w:tcPr>
          <w:p>
            <w:pPr>
              <w:ind w:left="320"/>
              <w:spacing w:after="0"/>
              <w:rPr>
                <w:sz w:val="20"/>
                <w:szCs w:val="20"/>
                <w:color w:val="auto"/>
              </w:rPr>
            </w:pPr>
            <w:r>
              <w:rPr>
                <w:rFonts w:ascii="Courier New" w:cs="Courier New" w:eastAsia="Courier New" w:hAnsi="Courier New"/>
                <w:sz w:val="15"/>
                <w:szCs w:val="15"/>
                <w:color w:val="auto"/>
              </w:rPr>
              <w:t>Key Employee  .........................</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1.29(a) (1.08)</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Beneficiary  ...............................</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(1.02)</w:t>
            </w:r>
          </w:p>
        </w:tc>
        <w:tc>
          <w:tcPr>
            <w:tcW w:w="3880" w:type="dxa"/>
            <w:vAlign w:val="bottom"/>
          </w:tcPr>
          <w:p>
            <w:pPr>
              <w:ind w:left="320"/>
              <w:spacing w:after="0"/>
              <w:rPr>
                <w:sz w:val="20"/>
                <w:szCs w:val="20"/>
                <w:color w:val="auto"/>
              </w:rPr>
            </w:pPr>
            <w:r>
              <w:rPr>
                <w:rFonts w:ascii="Courier New" w:cs="Courier New" w:eastAsia="Courier New" w:hAnsi="Courier New"/>
                <w:sz w:val="15"/>
                <w:szCs w:val="15"/>
                <w:color w:val="auto"/>
              </w:rPr>
              <w:t>Leased Employees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Beneficiary for Article XI</w:t>
            </w:r>
          </w:p>
        </w:tc>
        <w:tc>
          <w:tcPr>
            <w:tcW w:w="1980" w:type="dxa"/>
            <w:vAlign w:val="bottom"/>
            <w:gridSpan w:val="2"/>
            <w:vMerge w:val="restart"/>
          </w:tcPr>
          <w:p>
            <w:pPr>
              <w:jc w:val="right"/>
              <w:ind w:right="245"/>
              <w:spacing w:after="0"/>
              <w:rPr>
                <w:sz w:val="20"/>
                <w:szCs w:val="20"/>
                <w:color w:val="auto"/>
              </w:rPr>
            </w:pPr>
            <w:r>
              <w:rPr>
                <w:rFonts w:ascii="Courier New" w:cs="Courier New" w:eastAsia="Courier New" w:hAnsi="Courier New"/>
                <w:sz w:val="15"/>
                <w:szCs w:val="15"/>
                <w:color w:val="auto"/>
              </w:rPr>
              <w:t>11.06 (11.02)</w:t>
            </w:r>
          </w:p>
        </w:tc>
        <w:tc>
          <w:tcPr>
            <w:tcW w:w="3880" w:type="dxa"/>
            <w:vAlign w:val="bottom"/>
          </w:tcPr>
          <w:p>
            <w:pPr>
              <w:ind w:left="320"/>
              <w:spacing w:after="0"/>
              <w:rPr>
                <w:sz w:val="20"/>
                <w:szCs w:val="20"/>
                <w:color w:val="auto"/>
              </w:rPr>
            </w:pPr>
            <w:r>
              <w:rPr>
                <w:rFonts w:ascii="Courier New" w:cs="Courier New" w:eastAsia="Courier New" w:hAnsi="Courier New"/>
                <w:sz w:val="15"/>
                <w:szCs w:val="15"/>
                <w:color w:val="auto"/>
              </w:rPr>
              <w:t>Limitation Year  ......................</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3.08(f) (3.06)</w:t>
            </w:r>
          </w:p>
        </w:tc>
        <w:tc>
          <w:tcPr>
            <w:tcW w:w="0" w:type="dxa"/>
            <w:vAlign w:val="bottom"/>
          </w:tcPr>
          <w:p>
            <w:pPr>
              <w:spacing w:after="0"/>
              <w:rPr>
                <w:sz w:val="1"/>
                <w:szCs w:val="1"/>
                <w:color w:val="auto"/>
              </w:rPr>
            </w:pPr>
          </w:p>
        </w:tc>
      </w:tr>
      <w:tr>
        <w:trPr>
          <w:trHeight w:val="173"/>
        </w:trPr>
        <w:tc>
          <w:tcPr>
            <w:tcW w:w="4100" w:type="dxa"/>
            <w:vAlign w:val="bottom"/>
          </w:tcPr>
          <w:p>
            <w:pPr>
              <w:ind w:left="260"/>
              <w:spacing w:after="0"/>
              <w:rPr>
                <w:sz w:val="20"/>
                <w:szCs w:val="20"/>
                <w:color w:val="auto"/>
              </w:rPr>
            </w:pPr>
            <w:r>
              <w:rPr>
                <w:rFonts w:ascii="Courier New" w:cs="Courier New" w:eastAsia="Courier New" w:hAnsi="Courier New"/>
                <w:sz w:val="15"/>
                <w:szCs w:val="15"/>
                <w:color w:val="auto"/>
              </w:rPr>
              <w:t>Purposes  ...............................</w:t>
            </w:r>
          </w:p>
        </w:tc>
        <w:tc>
          <w:tcPr>
            <w:tcW w:w="1980" w:type="dxa"/>
            <w:vAlign w:val="bottom"/>
            <w:gridSpan w:val="2"/>
            <w:vMerge w:val="continue"/>
          </w:tcPr>
          <w:p>
            <w:pPr>
              <w:spacing w:after="0"/>
              <w:rPr>
                <w:sz w:val="15"/>
                <w:szCs w:val="15"/>
                <w:color w:val="auto"/>
              </w:rPr>
            </w:pPr>
          </w:p>
        </w:tc>
        <w:tc>
          <w:tcPr>
            <w:tcW w:w="3880" w:type="dxa"/>
            <w:vAlign w:val="bottom"/>
          </w:tcPr>
          <w:p>
            <w:pPr>
              <w:ind w:left="320"/>
              <w:spacing w:after="0"/>
              <w:rPr>
                <w:sz w:val="20"/>
                <w:szCs w:val="20"/>
                <w:color w:val="auto"/>
              </w:rPr>
            </w:pPr>
            <w:r>
              <w:rPr>
                <w:rFonts w:ascii="Courier New" w:cs="Courier New" w:eastAsia="Courier New" w:hAnsi="Courier New"/>
                <w:sz w:val="15"/>
                <w:szCs w:val="15"/>
                <w:color w:val="auto"/>
              </w:rPr>
              <w:t>Maximum Permissible Amount  ...........</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3.08(c) (3.06)</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Break in Service for</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2.03</w:t>
            </w:r>
          </w:p>
        </w:tc>
        <w:tc>
          <w:tcPr>
            <w:tcW w:w="90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(2.01)</w:t>
            </w:r>
          </w:p>
        </w:tc>
        <w:tc>
          <w:tcPr>
            <w:tcW w:w="3880" w:type="dxa"/>
            <w:vAlign w:val="bottom"/>
          </w:tcPr>
          <w:p>
            <w:pPr>
              <w:ind w:left="320"/>
              <w:spacing w:after="0"/>
              <w:rPr>
                <w:sz w:val="20"/>
                <w:szCs w:val="20"/>
                <w:color w:val="auto"/>
              </w:rPr>
            </w:pPr>
            <w:r>
              <w:rPr>
                <w:rFonts w:ascii="Courier New" w:cs="Courier New" w:eastAsia="Courier New" w:hAnsi="Courier New"/>
                <w:sz w:val="15"/>
                <w:szCs w:val="15"/>
                <w:color w:val="auto"/>
              </w:rPr>
              <w:t>Minimum Distribution Incidental</w:t>
            </w:r>
          </w:p>
        </w:tc>
        <w:tc>
          <w:tcPr>
            <w:tcW w:w="15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6.02(A) (6.02)</w:t>
            </w:r>
          </w:p>
        </w:tc>
        <w:tc>
          <w:tcPr>
            <w:tcW w:w="0" w:type="dxa"/>
            <w:vAlign w:val="bottom"/>
          </w:tcPr>
          <w:p>
            <w:pPr>
              <w:spacing w:after="0"/>
              <w:rPr>
                <w:sz w:val="1"/>
                <w:szCs w:val="1"/>
                <w:color w:val="auto"/>
              </w:rPr>
            </w:pPr>
          </w:p>
        </w:tc>
      </w:tr>
      <w:tr>
        <w:trPr>
          <w:trHeight w:val="173"/>
        </w:trPr>
        <w:tc>
          <w:tcPr>
            <w:tcW w:w="4100" w:type="dxa"/>
            <w:vAlign w:val="bottom"/>
          </w:tcPr>
          <w:p>
            <w:pPr>
              <w:ind w:left="260"/>
              <w:spacing w:after="0"/>
              <w:rPr>
                <w:sz w:val="20"/>
                <w:szCs w:val="20"/>
                <w:color w:val="auto"/>
              </w:rPr>
            </w:pPr>
            <w:r>
              <w:rPr>
                <w:rFonts w:ascii="Courier New" w:cs="Courier New" w:eastAsia="Courier New" w:hAnsi="Courier New"/>
                <w:sz w:val="15"/>
                <w:szCs w:val="15"/>
                <w:color w:val="auto"/>
              </w:rPr>
              <w:t>Eligibility Purposes  ...................</w:t>
            </w:r>
          </w:p>
        </w:tc>
        <w:tc>
          <w:tcPr>
            <w:tcW w:w="10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880" w:type="dxa"/>
            <w:vAlign w:val="bottom"/>
          </w:tcPr>
          <w:p>
            <w:pPr>
              <w:ind w:left="580"/>
              <w:spacing w:after="0"/>
              <w:rPr>
                <w:sz w:val="20"/>
                <w:szCs w:val="20"/>
                <w:color w:val="auto"/>
              </w:rPr>
            </w:pPr>
            <w:r>
              <w:rPr>
                <w:rFonts w:ascii="Courier New" w:cs="Courier New" w:eastAsia="Courier New" w:hAnsi="Courier New"/>
                <w:sz w:val="15"/>
                <w:szCs w:val="15"/>
                <w:color w:val="auto"/>
              </w:rPr>
              <w:t>Benefit  ...........................</w:t>
            </w: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Closing  ...................................</w:t>
            </w:r>
          </w:p>
        </w:tc>
        <w:tc>
          <w:tcPr>
            <w:tcW w:w="19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11.06 (11.02)</w:t>
            </w:r>
          </w:p>
        </w:tc>
        <w:tc>
          <w:tcPr>
            <w:tcW w:w="3880" w:type="dxa"/>
            <w:vAlign w:val="bottom"/>
          </w:tcPr>
          <w:p>
            <w:pPr>
              <w:ind w:left="320"/>
              <w:spacing w:after="0"/>
              <w:rPr>
                <w:sz w:val="20"/>
                <w:szCs w:val="20"/>
                <w:color w:val="auto"/>
              </w:rPr>
            </w:pPr>
            <w:r>
              <w:rPr>
                <w:rFonts w:ascii="Courier New" w:cs="Courier New" w:eastAsia="Courier New" w:hAnsi="Courier New"/>
                <w:sz w:val="15"/>
                <w:szCs w:val="15"/>
                <w:color w:val="auto"/>
              </w:rPr>
              <w:t>Nonforfeitable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Code  ......................................</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(1.05)</w:t>
            </w:r>
          </w:p>
        </w:tc>
        <w:tc>
          <w:tcPr>
            <w:tcW w:w="3880" w:type="dxa"/>
            <w:vAlign w:val="bottom"/>
          </w:tcPr>
          <w:p>
            <w:pPr>
              <w:ind w:left="320"/>
              <w:spacing w:after="0"/>
              <w:rPr>
                <w:sz w:val="20"/>
                <w:szCs w:val="20"/>
                <w:color w:val="auto"/>
              </w:rPr>
            </w:pPr>
            <w:r>
              <w:rPr>
                <w:rFonts w:ascii="Courier New" w:cs="Courier New" w:eastAsia="Courier New" w:hAnsi="Courier New"/>
                <w:sz w:val="15"/>
                <w:szCs w:val="15"/>
                <w:color w:val="auto"/>
              </w:rPr>
              <w:t>Non-Key Employee  .....................</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1.29(b) (1.08)</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Code ss.411(d)(6) Protected Benefits  ......</w:t>
            </w:r>
          </w:p>
        </w:tc>
        <w:tc>
          <w:tcPr>
            <w:tcW w:w="19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13.02 (13.01)</w:t>
            </w:r>
          </w:p>
        </w:tc>
        <w:tc>
          <w:tcPr>
            <w:tcW w:w="3880" w:type="dxa"/>
            <w:vAlign w:val="bottom"/>
          </w:tcPr>
          <w:p>
            <w:pPr>
              <w:ind w:left="320"/>
              <w:spacing w:after="0"/>
              <w:rPr>
                <w:sz w:val="20"/>
                <w:szCs w:val="20"/>
                <w:color w:val="auto"/>
              </w:rPr>
            </w:pPr>
            <w:r>
              <w:rPr>
                <w:rFonts w:ascii="Courier New" w:cs="Courier New" w:eastAsia="Courier New" w:hAnsi="Courier New"/>
                <w:sz w:val="15"/>
                <w:szCs w:val="15"/>
                <w:color w:val="auto"/>
              </w:rPr>
              <w:t>Nontransferable Annuity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Compensation  ..............................</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(1.03)</w:t>
            </w:r>
          </w:p>
        </w:tc>
        <w:tc>
          <w:tcPr>
            <w:tcW w:w="3880" w:type="dxa"/>
            <w:vAlign w:val="bottom"/>
          </w:tcPr>
          <w:p>
            <w:pPr>
              <w:ind w:left="320"/>
              <w:spacing w:after="0"/>
              <w:rPr>
                <w:sz w:val="20"/>
                <w:szCs w:val="20"/>
                <w:color w:val="auto"/>
              </w:rPr>
            </w:pPr>
            <w:r>
              <w:rPr>
                <w:rFonts w:ascii="Courier New" w:cs="Courier New" w:eastAsia="Courier New" w:hAnsi="Courier New"/>
                <w:sz w:val="15"/>
                <w:szCs w:val="15"/>
                <w:color w:val="auto"/>
              </w:rPr>
              <w:t>Normal Retirement Age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5.01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(5.01)</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Compensation for Code ss.415 Purposes  .....</w:t>
            </w:r>
          </w:p>
        </w:tc>
        <w:tc>
          <w:tcPr>
            <w:tcW w:w="19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3.08(b) (3.06)</w:t>
            </w:r>
          </w:p>
        </w:tc>
        <w:tc>
          <w:tcPr>
            <w:tcW w:w="3880" w:type="dxa"/>
            <w:vAlign w:val="bottom"/>
          </w:tcPr>
          <w:p>
            <w:pPr>
              <w:ind w:left="320"/>
              <w:spacing w:after="0"/>
              <w:rPr>
                <w:sz w:val="20"/>
                <w:szCs w:val="20"/>
                <w:color w:val="auto"/>
              </w:rPr>
            </w:pPr>
            <w:r>
              <w:rPr>
                <w:rFonts w:ascii="Courier New" w:cs="Courier New" w:eastAsia="Courier New" w:hAnsi="Courier New"/>
                <w:sz w:val="15"/>
                <w:szCs w:val="15"/>
                <w:color w:val="auto"/>
              </w:rPr>
              <w:t>Notice  ...............................</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11.06 (11.02)</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Compensation for Top Heavy Purposes  .......</w:t>
            </w:r>
          </w:p>
        </w:tc>
        <w:tc>
          <w:tcPr>
            <w:tcW w:w="19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1.29(b) (1.08)</w:t>
            </w:r>
          </w:p>
        </w:tc>
        <w:tc>
          <w:tcPr>
            <w:tcW w:w="3880" w:type="dxa"/>
            <w:vAlign w:val="bottom"/>
          </w:tcPr>
          <w:p>
            <w:pPr>
              <w:ind w:left="320"/>
              <w:spacing w:after="0"/>
              <w:rPr>
                <w:sz w:val="20"/>
                <w:szCs w:val="20"/>
                <w:color w:val="auto"/>
              </w:rPr>
            </w:pPr>
            <w:r>
              <w:rPr>
                <w:rFonts w:ascii="Courier New" w:cs="Courier New" w:eastAsia="Courier New" w:hAnsi="Courier New"/>
                <w:sz w:val="15"/>
                <w:szCs w:val="15"/>
                <w:color w:val="auto"/>
              </w:rPr>
              <w:t>Participant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Contract(s)  ...............................</w:t>
            </w:r>
          </w:p>
        </w:tc>
        <w:tc>
          <w:tcPr>
            <w:tcW w:w="19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11.03(c) (11.02)</w:t>
            </w:r>
          </w:p>
        </w:tc>
        <w:tc>
          <w:tcPr>
            <w:tcW w:w="3880" w:type="dxa"/>
            <w:vAlign w:val="bottom"/>
          </w:tcPr>
          <w:p>
            <w:pPr>
              <w:ind w:left="320"/>
              <w:spacing w:after="0"/>
              <w:rPr>
                <w:sz w:val="20"/>
                <w:szCs w:val="20"/>
                <w:color w:val="auto"/>
              </w:rPr>
            </w:pPr>
            <w:r>
              <w:rPr>
                <w:rFonts w:ascii="Courier New" w:cs="Courier New" w:eastAsia="Courier New" w:hAnsi="Courier New"/>
                <w:sz w:val="15"/>
                <w:szCs w:val="15"/>
                <w:color w:val="auto"/>
              </w:rPr>
              <w:t>Participant Forfeiture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3.05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(3.02)</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Defined Benefit Plan  ......................</w:t>
            </w:r>
          </w:p>
        </w:tc>
        <w:tc>
          <w:tcPr>
            <w:tcW w:w="19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3.08(h) (3.06)</w:t>
            </w:r>
          </w:p>
        </w:tc>
        <w:tc>
          <w:tcPr>
            <w:tcW w:w="3880" w:type="dxa"/>
            <w:vAlign w:val="bottom"/>
          </w:tcPr>
          <w:p>
            <w:pPr>
              <w:ind w:left="320"/>
              <w:spacing w:after="0"/>
              <w:rPr>
                <w:sz w:val="20"/>
                <w:szCs w:val="20"/>
                <w:color w:val="auto"/>
              </w:rPr>
            </w:pPr>
            <w:r>
              <w:rPr>
                <w:rFonts w:ascii="Courier New" w:cs="Courier New" w:eastAsia="Courier New" w:hAnsi="Courier New"/>
                <w:sz w:val="15"/>
                <w:szCs w:val="15"/>
                <w:color w:val="auto"/>
              </w:rPr>
              <w:t>Participant Voluntary Contributions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4.01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(4.01)</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Defined Contribution Plan  .................</w:t>
            </w:r>
          </w:p>
        </w:tc>
        <w:tc>
          <w:tcPr>
            <w:tcW w:w="19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3.08(g) (3.06)</w:t>
            </w:r>
          </w:p>
        </w:tc>
        <w:tc>
          <w:tcPr>
            <w:tcW w:w="3880" w:type="dxa"/>
            <w:vAlign w:val="bottom"/>
          </w:tcPr>
          <w:p>
            <w:pPr>
              <w:ind w:left="320"/>
              <w:spacing w:after="0"/>
              <w:rPr>
                <w:sz w:val="20"/>
                <w:szCs w:val="20"/>
                <w:color w:val="auto"/>
              </w:rPr>
            </w:pPr>
            <w:r>
              <w:rPr>
                <w:rFonts w:ascii="Courier New" w:cs="Courier New" w:eastAsia="Courier New" w:hAnsi="Courier New"/>
                <w:sz w:val="15"/>
                <w:szCs w:val="15"/>
                <w:color w:val="auto"/>
              </w:rPr>
              <w:t>Permissive Aggregation Group  .........</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1.29(e) (1.08)</w:t>
            </w:r>
          </w:p>
        </w:tc>
        <w:tc>
          <w:tcPr>
            <w:tcW w:w="0" w:type="dxa"/>
            <w:vAlign w:val="bottom"/>
          </w:tcPr>
          <w:p>
            <w:pPr>
              <w:spacing w:after="0"/>
              <w:rPr>
                <w:sz w:val="1"/>
                <w:szCs w:val="1"/>
                <w:color w:val="auto"/>
              </w:rPr>
            </w:pPr>
          </w:p>
        </w:tc>
      </w:tr>
      <w:tr>
        <w:trPr>
          <w:trHeight w:val="255"/>
        </w:trPr>
        <w:tc>
          <w:tcPr>
            <w:tcW w:w="4100" w:type="dxa"/>
            <w:vAlign w:val="bottom"/>
          </w:tcPr>
          <w:p>
            <w:pPr>
              <w:spacing w:after="0"/>
              <w:rPr>
                <w:sz w:val="20"/>
                <w:szCs w:val="20"/>
                <w:color w:val="auto"/>
              </w:rPr>
            </w:pPr>
            <w:r>
              <w:rPr>
                <w:rFonts w:ascii="Courier New" w:cs="Courier New" w:eastAsia="Courier New" w:hAnsi="Courier New"/>
                <w:sz w:val="15"/>
                <w:szCs w:val="15"/>
                <w:color w:val="auto"/>
              </w:rPr>
              <w:t>Determination Date  ........................</w:t>
            </w:r>
          </w:p>
        </w:tc>
        <w:tc>
          <w:tcPr>
            <w:tcW w:w="19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1.29(g) (1.08)</w:t>
            </w:r>
          </w:p>
        </w:tc>
        <w:tc>
          <w:tcPr>
            <w:tcW w:w="3880" w:type="dxa"/>
            <w:vAlign w:val="bottom"/>
          </w:tcPr>
          <w:p>
            <w:pPr>
              <w:ind w:left="320"/>
              <w:spacing w:after="0"/>
              <w:rPr>
                <w:sz w:val="20"/>
                <w:szCs w:val="20"/>
                <w:color w:val="auto"/>
              </w:rPr>
            </w:pPr>
            <w:r>
              <w:rPr>
                <w:rFonts w:ascii="Courier New" w:cs="Courier New" w:eastAsia="Courier New" w:hAnsi="Courier New"/>
                <w:sz w:val="15"/>
                <w:szCs w:val="15"/>
                <w:color w:val="auto"/>
              </w:rPr>
              <w:t>Plan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c>
          <w:tcPr>
            <w:tcW w:w="0" w:type="dxa"/>
            <w:vAlign w:val="bottom"/>
          </w:tcPr>
          <w:p>
            <w:pPr>
              <w:spacing w:after="0"/>
              <w:rPr>
                <w:sz w:val="1"/>
                <w:szCs w:val="1"/>
                <w:color w:val="auto"/>
              </w:rPr>
            </w:pPr>
          </w:p>
        </w:tc>
      </w:tr>
    </w:tbl>
    <w:p>
      <w:pPr>
        <w:sectPr>
          <w:pgSz w:w="11900" w:h="16867" w:orient="portrait"/>
          <w:cols w:equalWidth="0" w:num="1">
            <w:col w:w="11520"/>
          </w:cols>
          <w:pgMar w:left="240" w:top="113" w:right="139" w:bottom="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Disability  ................................</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(1.06)</w:t>
            </w:r>
          </w:p>
        </w:tc>
        <w:tc>
          <w:tcPr>
            <w:tcW w:w="4020" w:type="dxa"/>
            <w:vAlign w:val="bottom"/>
          </w:tcPr>
          <w:p>
            <w:pPr>
              <w:ind w:left="320"/>
              <w:spacing w:after="0"/>
              <w:rPr>
                <w:sz w:val="20"/>
                <w:szCs w:val="20"/>
                <w:color w:val="auto"/>
              </w:rPr>
            </w:pPr>
            <w:r>
              <w:rPr>
                <w:rFonts w:ascii="Courier New" w:cs="Courier New" w:eastAsia="Courier New" w:hAnsi="Courier New"/>
                <w:sz w:val="15"/>
                <w:szCs w:val="15"/>
                <w:color w:val="auto"/>
              </w:rPr>
              <w:t>Plan Administrator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Disqualified Person  .......................</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(1.08)</w:t>
            </w:r>
          </w:p>
        </w:tc>
        <w:tc>
          <w:tcPr>
            <w:tcW w:w="4020" w:type="dxa"/>
            <w:vAlign w:val="bottom"/>
          </w:tcPr>
          <w:p>
            <w:pPr>
              <w:ind w:left="320"/>
              <w:spacing w:after="0"/>
              <w:rPr>
                <w:sz w:val="20"/>
                <w:szCs w:val="20"/>
                <w:color w:val="auto"/>
              </w:rPr>
            </w:pPr>
            <w:r>
              <w:rPr>
                <w:rFonts w:ascii="Courier New" w:cs="Courier New" w:eastAsia="Courier New" w:hAnsi="Courier New"/>
                <w:sz w:val="15"/>
                <w:szCs w:val="15"/>
                <w:color w:val="auto"/>
              </w:rPr>
              <w:t>Plan Entry Date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Distribution Date  .........................</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6.01</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(6.01)</w:t>
            </w:r>
          </w:p>
        </w:tc>
        <w:tc>
          <w:tcPr>
            <w:tcW w:w="4020" w:type="dxa"/>
            <w:vAlign w:val="bottom"/>
          </w:tcPr>
          <w:p>
            <w:pPr>
              <w:ind w:left="320"/>
              <w:spacing w:after="0"/>
              <w:rPr>
                <w:sz w:val="20"/>
                <w:szCs w:val="20"/>
                <w:color w:val="auto"/>
              </w:rPr>
            </w:pPr>
            <w:r>
              <w:rPr>
                <w:rFonts w:ascii="Courier New" w:cs="Courier New" w:eastAsia="Courier New" w:hAnsi="Courier New"/>
                <w:sz w:val="15"/>
                <w:szCs w:val="15"/>
                <w:color w:val="auto"/>
              </w:rPr>
              <w:t>Plan Year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Effective Date  ............................</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(1.04)</w:t>
            </w:r>
          </w:p>
        </w:tc>
        <w:tc>
          <w:tcPr>
            <w:tcW w:w="4020" w:type="dxa"/>
            <w:vAlign w:val="bottom"/>
          </w:tcPr>
          <w:p>
            <w:pPr>
              <w:ind w:left="320"/>
              <w:spacing w:after="0"/>
              <w:rPr>
                <w:sz w:val="20"/>
                <w:szCs w:val="20"/>
                <w:color w:val="auto"/>
              </w:rPr>
            </w:pPr>
            <w:r>
              <w:rPr>
                <w:rFonts w:ascii="Courier New" w:cs="Courier New" w:eastAsia="Courier New" w:hAnsi="Courier New"/>
                <w:sz w:val="15"/>
                <w:szCs w:val="15"/>
                <w:color w:val="auto"/>
              </w:rPr>
              <w:t>Predecessor Employer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Elective Contributions  ....................</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(1.03)</w:t>
            </w:r>
          </w:p>
        </w:tc>
        <w:tc>
          <w:tcPr>
            <w:tcW w:w="4020" w:type="dxa"/>
            <w:vAlign w:val="bottom"/>
          </w:tcPr>
          <w:p>
            <w:pPr>
              <w:ind w:left="320"/>
              <w:spacing w:after="0"/>
              <w:rPr>
                <w:sz w:val="20"/>
                <w:szCs w:val="20"/>
                <w:color w:val="auto"/>
              </w:rPr>
            </w:pPr>
            <w:r>
              <w:rPr>
                <w:rFonts w:ascii="Courier New" w:cs="Courier New" w:eastAsia="Courier New" w:hAnsi="Courier New"/>
                <w:sz w:val="15"/>
                <w:szCs w:val="15"/>
                <w:color w:val="auto"/>
              </w:rPr>
              <w:t>Qualified Domestic Relations Order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6.07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(6.05)</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Elective Transfer  .........................</w:t>
            </w:r>
          </w:p>
        </w:tc>
        <w:tc>
          <w:tcPr>
            <w:tcW w:w="19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13.05(A) (13.02)</w:t>
            </w:r>
          </w:p>
        </w:tc>
        <w:tc>
          <w:tcPr>
            <w:tcW w:w="4020" w:type="dxa"/>
            <w:vAlign w:val="bottom"/>
          </w:tcPr>
          <w:p>
            <w:pPr>
              <w:ind w:left="320"/>
              <w:spacing w:after="0"/>
              <w:rPr>
                <w:sz w:val="20"/>
                <w:szCs w:val="20"/>
                <w:color w:val="auto"/>
              </w:rPr>
            </w:pPr>
            <w:r>
              <w:rPr>
                <w:rFonts w:ascii="Courier New" w:cs="Courier New" w:eastAsia="Courier New" w:hAnsi="Courier New"/>
                <w:sz w:val="15"/>
                <w:szCs w:val="15"/>
                <w:color w:val="auto"/>
              </w:rPr>
              <w:t>Qualifying Employer Securities  .......</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10.03 (10.01)</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Employee  ..................................</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(1.01)</w:t>
            </w:r>
          </w:p>
        </w:tc>
        <w:tc>
          <w:tcPr>
            <w:tcW w:w="4020" w:type="dxa"/>
            <w:vAlign w:val="bottom"/>
          </w:tcPr>
          <w:p>
            <w:pPr>
              <w:ind w:left="320"/>
              <w:spacing w:after="0"/>
              <w:rPr>
                <w:sz w:val="20"/>
                <w:szCs w:val="20"/>
                <w:color w:val="auto"/>
              </w:rPr>
            </w:pPr>
            <w:r>
              <w:rPr>
                <w:rFonts w:ascii="Courier New" w:cs="Courier New" w:eastAsia="Courier New" w:hAnsi="Courier New"/>
                <w:sz w:val="15"/>
                <w:szCs w:val="15"/>
                <w:color w:val="auto"/>
              </w:rPr>
              <w:t>Related Employers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Employer  ..................................</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(1.01)</w:t>
            </w:r>
          </w:p>
        </w:tc>
        <w:tc>
          <w:tcPr>
            <w:tcW w:w="4020" w:type="dxa"/>
            <w:vAlign w:val="bottom"/>
          </w:tcPr>
          <w:p>
            <w:pPr>
              <w:ind w:left="320"/>
              <w:spacing w:after="0"/>
              <w:rPr>
                <w:sz w:val="20"/>
                <w:szCs w:val="20"/>
                <w:color w:val="auto"/>
              </w:rPr>
            </w:pPr>
            <w:r>
              <w:rPr>
                <w:rFonts w:ascii="Courier New" w:cs="Courier New" w:eastAsia="Courier New" w:hAnsi="Courier New"/>
                <w:sz w:val="15"/>
                <w:szCs w:val="15"/>
                <w:color w:val="auto"/>
              </w:rPr>
              <w:t>Required Aggregation Group  ...........</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1.29(d) (1.08)</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Employer for Code ss.415 Purposes  .........</w:t>
            </w:r>
          </w:p>
        </w:tc>
        <w:tc>
          <w:tcPr>
            <w:tcW w:w="19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3.08(d) (3.06)</w:t>
            </w:r>
          </w:p>
        </w:tc>
        <w:tc>
          <w:tcPr>
            <w:tcW w:w="4020" w:type="dxa"/>
            <w:vAlign w:val="bottom"/>
          </w:tcPr>
          <w:p>
            <w:pPr>
              <w:ind w:left="320"/>
              <w:spacing w:after="0"/>
              <w:rPr>
                <w:sz w:val="20"/>
                <w:szCs w:val="20"/>
                <w:color w:val="auto"/>
              </w:rPr>
            </w:pPr>
            <w:r>
              <w:rPr>
                <w:rFonts w:ascii="Courier New" w:cs="Courier New" w:eastAsia="Courier New" w:hAnsi="Courier New"/>
                <w:sz w:val="15"/>
                <w:szCs w:val="15"/>
                <w:color w:val="auto"/>
              </w:rPr>
              <w:t>Required Beginning Date  ..............</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6.01(B) (6.02)</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Employer for Top Heavy Purposes  ...........</w:t>
            </w:r>
          </w:p>
        </w:tc>
        <w:tc>
          <w:tcPr>
            <w:tcW w:w="19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1.29(f) (1.08)</w:t>
            </w:r>
          </w:p>
        </w:tc>
        <w:tc>
          <w:tcPr>
            <w:tcW w:w="4020" w:type="dxa"/>
            <w:vAlign w:val="bottom"/>
          </w:tcPr>
          <w:p>
            <w:pPr>
              <w:ind w:left="320"/>
              <w:spacing w:after="0"/>
              <w:rPr>
                <w:sz w:val="20"/>
                <w:szCs w:val="20"/>
                <w:color w:val="auto"/>
              </w:rPr>
            </w:pPr>
            <w:r>
              <w:rPr>
                <w:rFonts w:ascii="Courier New" w:cs="Courier New" w:eastAsia="Courier New" w:hAnsi="Courier New"/>
                <w:sz w:val="15"/>
                <w:szCs w:val="15"/>
                <w:color w:val="auto"/>
              </w:rPr>
              <w:t>Rollover Contributions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4.02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(4.01)</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Employer Securities  .......................</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1.31</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(1.08)</w:t>
            </w:r>
          </w:p>
        </w:tc>
        <w:tc>
          <w:tcPr>
            <w:tcW w:w="4020" w:type="dxa"/>
            <w:vAlign w:val="bottom"/>
          </w:tcPr>
          <w:p>
            <w:pPr>
              <w:ind w:left="320"/>
              <w:spacing w:after="0"/>
              <w:rPr>
                <w:sz w:val="20"/>
                <w:szCs w:val="20"/>
                <w:color w:val="auto"/>
              </w:rPr>
            </w:pPr>
            <w:r>
              <w:rPr>
                <w:rFonts w:ascii="Courier New" w:cs="Courier New" w:eastAsia="Courier New" w:hAnsi="Courier New"/>
                <w:sz w:val="15"/>
                <w:szCs w:val="15"/>
                <w:color w:val="auto"/>
              </w:rPr>
              <w:t>Service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Employment Commencement Date  ..............</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2.02</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(2.01)</w:t>
            </w:r>
          </w:p>
        </w:tc>
        <w:tc>
          <w:tcPr>
            <w:tcW w:w="4020" w:type="dxa"/>
            <w:vAlign w:val="bottom"/>
          </w:tcPr>
          <w:p>
            <w:pPr>
              <w:ind w:left="320"/>
              <w:spacing w:after="0"/>
              <w:rPr>
                <w:sz w:val="20"/>
                <w:szCs w:val="20"/>
                <w:color w:val="auto"/>
              </w:rPr>
            </w:pPr>
            <w:r>
              <w:rPr>
                <w:rFonts w:ascii="Courier New" w:cs="Courier New" w:eastAsia="Courier New" w:hAnsi="Courier New"/>
                <w:sz w:val="15"/>
                <w:szCs w:val="15"/>
                <w:color w:val="auto"/>
              </w:rPr>
              <w:t>Top Heavy Minimum Allocation  .........</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3.04(B) (3.02)</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ERISA  .....................................</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(1.05)</w:t>
            </w:r>
          </w:p>
        </w:tc>
        <w:tc>
          <w:tcPr>
            <w:tcW w:w="4020" w:type="dxa"/>
            <w:vAlign w:val="bottom"/>
          </w:tcPr>
          <w:p>
            <w:pPr>
              <w:ind w:left="320"/>
              <w:spacing w:after="0"/>
              <w:rPr>
                <w:sz w:val="20"/>
                <w:szCs w:val="20"/>
                <w:color w:val="auto"/>
              </w:rPr>
            </w:pPr>
            <w:r>
              <w:rPr>
                <w:rFonts w:ascii="Courier New" w:cs="Courier New" w:eastAsia="Courier New" w:hAnsi="Courier New"/>
                <w:sz w:val="15"/>
                <w:szCs w:val="15"/>
                <w:color w:val="auto"/>
              </w:rPr>
              <w:t>Top Heavy Ratio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Excess Amount  .............................</w:t>
            </w:r>
          </w:p>
        </w:tc>
        <w:tc>
          <w:tcPr>
            <w:tcW w:w="19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3.08(e) (3.06)</w:t>
            </w:r>
          </w:p>
        </w:tc>
        <w:tc>
          <w:tcPr>
            <w:tcW w:w="4020" w:type="dxa"/>
            <w:vAlign w:val="bottom"/>
          </w:tcPr>
          <w:p>
            <w:pPr>
              <w:ind w:left="320"/>
              <w:spacing w:after="0"/>
              <w:rPr>
                <w:sz w:val="20"/>
                <w:szCs w:val="20"/>
                <w:color w:val="auto"/>
              </w:rPr>
            </w:pPr>
            <w:r>
              <w:rPr>
                <w:rFonts w:ascii="Courier New" w:cs="Courier New" w:eastAsia="Courier New" w:hAnsi="Courier New"/>
                <w:sz w:val="15"/>
                <w:szCs w:val="15"/>
                <w:color w:val="auto"/>
              </w:rPr>
              <w:t>Trust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Exempt Loan  ...............................</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1.32</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(1.08)</w:t>
            </w:r>
          </w:p>
        </w:tc>
        <w:tc>
          <w:tcPr>
            <w:tcW w:w="4020" w:type="dxa"/>
            <w:vAlign w:val="bottom"/>
          </w:tcPr>
          <w:p>
            <w:pPr>
              <w:ind w:left="320"/>
              <w:spacing w:after="0"/>
              <w:rPr>
                <w:sz w:val="20"/>
                <w:szCs w:val="20"/>
                <w:color w:val="auto"/>
              </w:rPr>
            </w:pPr>
            <w:r>
              <w:rPr>
                <w:rFonts w:ascii="Courier New" w:cs="Courier New" w:eastAsia="Courier New" w:hAnsi="Courier New"/>
                <w:sz w:val="15"/>
                <w:szCs w:val="15"/>
                <w:color w:val="auto"/>
              </w:rPr>
              <w:t>Trustee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Exempt Participant  ........................</w:t>
            </w:r>
          </w:p>
        </w:tc>
        <w:tc>
          <w:tcPr>
            <w:tcW w:w="19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8.01(B) (8.01)</w:t>
            </w:r>
          </w:p>
        </w:tc>
        <w:tc>
          <w:tcPr>
            <w:tcW w:w="4020" w:type="dxa"/>
            <w:vAlign w:val="bottom"/>
          </w:tcPr>
          <w:p>
            <w:pPr>
              <w:ind w:left="320"/>
              <w:spacing w:after="0"/>
              <w:rPr>
                <w:sz w:val="20"/>
                <w:szCs w:val="20"/>
                <w:color w:val="auto"/>
              </w:rPr>
            </w:pPr>
            <w:r>
              <w:rPr>
                <w:rFonts w:ascii="Courier New" w:cs="Courier New" w:eastAsia="Courier New" w:hAnsi="Courier New"/>
                <w:sz w:val="15"/>
                <w:szCs w:val="15"/>
                <w:color w:val="auto"/>
              </w:rPr>
              <w:t>Trust Fund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Fair Market Value  .........................</w:t>
            </w:r>
          </w:p>
        </w:tc>
        <w:tc>
          <w:tcPr>
            <w:tcW w:w="19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11.06 (11.02)</w:t>
            </w:r>
          </w:p>
        </w:tc>
        <w:tc>
          <w:tcPr>
            <w:tcW w:w="4020" w:type="dxa"/>
            <w:vAlign w:val="bottom"/>
          </w:tcPr>
          <w:p>
            <w:pPr>
              <w:ind w:left="320"/>
              <w:spacing w:after="0"/>
              <w:rPr>
                <w:sz w:val="20"/>
                <w:szCs w:val="20"/>
                <w:color w:val="auto"/>
              </w:rPr>
            </w:pPr>
            <w:r>
              <w:rPr>
                <w:rFonts w:ascii="Courier New" w:cs="Courier New" w:eastAsia="Courier New" w:hAnsi="Courier New"/>
                <w:sz w:val="15"/>
                <w:szCs w:val="15"/>
                <w:color w:val="auto"/>
              </w:rPr>
              <w:t>Year of Service for</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2.02</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(2.01)</w:t>
            </w:r>
          </w:p>
        </w:tc>
        <w:tc>
          <w:tcPr>
            <w:tcW w:w="0" w:type="dxa"/>
            <w:vAlign w:val="bottom"/>
          </w:tcPr>
          <w:p>
            <w:pPr>
              <w:spacing w:after="0"/>
              <w:rPr>
                <w:sz w:val="1"/>
                <w:szCs w:val="1"/>
                <w:color w:val="auto"/>
              </w:rPr>
            </w:pPr>
          </w:p>
        </w:tc>
      </w:tr>
      <w:tr>
        <w:trPr>
          <w:trHeight w:val="255"/>
        </w:trPr>
        <w:tc>
          <w:tcPr>
            <w:tcW w:w="4140" w:type="dxa"/>
            <w:vAlign w:val="bottom"/>
          </w:tcPr>
          <w:p>
            <w:pPr>
              <w:spacing w:after="0"/>
              <w:rPr>
                <w:sz w:val="20"/>
                <w:szCs w:val="20"/>
                <w:color w:val="auto"/>
              </w:rPr>
            </w:pPr>
            <w:r>
              <w:rPr>
                <w:rFonts w:ascii="Courier New" w:cs="Courier New" w:eastAsia="Courier New" w:hAnsi="Courier New"/>
                <w:sz w:val="15"/>
                <w:szCs w:val="15"/>
                <w:color w:val="auto"/>
              </w:rPr>
              <w:t>Group Trust Fund  ..........................</w:t>
            </w:r>
          </w:p>
        </w:tc>
        <w:tc>
          <w:tcPr>
            <w:tcW w:w="19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10.16 (10.06)</w:t>
            </w:r>
          </w:p>
        </w:tc>
        <w:tc>
          <w:tcPr>
            <w:tcW w:w="4020" w:type="dxa"/>
            <w:vAlign w:val="bottom"/>
          </w:tcPr>
          <w:p>
            <w:pPr>
              <w:ind w:left="580"/>
              <w:spacing w:after="0"/>
              <w:rPr>
                <w:sz w:val="20"/>
                <w:szCs w:val="20"/>
                <w:color w:val="auto"/>
              </w:rPr>
            </w:pPr>
            <w:r>
              <w:rPr>
                <w:rFonts w:ascii="Courier New" w:cs="Courier New" w:eastAsia="Courier New" w:hAnsi="Courier New"/>
                <w:sz w:val="15"/>
                <w:szCs w:val="15"/>
                <w:color w:val="auto"/>
              </w:rPr>
              <w:t>Eligibility Purposes  ..............</w:t>
            </w:r>
          </w:p>
        </w:tc>
        <w:tc>
          <w:tcPr>
            <w:tcW w:w="840" w:type="dxa"/>
            <w:vAlign w:val="bottom"/>
            <w:vMerge w:val="continue"/>
          </w:tcPr>
          <w:p>
            <w:pPr>
              <w:spacing w:after="0"/>
              <w:rPr>
                <w:sz w:val="22"/>
                <w:szCs w:val="22"/>
                <w:color w:val="auto"/>
              </w:rPr>
            </w:pPr>
          </w:p>
        </w:tc>
        <w:tc>
          <w:tcPr>
            <w:tcW w:w="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center"/>
        <w:ind w:left="380"/>
        <w:spacing w:after="0"/>
        <w:rPr>
          <w:sz w:val="20"/>
          <w:szCs w:val="20"/>
          <w:color w:val="auto"/>
        </w:rPr>
      </w:pPr>
      <w:r>
        <w:rPr>
          <w:rFonts w:ascii="Courier New" w:cs="Courier New" w:eastAsia="Courier New" w:hAnsi="Courier New"/>
          <w:sz w:val="15"/>
          <w:szCs w:val="15"/>
          <w:color w:val="auto"/>
        </w:rPr>
        <w:t>* * * * * * * * * * *</w:t>
      </w:r>
    </w:p>
    <w:p>
      <w:pPr>
        <w:spacing w:after="0" w:line="177" w:lineRule="exact"/>
        <w:rPr>
          <w:sz w:val="20"/>
          <w:szCs w:val="20"/>
          <w:color w:val="auto"/>
        </w:rPr>
      </w:pPr>
    </w:p>
    <w:p>
      <w:pPr>
        <w:jc w:val="center"/>
        <w:ind w:left="56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1520"/>
          </w:cols>
          <w:pgMar w:left="240" w:top="113" w:right="139"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WINNEBAGO INDUSTRIES, INC.</w:t>
      </w:r>
    </w:p>
    <w:p>
      <w:pPr>
        <w:spacing w:after="0" w:line="350" w:lineRule="exact"/>
        <w:rPr>
          <w:sz w:val="20"/>
          <w:szCs w:val="20"/>
          <w:color w:val="auto"/>
        </w:rPr>
      </w:pPr>
    </w:p>
    <w:p>
      <w:pPr>
        <w:spacing w:after="0"/>
        <w:tabs>
          <w:tab w:leader="none" w:pos="5200" w:val="left"/>
        </w:tabs>
        <w:rPr>
          <w:sz w:val="20"/>
          <w:szCs w:val="20"/>
          <w:color w:val="auto"/>
        </w:rPr>
      </w:pPr>
      <w:r>
        <w:rPr>
          <w:rFonts w:ascii="Courier New" w:cs="Courier New" w:eastAsia="Courier New" w:hAnsi="Courier New"/>
          <w:sz w:val="15"/>
          <w:szCs w:val="15"/>
          <w:color w:val="auto"/>
        </w:rPr>
        <w:t>[LOGO:WINNEBAGO INDUSTRIES]</w:t>
      </w:r>
      <w:r>
        <w:rPr>
          <w:sz w:val="20"/>
          <w:szCs w:val="20"/>
          <w:color w:val="auto"/>
        </w:rPr>
        <w:tab/>
      </w:r>
      <w:r>
        <w:rPr>
          <w:rFonts w:ascii="Courier New" w:cs="Courier New" w:eastAsia="Courier New" w:hAnsi="Courier New"/>
          <w:sz w:val="14"/>
          <w:szCs w:val="14"/>
          <w:color w:val="auto"/>
        </w:rPr>
        <w:t>1996 ANNUAL REPORT</w:t>
      </w:r>
    </w:p>
    <w:p>
      <w:pPr>
        <w:spacing w:after="0" w:line="350"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JOHN K. HANSON</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1913 - 1996</w:t>
      </w:r>
    </w:p>
    <w:p>
      <w:pPr>
        <w:spacing w:after="0" w:line="177" w:lineRule="exact"/>
        <w:rPr>
          <w:sz w:val="20"/>
          <w:szCs w:val="20"/>
          <w:color w:val="auto"/>
        </w:rPr>
      </w:pPr>
    </w:p>
    <w:p>
      <w:pPr>
        <w:ind w:right="3379" w:firstLine="451"/>
        <w:spacing w:after="0" w:line="365" w:lineRule="auto"/>
        <w:rPr>
          <w:sz w:val="20"/>
          <w:szCs w:val="20"/>
          <w:color w:val="auto"/>
        </w:rPr>
      </w:pPr>
      <w:r>
        <w:rPr>
          <w:rFonts w:ascii="Courier New" w:cs="Courier New" w:eastAsia="Courier New" w:hAnsi="Courier New"/>
          <w:sz w:val="15"/>
          <w:szCs w:val="15"/>
          <w:color w:val="auto"/>
        </w:rPr>
        <w:t>John K. Hanson, Winnebago Industries founder and former chairman of the board died on June 27, 1996 at the age of 83.</w:t>
      </w:r>
    </w:p>
    <w:p>
      <w:pPr>
        <w:spacing w:after="0" w:line="3"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5"/>
          <w:szCs w:val="15"/>
          <w:color w:val="auto"/>
        </w:rPr>
        <w:t>Hanson was paramount to the success of Winnebago Industries throughout its history and helped the company achieve its dominance in the recreation vehicle (RV) industry. An avid outdoor camping enthusiast, Hanson began his career in the RV industry by becoming a travel trailer dealer in 1957. Convinced that travel trailer manufacturing was an attractive opportunity for the community, he convinced local investors to lure Modernistic Industries, a California travel trailer manufacturing firm, to open a branch facility in Forest City. In 1959, Hanson became president of the new firm, Modernistic Industries of Iowa.</w:t>
      </w:r>
    </w:p>
    <w:p>
      <w:pPr>
        <w:spacing w:after="0" w:line="76" w:lineRule="exact"/>
        <w:rPr>
          <w:sz w:val="20"/>
          <w:szCs w:val="20"/>
          <w:color w:val="auto"/>
        </w:rPr>
      </w:pPr>
    </w:p>
    <w:p>
      <w:pPr>
        <w:ind w:right="3019" w:firstLine="451"/>
        <w:spacing w:after="0" w:line="268" w:lineRule="auto"/>
        <w:rPr>
          <w:sz w:val="20"/>
          <w:szCs w:val="20"/>
          <w:color w:val="auto"/>
        </w:rPr>
      </w:pPr>
      <w:r>
        <w:rPr>
          <w:rFonts w:ascii="Courier New" w:cs="Courier New" w:eastAsia="Courier New" w:hAnsi="Courier New"/>
          <w:sz w:val="15"/>
          <w:szCs w:val="15"/>
          <w:color w:val="auto"/>
        </w:rPr>
        <w:t>Immediately, he began to explore methods for improving the company's trailers. Hanson identified the potential for new products and implemented effective cost-cutting measures. He ultimately brought mass production to motor home assembly and led the company -- renamed Winnebago Industries, Inc. -- to dominance in the motor home field, resulting in a revolution in the RV industry. Today, the word "Winnebago" is synonymous with "motor home."</w:t>
      </w:r>
    </w:p>
    <w:p>
      <w:pPr>
        <w:spacing w:after="0" w:line="75" w:lineRule="exact"/>
        <w:rPr>
          <w:sz w:val="20"/>
          <w:szCs w:val="20"/>
          <w:color w:val="auto"/>
        </w:rPr>
      </w:pPr>
    </w:p>
    <w:p>
      <w:pPr>
        <w:ind w:right="3099" w:firstLine="451"/>
        <w:spacing w:after="0" w:line="305" w:lineRule="auto"/>
        <w:rPr>
          <w:sz w:val="20"/>
          <w:szCs w:val="20"/>
          <w:color w:val="auto"/>
        </w:rPr>
      </w:pPr>
      <w:r>
        <w:rPr>
          <w:rFonts w:ascii="Courier New" w:cs="Courier New" w:eastAsia="Courier New" w:hAnsi="Courier New"/>
          <w:sz w:val="15"/>
          <w:szCs w:val="15"/>
          <w:color w:val="auto"/>
        </w:rPr>
        <w:t>In 1970 Hanson led the company as it was listed on the New York Stock Exchange. In 1971 the stock was the hit of Wall Street as it appreciated by 462 percent -- more than any other company on the exchange.</w:t>
      </w:r>
    </w:p>
    <w:p>
      <w:pPr>
        <w:spacing w:after="0" w:line="46" w:lineRule="exact"/>
        <w:rPr>
          <w:sz w:val="20"/>
          <w:szCs w:val="20"/>
          <w:color w:val="auto"/>
        </w:rPr>
      </w:pPr>
    </w:p>
    <w:p>
      <w:pPr>
        <w:ind w:right="3019" w:firstLine="451"/>
        <w:spacing w:after="0" w:line="259" w:lineRule="auto"/>
        <w:rPr>
          <w:sz w:val="20"/>
          <w:szCs w:val="20"/>
          <w:color w:val="auto"/>
        </w:rPr>
      </w:pPr>
      <w:r>
        <w:rPr>
          <w:rFonts w:ascii="Courier New" w:cs="Courier New" w:eastAsia="Courier New" w:hAnsi="Courier New"/>
          <w:sz w:val="15"/>
          <w:szCs w:val="15"/>
          <w:color w:val="auto"/>
        </w:rPr>
        <w:t>Hanson was an innovative leader in the RV industry and instrumental in the formation of RV industry manufacturing standards. He won numerous awards for professional, civic and fraternal activities. In 1965, Hanson was selected as Iowa Small Businessman of the Year. In 1983, he was inducted into the RV Hall of Fame and the Iowa Business Hall of Fame, and in 1984, he was named to the Babson College Academy of Distinguished Entrepreneurs and received the People of Vision Award from the Iowa Society to Prevent Blindness. Hanson was also honored as a native son of Norway by the King of Norway on June 23, 1984 at the opening of the "Promise of America" exhibit in Oslo, Norway.</w:t>
      </w:r>
    </w:p>
    <w:p>
      <w:pPr>
        <w:spacing w:after="0" w:line="83" w:lineRule="exact"/>
        <w:rPr>
          <w:sz w:val="20"/>
          <w:szCs w:val="20"/>
          <w:color w:val="auto"/>
        </w:rPr>
      </w:pPr>
    </w:p>
    <w:p>
      <w:pPr>
        <w:ind w:right="3019" w:firstLine="451"/>
        <w:spacing w:after="0" w:line="256" w:lineRule="auto"/>
        <w:rPr>
          <w:sz w:val="20"/>
          <w:szCs w:val="20"/>
          <w:color w:val="auto"/>
        </w:rPr>
      </w:pPr>
      <w:r>
        <w:rPr>
          <w:rFonts w:ascii="Courier New" w:cs="Courier New" w:eastAsia="Courier New" w:hAnsi="Courier New"/>
          <w:sz w:val="15"/>
          <w:szCs w:val="15"/>
          <w:color w:val="auto"/>
        </w:rPr>
        <w:t>Hanson received the Distinguished Achievement Award from the Recreation Vehicle Industry Association in 1988 for contributions to the long-term growth and prosperity of the RV industry. In 1990, he was inducted into the Scandinavian-American Hall of Fame in Minot, North Dakota. In 1995, Hanson was honored by the Recreation Vehicle Dealers Association (RVDA) as an industry pioneer. He also received an Honorary Doctor of Laws degree from Waldorf College, Forest City, for a lifetime of achievement in business and of service to the college, the church, the community, the nation, and the world. Hanson also received the 1st Annual Meredith Wilson Humanitarian Award in 1995 from the city of Mason City, Iowa, due to his tremendous humanitarian contributions to the North Iowa community.</w:t>
      </w:r>
    </w:p>
    <w:p>
      <w:pPr>
        <w:spacing w:after="0" w:line="87" w:lineRule="exact"/>
        <w:rPr>
          <w:sz w:val="20"/>
          <w:szCs w:val="20"/>
          <w:color w:val="auto"/>
        </w:rPr>
      </w:pPr>
    </w:p>
    <w:p>
      <w:pPr>
        <w:ind w:right="3279" w:firstLine="451"/>
        <w:spacing w:after="0" w:line="274" w:lineRule="auto"/>
        <w:rPr>
          <w:sz w:val="20"/>
          <w:szCs w:val="20"/>
          <w:color w:val="auto"/>
        </w:rPr>
      </w:pPr>
      <w:r>
        <w:rPr>
          <w:rFonts w:ascii="Courier New" w:cs="Courier New" w:eastAsia="Courier New" w:hAnsi="Courier New"/>
          <w:sz w:val="15"/>
          <w:szCs w:val="15"/>
          <w:color w:val="auto"/>
        </w:rPr>
        <w:t>Indeed, John K. Hanson left a great legacy when founding Winnebago Industries 38 years ago. One of the world's largest manufacturers of motor homes, Winnebago Industries is a major industrial operation for the state of Iowa and now employs over 3,150 employees with annual revenues exceeding $480 million.</w:t>
      </w:r>
    </w:p>
    <w:p>
      <w:pPr>
        <w:spacing w:after="0" w:line="244"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WINNEBAGO INDUSTRIES,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OUR SHAREHOLDERS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w:t>
      </w:r>
    </w:p>
    <w:p>
      <w:pPr>
        <w:spacing w:after="0" w:line="177"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5"/>
          <w:szCs w:val="15"/>
          <w:color w:val="auto"/>
        </w:rPr>
        <w:t>Winnebago Industries experienced a great loss this year in the death of John K. Hanson, the Company's founder. The management team at Winnebago Industries has led the Company since 1993 when John K. Hanson stepped down from the daily task of running the Company. This experienced team brought the Company back to profitability during the last three years, produced record revenues in fiscal 1996 and will continue to pursue excellence in recreation vehicle manufacturing.</w:t>
      </w: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AND CHIEF EXECUTIVE OFFICER FRED DOHRMANN (LEFT), AND</w:t>
      </w:r>
    </w:p>
    <w:p>
      <w:pPr>
        <w:spacing w:after="0" w:line="31" w:lineRule="exact"/>
        <w:rPr>
          <w:sz w:val="20"/>
          <w:szCs w:val="20"/>
          <w:color w:val="auto"/>
        </w:rPr>
      </w:pPr>
    </w:p>
    <w:p>
      <w:pPr>
        <w:ind w:right="3739"/>
        <w:spacing w:after="0" w:line="325" w:lineRule="auto"/>
        <w:rPr>
          <w:sz w:val="20"/>
          <w:szCs w:val="20"/>
          <w:color w:val="auto"/>
        </w:rPr>
      </w:pPr>
      <w:r>
        <w:rPr>
          <w:rFonts w:ascii="Courier New" w:cs="Courier New" w:eastAsia="Courier New" w:hAnsi="Courier New"/>
          <w:sz w:val="15"/>
          <w:szCs w:val="15"/>
          <w:color w:val="auto"/>
        </w:rPr>
        <w:t>PRESIDENT AND CHIEF OPERATING OFFICER BRUCE HERTZKE LEAD THE EXPERIENCED WINNEBAGO INDUSTRIES MANAGEMENT TEAM.</w:t>
      </w:r>
    </w:p>
    <w:p>
      <w:pPr>
        <w:spacing w:after="0" w:line="32" w:lineRule="exact"/>
        <w:rPr>
          <w:sz w:val="20"/>
          <w:szCs w:val="20"/>
          <w:color w:val="auto"/>
        </w:rPr>
      </w:pPr>
    </w:p>
    <w:p>
      <w:pPr>
        <w:ind w:right="3199" w:firstLine="451"/>
        <w:spacing w:after="0" w:line="283" w:lineRule="auto"/>
        <w:rPr>
          <w:sz w:val="20"/>
          <w:szCs w:val="20"/>
          <w:color w:val="auto"/>
        </w:rPr>
      </w:pPr>
      <w:r>
        <w:rPr>
          <w:rFonts w:ascii="Courier New" w:cs="Courier New" w:eastAsia="Courier New" w:hAnsi="Courier New"/>
          <w:sz w:val="14"/>
          <w:szCs w:val="14"/>
          <w:color w:val="auto"/>
        </w:rPr>
        <w:t>With an average of 21 years of service at Winnebago Industries, this management team is continuing to direct the future development of the Company. Fred G. Dohrmann continues to serve in the position of chief executive officer and now also serves as chairman of the board. Bruce D. Hertzke has been named president in addition to his duties as chief operating officer. To enhance the seasoned management team, another long-term employee has been added. In August 1996, Robert J. Olson was named vice president of manufacturing. In addition, John V. Hanson, son of John K. Hanson, was named to the board of directors.</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RESULTS</w:t>
      </w:r>
    </w:p>
    <w:p>
      <w:pPr>
        <w:sectPr>
          <w:pgSz w:w="11900" w:h="16838" w:orient="portrait"/>
          <w:cols w:equalWidth="0" w:num="1">
            <w:col w:w="10219"/>
          </w:cols>
          <w:pgMar w:left="240" w:top="287" w:right="1440" w:bottom="0" w:gutter="0" w:footer="0" w:header="0"/>
        </w:sectPr>
      </w:pPr>
    </w:p>
    <w:bookmarkStart w:id="52" w:name="page53"/>
    <w:bookmarkEnd w:id="52"/>
    <w:p>
      <w:pPr>
        <w:spacing w:after="0" w:line="75" w:lineRule="exact"/>
        <w:rPr>
          <w:sz w:val="20"/>
          <w:szCs w:val="20"/>
          <w:color w:val="auto"/>
        </w:rPr>
      </w:pPr>
    </w:p>
    <w:p>
      <w:pPr>
        <w:ind w:right="3279" w:firstLine="451"/>
        <w:spacing w:after="0" w:line="274" w:lineRule="auto"/>
        <w:rPr>
          <w:sz w:val="20"/>
          <w:szCs w:val="20"/>
          <w:color w:val="auto"/>
        </w:rPr>
      </w:pPr>
      <w:r>
        <w:rPr>
          <w:rFonts w:ascii="Courier New" w:cs="Courier New" w:eastAsia="Courier New" w:hAnsi="Courier New"/>
          <w:sz w:val="15"/>
          <w:szCs w:val="15"/>
          <w:color w:val="auto"/>
        </w:rPr>
        <w:t>For the fifth consecutive year, revenues have risen for Winnebago Industries. Revenues for fiscal 1996 set an all-time high of $484.8 million, compared to net revenues of $460.1 million last year. Income from continuing operations before income taxes for fiscal 1996 was $21.1 million, compared to $20.0 million for fiscal 1995.</w:t>
      </w:r>
    </w:p>
    <w:p>
      <w:pPr>
        <w:spacing w:after="0" w:line="70" w:lineRule="exact"/>
        <w:rPr>
          <w:sz w:val="20"/>
          <w:szCs w:val="20"/>
          <w:color w:val="auto"/>
        </w:rPr>
      </w:pPr>
    </w:p>
    <w:p>
      <w:pPr>
        <w:ind w:right="3019" w:firstLine="451"/>
        <w:spacing w:after="0" w:line="274" w:lineRule="auto"/>
        <w:rPr>
          <w:sz w:val="20"/>
          <w:szCs w:val="20"/>
          <w:color w:val="auto"/>
        </w:rPr>
      </w:pPr>
      <w:r>
        <w:rPr>
          <w:rFonts w:ascii="Courier New" w:cs="Courier New" w:eastAsia="Courier New" w:hAnsi="Courier New"/>
          <w:sz w:val="15"/>
          <w:szCs w:val="15"/>
          <w:color w:val="auto"/>
        </w:rPr>
        <w:t>Due to the strong pretax earnings growth Winnebago Industries experienced during the past four years, fiscal 1996 results reflect the full impact of income tax expense of $6.6 million. During fiscal 1995, the Company recognized tax credits of $7.9 million, resulting from reductions of its deferred tax asset valuation allowance.</w:t>
      </w:r>
    </w:p>
    <w:p>
      <w:pPr>
        <w:spacing w:after="0" w:line="70" w:lineRule="exact"/>
        <w:rPr>
          <w:sz w:val="20"/>
          <w:szCs w:val="20"/>
          <w:color w:val="auto"/>
        </w:rPr>
      </w:pPr>
    </w:p>
    <w:p>
      <w:pPr>
        <w:ind w:right="3459" w:firstLine="451"/>
        <w:spacing w:after="0" w:line="305" w:lineRule="auto"/>
        <w:rPr>
          <w:sz w:val="20"/>
          <w:szCs w:val="20"/>
          <w:color w:val="auto"/>
        </w:rPr>
      </w:pPr>
      <w:r>
        <w:rPr>
          <w:rFonts w:ascii="Courier New" w:cs="Courier New" w:eastAsia="Courier New" w:hAnsi="Courier New"/>
          <w:sz w:val="15"/>
          <w:szCs w:val="15"/>
          <w:color w:val="auto"/>
        </w:rPr>
        <w:t>Net income for fiscal 1996 was $12.4 million, or 49 cents per share, compared to $27.8 million, or $1.10 per share, for fiscal 1995. Fiscal 1995 results reflect the previously mentioned tax credits.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RE-FOCUS ON CORE BUSINESS</w:t>
      </w:r>
    </w:p>
    <w:p>
      <w:pPr>
        <w:spacing w:after="0" w:line="177"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5"/>
          <w:szCs w:val="15"/>
          <w:color w:val="auto"/>
        </w:rPr>
        <w:t>Two strategic moves in 1996 will allow Winnebago Industries the ability to more completely focus on the future of its core business, the manufacturing of high quality motor homes. In August 1996, Winnebago Industries' board of directors, along with additional Cycle-Sat shareholders, made a decision to sell Cycle-Sat, Inc. On September 9, 1996, WilTech Group, a subsidiary of the Williams Companies, Inc., Tulsa Okla., announced that a letter of understanding had been signed for the purchase of Cycle-Sat, pending a due diligence review.</w:t>
      </w:r>
    </w:p>
    <w:p>
      <w:pPr>
        <w:spacing w:after="0" w:line="79" w:lineRule="exact"/>
        <w:rPr>
          <w:sz w:val="20"/>
          <w:szCs w:val="20"/>
          <w:color w:val="auto"/>
        </w:rPr>
      </w:pPr>
    </w:p>
    <w:p>
      <w:pPr>
        <w:ind w:right="3019" w:firstLine="451"/>
        <w:spacing w:after="0" w:line="274" w:lineRule="auto"/>
        <w:rPr>
          <w:sz w:val="20"/>
          <w:szCs w:val="20"/>
          <w:color w:val="auto"/>
        </w:rPr>
      </w:pPr>
      <w:r>
        <w:rPr>
          <w:rFonts w:ascii="Courier New" w:cs="Courier New" w:eastAsia="Courier New" w:hAnsi="Courier New"/>
          <w:sz w:val="15"/>
          <w:szCs w:val="15"/>
          <w:color w:val="auto"/>
        </w:rPr>
        <w:t>During the fourth quarter of fiscal 1996, Winnebago Industries' board of directors decided to discontinue the Company's financial support of the buyer of its former North Iowa Electronics business and to exit future involvement with this business. A provision for expected losses under loan guarantees of $4.1 million was recorded in connection with this action.</w:t>
      </w:r>
    </w:p>
    <w:p>
      <w:pPr>
        <w:spacing w:after="0" w:line="70" w:lineRule="exact"/>
        <w:rPr>
          <w:sz w:val="20"/>
          <w:szCs w:val="20"/>
          <w:color w:val="auto"/>
        </w:rPr>
      </w:pPr>
    </w:p>
    <w:p>
      <w:pPr>
        <w:ind w:right="3199" w:firstLine="451"/>
        <w:spacing w:after="0" w:line="365" w:lineRule="auto"/>
        <w:rPr>
          <w:sz w:val="20"/>
          <w:szCs w:val="20"/>
          <w:color w:val="auto"/>
        </w:rPr>
      </w:pPr>
      <w:r>
        <w:rPr>
          <w:rFonts w:ascii="Courier New" w:cs="Courier New" w:eastAsia="Courier New" w:hAnsi="Courier New"/>
          <w:sz w:val="15"/>
          <w:szCs w:val="15"/>
          <w:color w:val="auto"/>
        </w:rPr>
        <w:t>Financial results of Cycle-Sat and the loss provisions in connection with North Iowa Electronics are reported as discontinued operations.</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1</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 POLICY</w:t>
      </w:r>
    </w:p>
    <w:p>
      <w:pPr>
        <w:spacing w:after="0" w:line="177"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5"/>
          <w:szCs w:val="15"/>
          <w:color w:val="auto"/>
        </w:rPr>
        <w:t>Cash dividends aggregating to 30 cents per share were paid to shareholders during fiscal 1996. On October 17, 1996, the board of directors announced its intention to pay bi-annual cash dividends of ten cents per share in January and July. A cash dividend will be paid to shareholders of record as of December 6, 1996 for payment on January 6, 1997. It is the board of directors' strong belief that re-investing profits for long-term growth will be of greater benefit to shareholders in the long term.</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7" w:lineRule="exact"/>
        <w:rPr>
          <w:sz w:val="20"/>
          <w:szCs w:val="20"/>
          <w:color w:val="auto"/>
        </w:rPr>
      </w:pPr>
    </w:p>
    <w:p>
      <w:pPr>
        <w:ind w:right="3099" w:firstLine="451"/>
        <w:spacing w:after="0" w:line="274" w:lineRule="auto"/>
        <w:rPr>
          <w:sz w:val="20"/>
          <w:szCs w:val="20"/>
          <w:color w:val="auto"/>
        </w:rPr>
      </w:pPr>
      <w:r>
        <w:rPr>
          <w:rFonts w:ascii="Courier New" w:cs="Courier New" w:eastAsia="Courier New" w:hAnsi="Courier New"/>
          <w:sz w:val="15"/>
          <w:szCs w:val="15"/>
          <w:color w:val="auto"/>
        </w:rPr>
        <w:t>Winnebago Industries successfully launched its new 1997 product line to dealers in August at a national meeting in Las Vegas, Nevada. The Company has a proud history of innovation and product development and this year the Company continued to excel in this area. Please see page 4 for an overview of Winnebago Industries' exciting product developments and comprehensive service offerings.</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31" w:lineRule="exact"/>
        <w:rPr>
          <w:sz w:val="20"/>
          <w:szCs w:val="20"/>
          <w:color w:val="auto"/>
        </w:rPr>
      </w:pPr>
    </w:p>
    <w:p>
      <w:pPr>
        <w:ind w:right="3459"/>
        <w:spacing w:after="0" w:line="271" w:lineRule="auto"/>
        <w:rPr>
          <w:sz w:val="20"/>
          <w:szCs w:val="20"/>
          <w:color w:val="auto"/>
        </w:rPr>
      </w:pPr>
      <w:r>
        <w:rPr>
          <w:rFonts w:ascii="Courier New" w:cs="Courier New" w:eastAsia="Courier New" w:hAnsi="Courier New"/>
          <w:sz w:val="15"/>
          <w:szCs w:val="15"/>
          <w:color w:val="auto"/>
        </w:rPr>
        <w:t>SHOWN ABOVE IS A FULLY-EQUIPPED MEDICAL UNIT THAT WAS CREATED TO SUPPLY RESIDENTS OF WESTERN HAWAII A CONVENIENT WAY TO SEEK MEDICAL ATTENTION. THE SPECIAL INTERIOR WAS DESIGNED TO PROVIDE PRIMARY MEDICAL, DENTAL AND SOCIAL SERVICES.</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OEM, COMMERCIAL VEHICLES AND OTHER PRODUCTS</w:t>
      </w:r>
    </w:p>
    <w:p>
      <w:pPr>
        <w:spacing w:after="0" w:line="177" w:lineRule="exact"/>
        <w:rPr>
          <w:sz w:val="20"/>
          <w:szCs w:val="20"/>
          <w:color w:val="auto"/>
        </w:rPr>
      </w:pPr>
    </w:p>
    <w:p>
      <w:pPr>
        <w:ind w:right="3099" w:firstLine="451"/>
        <w:spacing w:after="0" w:line="264" w:lineRule="auto"/>
        <w:rPr>
          <w:sz w:val="20"/>
          <w:szCs w:val="20"/>
          <w:color w:val="auto"/>
        </w:rPr>
      </w:pPr>
      <w:r>
        <w:rPr>
          <w:rFonts w:ascii="Courier New" w:cs="Courier New" w:eastAsia="Courier New" w:hAnsi="Courier New"/>
          <w:sz w:val="15"/>
          <w:szCs w:val="15"/>
          <w:color w:val="auto"/>
        </w:rPr>
        <w:t>Winnebago Industries sells a major portion of the production of its component manufacturing to original equipment manufacturers (OEM). In fiscal 1996, OEM sales accounted for $28.3 million in revenue. Due to a decrease in aluminum prices, OEM revenues declined from $32.2 million in fiscal 1995. Aluminum is purchased for our Creative Aluminum Products Company (CAPCO), which produces aluminum extrusions. CAPCO accounts for nearly 90 percent of Winnebago Industries' current OEM business.</w:t>
      </w:r>
    </w:p>
    <w:p>
      <w:pPr>
        <w:spacing w:after="0" w:line="79" w:lineRule="exact"/>
        <w:rPr>
          <w:sz w:val="20"/>
          <w:szCs w:val="20"/>
          <w:color w:val="auto"/>
        </w:rPr>
      </w:pPr>
    </w:p>
    <w:p>
      <w:pPr>
        <w:ind w:right="3019" w:firstLine="451"/>
        <w:spacing w:after="0" w:line="335" w:lineRule="auto"/>
        <w:rPr>
          <w:sz w:val="20"/>
          <w:szCs w:val="20"/>
          <w:color w:val="auto"/>
        </w:rPr>
      </w:pPr>
      <w:r>
        <w:rPr>
          <w:rFonts w:ascii="Courier New" w:cs="Courier New" w:eastAsia="Courier New" w:hAnsi="Courier New"/>
          <w:sz w:val="14"/>
          <w:szCs w:val="14"/>
          <w:color w:val="auto"/>
        </w:rPr>
        <w:t>The Plastics and Fiberglass Manufacturing (PFM) department experienced a 92 percent increase in Other Product sales during fiscal 1996. This is primarily due to the new production of molded plastic docks for marine applications.</w:t>
      </w:r>
    </w:p>
    <w:p>
      <w:pPr>
        <w:spacing w:after="0" w:line="29" w:lineRule="exact"/>
        <w:rPr>
          <w:sz w:val="20"/>
          <w:szCs w:val="20"/>
          <w:color w:val="auto"/>
        </w:rPr>
      </w:pPr>
    </w:p>
    <w:p>
      <w:pPr>
        <w:ind w:right="3099" w:firstLine="451"/>
        <w:spacing w:after="0" w:line="305" w:lineRule="auto"/>
        <w:rPr>
          <w:sz w:val="20"/>
          <w:szCs w:val="20"/>
          <w:color w:val="auto"/>
        </w:rPr>
      </w:pPr>
      <w:r>
        <w:rPr>
          <w:rFonts w:ascii="Courier New" w:cs="Courier New" w:eastAsia="Courier New" w:hAnsi="Courier New"/>
          <w:sz w:val="15"/>
          <w:szCs w:val="15"/>
          <w:color w:val="auto"/>
        </w:rPr>
        <w:t>The Company continues to aggressively market its commercial vehicles for specialized niche markets. Commercial vehicle sales were $5.8 million in fiscal 1996, an increase of 18 percent over sales of $4.9 million in fiscal 1995.</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QUALITY</w:t>
      </w:r>
    </w:p>
    <w:p>
      <w:pPr>
        <w:spacing w:after="0" w:line="177" w:lineRule="exact"/>
        <w:rPr>
          <w:sz w:val="20"/>
          <w:szCs w:val="20"/>
          <w:color w:val="auto"/>
        </w:rPr>
      </w:pPr>
    </w:p>
    <w:p>
      <w:pPr>
        <w:ind w:right="3199" w:firstLine="451"/>
        <w:spacing w:after="0" w:line="286" w:lineRule="auto"/>
        <w:rPr>
          <w:sz w:val="20"/>
          <w:szCs w:val="20"/>
          <w:color w:val="auto"/>
        </w:rPr>
      </w:pPr>
      <w:r>
        <w:rPr>
          <w:rFonts w:ascii="Courier New" w:cs="Courier New" w:eastAsia="Courier New" w:hAnsi="Courier New"/>
          <w:sz w:val="14"/>
          <w:szCs w:val="14"/>
          <w:color w:val="auto"/>
        </w:rPr>
        <w:t>One of the Company's ad campaigns for 1996 read, "In a world where expediency has replaced quality, it takes a certain kind of person to build a motor home the way we build ours. Where integrity and quality aren't merely words, they're beliefs." Our employees are a critical element in the equation that results in quality products. We firmly believe that no one knows our products better than the people who build them. So we involve our employees in helping us continually improve those products through a variety of programs.</w:t>
      </w:r>
    </w:p>
    <w:p>
      <w:pPr>
        <w:spacing w:after="0" w:line="64" w:lineRule="exact"/>
        <w:rPr>
          <w:sz w:val="20"/>
          <w:szCs w:val="20"/>
          <w:color w:val="auto"/>
        </w:rPr>
      </w:pPr>
    </w:p>
    <w:p>
      <w:pPr>
        <w:ind w:right="3379" w:firstLine="451"/>
        <w:spacing w:after="0" w:line="311" w:lineRule="auto"/>
        <w:rPr>
          <w:sz w:val="20"/>
          <w:szCs w:val="20"/>
          <w:color w:val="auto"/>
        </w:rPr>
      </w:pPr>
      <w:r>
        <w:rPr>
          <w:rFonts w:ascii="Courier New" w:cs="Courier New" w:eastAsia="Courier New" w:hAnsi="Courier New"/>
          <w:sz w:val="14"/>
          <w:szCs w:val="14"/>
          <w:color w:val="auto"/>
        </w:rPr>
        <w:t>Employee empowerment is standard practice at Winnebago Industries. We welcome employee feedback and ideas on products and processes that result in cost and time savings, as well as weight savings. Since the employee cost savings suggestion program was initiated five years ago, approximately 1,400</w:t>
      </w:r>
    </w:p>
    <w:p>
      <w:pPr>
        <w:sectPr>
          <w:pgSz w:w="11900" w:h="16914" w:orient="portrait"/>
          <w:cols w:equalWidth="0" w:num="1">
            <w:col w:w="10219"/>
          </w:cols>
          <w:pgMar w:left="240" w:top="114" w:right="1440" w:bottom="0" w:gutter="0" w:footer="0" w:header="0"/>
        </w:sectPr>
      </w:pPr>
    </w:p>
    <w:bookmarkStart w:id="53" w:name="page54"/>
    <w:bookmarkEnd w:id="53"/>
    <w:p>
      <w:pPr>
        <w:spacing w:after="0" w:line="45" w:lineRule="exact"/>
        <w:rPr>
          <w:sz w:val="20"/>
          <w:szCs w:val="20"/>
          <w:color w:val="auto"/>
        </w:rPr>
      </w:pPr>
    </w:p>
    <w:p>
      <w:pPr>
        <w:ind w:right="3019"/>
        <w:spacing w:after="0" w:line="365" w:lineRule="auto"/>
        <w:rPr>
          <w:sz w:val="20"/>
          <w:szCs w:val="20"/>
          <w:color w:val="auto"/>
        </w:rPr>
      </w:pPr>
      <w:r>
        <w:rPr>
          <w:rFonts w:ascii="Courier New" w:cs="Courier New" w:eastAsia="Courier New" w:hAnsi="Courier New"/>
          <w:sz w:val="15"/>
          <w:szCs w:val="15"/>
          <w:color w:val="auto"/>
        </w:rPr>
        <w:t>ideas have been implemented, resulting in an aggregate cost savings of more than $2.6 million.</w:t>
      </w:r>
    </w:p>
    <w:p>
      <w:pPr>
        <w:spacing w:after="0" w:line="3" w:lineRule="exact"/>
        <w:rPr>
          <w:sz w:val="20"/>
          <w:szCs w:val="20"/>
          <w:color w:val="auto"/>
        </w:rPr>
      </w:pPr>
    </w:p>
    <w:p>
      <w:pPr>
        <w:ind w:right="3099" w:firstLine="451"/>
        <w:spacing w:after="0" w:line="285" w:lineRule="auto"/>
        <w:rPr>
          <w:sz w:val="20"/>
          <w:szCs w:val="20"/>
          <w:color w:val="auto"/>
        </w:rPr>
      </w:pPr>
      <w:r>
        <w:rPr>
          <w:rFonts w:ascii="Courier New" w:cs="Courier New" w:eastAsia="Courier New" w:hAnsi="Courier New"/>
          <w:sz w:val="15"/>
          <w:szCs w:val="15"/>
          <w:color w:val="auto"/>
        </w:rPr>
        <w:t>We're proud of the quality of work our employees produce and of their commitment to the Company. That quality and commitment has resulted in numerous honors and awards for Winnebago Industries and its employees. Please see page 7 for examples of our excellence in quality section.</w:t>
      </w:r>
    </w:p>
    <w:p>
      <w:pPr>
        <w:spacing w:after="0" w:line="23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2</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OUTLOOK</w:t>
      </w:r>
    </w:p>
    <w:p>
      <w:pPr>
        <w:spacing w:after="0" w:line="177" w:lineRule="exact"/>
        <w:rPr>
          <w:sz w:val="20"/>
          <w:szCs w:val="20"/>
          <w:color w:val="auto"/>
        </w:rPr>
      </w:pPr>
    </w:p>
    <w:p>
      <w:pPr>
        <w:ind w:right="3199" w:firstLine="451"/>
        <w:spacing w:after="0" w:line="262" w:lineRule="auto"/>
        <w:rPr>
          <w:sz w:val="20"/>
          <w:szCs w:val="20"/>
          <w:color w:val="auto"/>
        </w:rPr>
      </w:pPr>
      <w:r>
        <w:rPr>
          <w:rFonts w:ascii="Courier New" w:cs="Courier New" w:eastAsia="Courier New" w:hAnsi="Courier New"/>
          <w:sz w:val="15"/>
          <w:szCs w:val="15"/>
          <w:color w:val="auto"/>
        </w:rPr>
        <w:t>The long-term outlook for motor home sales continues to appear very favorable. The population of people ages 50 and older will grow dramatically during the next 20 years with the maturing of the "baby boom" market . Studies of this market segment have shown that they have more time and discretionary income to enjoy leisure travel and outdoor recreation than ever before. Winnebago Industries will continue to develop specific new products for this growing market while focusing on niche markets defined by consumers' special interests and hobbies.</w:t>
      </w:r>
    </w:p>
    <w:p>
      <w:pPr>
        <w:spacing w:after="0" w:line="76" w:lineRule="exact"/>
        <w:rPr>
          <w:sz w:val="20"/>
          <w:szCs w:val="20"/>
          <w:color w:val="auto"/>
        </w:rPr>
      </w:pPr>
    </w:p>
    <w:p>
      <w:pPr>
        <w:ind w:right="3099" w:firstLine="451"/>
        <w:spacing w:after="0" w:line="274" w:lineRule="auto"/>
        <w:rPr>
          <w:sz w:val="20"/>
          <w:szCs w:val="20"/>
          <w:color w:val="auto"/>
        </w:rPr>
      </w:pPr>
      <w:r>
        <w:rPr>
          <w:rFonts w:ascii="Courier New" w:cs="Courier New" w:eastAsia="Courier New" w:hAnsi="Courier New"/>
          <w:sz w:val="15"/>
          <w:szCs w:val="15"/>
          <w:color w:val="auto"/>
        </w:rPr>
        <w:t>Winnebago Industries long-term intent is to focus resources, financial and otherwise, on building three things: quality RVs, marketshare, and profitability. We believe our renewed focus on what we do best -- which is to build RVs -- will improve our financial performance to higher levels in the future.</w:t>
      </w:r>
    </w:p>
    <w:p>
      <w:pPr>
        <w:sectPr>
          <w:pgSz w:w="11900" w:h="16883" w:orient="portrait"/>
          <w:cols w:equalWidth="0" w:num="1">
            <w:col w:w="10219"/>
          </w:cols>
          <w:pgMar w:left="240" w:top="113" w:right="1440" w:bottom="0" w:gutter="0" w:footer="0" w:header="0"/>
        </w:sectPr>
      </w:pPr>
    </w:p>
    <w:p>
      <w:pPr>
        <w:spacing w:after="0" w:line="244" w:lineRule="exact"/>
        <w:rPr>
          <w:sz w:val="20"/>
          <w:szCs w:val="20"/>
          <w:color w:val="auto"/>
        </w:rPr>
      </w:pPr>
    </w:p>
    <w:p>
      <w:pPr>
        <w:ind w:right="720"/>
        <w:spacing w:after="0" w:line="276" w:lineRule="auto"/>
        <w:rPr>
          <w:sz w:val="20"/>
          <w:szCs w:val="20"/>
          <w:color w:val="auto"/>
        </w:rPr>
      </w:pPr>
      <w:r>
        <w:rPr>
          <w:rFonts w:ascii="Courier New" w:cs="Courier New" w:eastAsia="Courier New" w:hAnsi="Courier New"/>
          <w:sz w:val="14"/>
          <w:szCs w:val="14"/>
          <w:color w:val="auto"/>
        </w:rPr>
        <w:t>/s/ Fred G. Dohrmann Fred G. Dohrmann Chairman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11, 1996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Bruce D. Hertzke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D. Hertzke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Operating Officer</w:t>
      </w:r>
    </w:p>
    <w:p>
      <w:pPr>
        <w:spacing w:after="0" w:line="842" w:lineRule="exact"/>
        <w:rPr>
          <w:sz w:val="20"/>
          <w:szCs w:val="20"/>
          <w:color w:val="auto"/>
        </w:rPr>
      </w:pPr>
    </w:p>
    <w:p>
      <w:pPr>
        <w:sectPr>
          <w:pgSz w:w="11900" w:h="16883" w:orient="portrait"/>
          <w:cols w:equalWidth="0" w:num="2">
            <w:col w:w="2520" w:space="720"/>
            <w:col w:w="6979"/>
          </w:cols>
          <w:pgMar w:left="240" w:top="113" w:right="1440" w:bottom="0" w:gutter="0" w:footer="0" w:header="0"/>
          <w:type w:val="continuous"/>
        </w:sectPr>
      </w:pPr>
    </w:p>
    <w:p>
      <w:pPr>
        <w:ind w:right="3099"/>
        <w:spacing w:after="0" w:line="305" w:lineRule="auto"/>
        <w:rPr>
          <w:sz w:val="20"/>
          <w:szCs w:val="20"/>
          <w:color w:val="auto"/>
        </w:rPr>
      </w:pPr>
      <w:r>
        <w:rPr>
          <w:rFonts w:ascii="Courier New" w:cs="Courier New" w:eastAsia="Courier New" w:hAnsi="Courier New"/>
          <w:sz w:val="15"/>
          <w:szCs w:val="15"/>
          <w:color w:val="auto"/>
        </w:rPr>
        <w:t>A SPECTACULAR NEW 36WQ MODEL (SHOWN ABOVE) JOINS THE VECTRA GRAND TOUR LINEUP FOR 1997 AND IS AVAILABLE WITH OR WITHOUT A SLIDEOUT ROOM EXTENSION FEATURING A UNIQUE NEW SECTIONAL SOFA WITH RECLINER.</w:t>
      </w:r>
    </w:p>
    <w:p>
      <w:pPr>
        <w:spacing w:after="0" w:line="219"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3</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PRODUCTS</w:t>
      </w:r>
    </w:p>
    <w:p>
      <w:pPr>
        <w:spacing w:after="0" w:line="177" w:lineRule="exact"/>
        <w:rPr>
          <w:sz w:val="20"/>
          <w:szCs w:val="20"/>
          <w:color w:val="auto"/>
        </w:rPr>
      </w:pPr>
    </w:p>
    <w:p>
      <w:pPr>
        <w:ind w:right="3019" w:firstLine="451"/>
        <w:spacing w:after="0" w:line="259" w:lineRule="auto"/>
        <w:rPr>
          <w:sz w:val="20"/>
          <w:szCs w:val="20"/>
          <w:color w:val="auto"/>
        </w:rPr>
      </w:pPr>
      <w:r>
        <w:rPr>
          <w:rFonts w:ascii="Courier New" w:cs="Courier New" w:eastAsia="Courier New" w:hAnsi="Courier New"/>
          <w:sz w:val="15"/>
          <w:szCs w:val="15"/>
          <w:color w:val="auto"/>
        </w:rPr>
        <w:t>Winnebago Industries' top-of-the-line Luxor has been completely redesigned for 1997. Built as an alternative to the high-line coach market, the Luxor has a definite market price advantage. A front entry door, and splashy new exterior styling and graphics, provide the Luxor with the look and feel of a high-line bus at a more reasonable cost. The forward entry door incorporates a mechanical check system that is operable from either inside or outside the motor home. The interior entry step well is covered for front passenger seating by a sliding filler panel that is switch activated. The Luxor offers two convenient floorplans for 1997.</w:t>
      </w:r>
    </w:p>
    <w:p>
      <w:pPr>
        <w:spacing w:after="0" w:line="83" w:lineRule="exact"/>
        <w:rPr>
          <w:sz w:val="20"/>
          <w:szCs w:val="20"/>
          <w:color w:val="auto"/>
        </w:rPr>
      </w:pPr>
    </w:p>
    <w:p>
      <w:pPr>
        <w:ind w:right="3019" w:firstLine="451"/>
        <w:spacing w:after="0" w:line="268" w:lineRule="auto"/>
        <w:rPr>
          <w:sz w:val="20"/>
          <w:szCs w:val="20"/>
          <w:color w:val="auto"/>
        </w:rPr>
      </w:pPr>
      <w:r>
        <w:rPr>
          <w:rFonts w:ascii="Courier New" w:cs="Courier New" w:eastAsia="Courier New" w:hAnsi="Courier New"/>
          <w:sz w:val="15"/>
          <w:szCs w:val="15"/>
          <w:color w:val="auto"/>
        </w:rPr>
        <w:t>A host of other changes enhance the Luxor for 1997. Built on a Freightliner chassis, the Luxor utilizes a powerful 325 h.p. Cummins diesel engine for improved driving performance. The gross vehicle weight rating has been increased by 1,400 pounds to 27,410 pounds, while the gross combined weight rating improves by 2,410 pounds to 32,410 pounds for increased load carrying and towing capacity.</w:t>
      </w:r>
    </w:p>
    <w:p>
      <w:pPr>
        <w:spacing w:after="0" w:line="75" w:lineRule="exact"/>
        <w:rPr>
          <w:sz w:val="20"/>
          <w:szCs w:val="20"/>
          <w:color w:val="auto"/>
        </w:rPr>
      </w:pPr>
    </w:p>
    <w:p>
      <w:pPr>
        <w:ind w:right="3019" w:firstLine="451"/>
        <w:spacing w:after="0" w:line="268" w:lineRule="auto"/>
        <w:rPr>
          <w:sz w:val="20"/>
          <w:szCs w:val="20"/>
          <w:color w:val="auto"/>
        </w:rPr>
      </w:pPr>
      <w:r>
        <w:rPr>
          <w:rFonts w:ascii="Courier New" w:cs="Courier New" w:eastAsia="Courier New" w:hAnsi="Courier New"/>
          <w:sz w:val="15"/>
          <w:szCs w:val="15"/>
          <w:color w:val="auto"/>
        </w:rPr>
        <w:t>More than any one single driving force within the RV industry within the last few years, the slideout room expansion system has had the most impact. Winnebago Industries developed an excellent slideout system with HWH Corporation early on and was able to take full advantage of the growing popularity of that option. The Company is further taking advantage of this trend by expanding the 1997 models available with this popular option.</w:t>
      </w:r>
    </w:p>
    <w:p>
      <w:pPr>
        <w:spacing w:after="0" w:line="75" w:lineRule="exact"/>
        <w:rPr>
          <w:sz w:val="20"/>
          <w:szCs w:val="20"/>
          <w:color w:val="auto"/>
        </w:rPr>
      </w:pPr>
    </w:p>
    <w:p>
      <w:pPr>
        <w:ind w:right="3019" w:firstLine="451"/>
        <w:spacing w:after="0" w:line="278" w:lineRule="auto"/>
        <w:rPr>
          <w:sz w:val="20"/>
          <w:szCs w:val="20"/>
          <w:color w:val="auto"/>
        </w:rPr>
      </w:pPr>
      <w:r>
        <w:rPr>
          <w:rFonts w:ascii="Courier New" w:cs="Courier New" w:eastAsia="Courier New" w:hAnsi="Courier New"/>
          <w:sz w:val="14"/>
          <w:szCs w:val="14"/>
          <w:color w:val="auto"/>
        </w:rPr>
        <w:t>The wide-body Vectra Grand Tour is positioned as a step up from our popular conventional-width Vectra line, enlarging the width by an additional 5 1/2 inches. A new 36WQ model joins the 1997 Vectra Grand Tour lineup and is available with or without a slideout room extension featuring a unique sectional sofa with recliner. This model features a unique new booth-styled dinette with a table that adjusts positioning forward and backward for comfortable seating and dining. A deluxe home theater system will also be offered in the Vectra Grand Tour for 1997 to meet the needs and desires of today's audio - knowledgeable buyers. A new 35WQ diesel pusher model was also introduced in 1997 with a new 275 h.p. Caterpillar engine for increased performance.</w:t>
      </w:r>
    </w:p>
    <w:p>
      <w:pPr>
        <w:spacing w:after="0" w:line="70" w:lineRule="exact"/>
        <w:rPr>
          <w:sz w:val="20"/>
          <w:szCs w:val="20"/>
          <w:color w:val="auto"/>
        </w:rPr>
      </w:pPr>
    </w:p>
    <w:p>
      <w:pPr>
        <w:ind w:right="3019" w:firstLine="451"/>
        <w:spacing w:after="0" w:line="285" w:lineRule="auto"/>
        <w:rPr>
          <w:sz w:val="20"/>
          <w:szCs w:val="20"/>
          <w:color w:val="auto"/>
        </w:rPr>
      </w:pPr>
      <w:r>
        <w:rPr>
          <w:rFonts w:ascii="Courier New" w:cs="Courier New" w:eastAsia="Courier New" w:hAnsi="Courier New"/>
          <w:sz w:val="15"/>
          <w:szCs w:val="15"/>
          <w:color w:val="auto"/>
        </w:rPr>
        <w:t>A special Richard Petty signature edition Vectra Grand Tour is available with exterior race-inspired motif that appeals to members of the Winnebago Motorsports Team. Racing enthusiasts are an excellent niche market and Winnebago Industries products are the official motor homes of NASCAR.</w:t>
      </w:r>
    </w:p>
    <w:p>
      <w:pPr>
        <w:spacing w:after="0" w:line="60" w:lineRule="exact"/>
        <w:rPr>
          <w:sz w:val="20"/>
          <w:szCs w:val="20"/>
          <w:color w:val="auto"/>
        </w:rPr>
      </w:pPr>
    </w:p>
    <w:p>
      <w:pPr>
        <w:ind w:right="3019" w:firstLine="451"/>
        <w:spacing w:after="0" w:line="268" w:lineRule="auto"/>
        <w:rPr>
          <w:sz w:val="20"/>
          <w:szCs w:val="20"/>
          <w:color w:val="auto"/>
        </w:rPr>
      </w:pPr>
      <w:r>
        <w:rPr>
          <w:rFonts w:ascii="Courier New" w:cs="Courier New" w:eastAsia="Courier New" w:hAnsi="Courier New"/>
          <w:sz w:val="15"/>
          <w:szCs w:val="15"/>
          <w:color w:val="auto"/>
        </w:rPr>
        <w:t>The Vectra line includes two slideout models for 1997, including a diesel pusher, enhancing the interior livability of the motor home when parked. Spacious cabinets are available with a beautiful new maple or rich cherry finish. A roll-out pantry provides ample storage space within the kitchen of the Vectra slideout models and has been redesigned with a new locking slide system and adjustable shelving.</w:t>
      </w:r>
    </w:p>
    <w:p>
      <w:pPr>
        <w:sectPr>
          <w:pgSz w:w="11900" w:h="16883" w:orient="portrait"/>
          <w:cols w:equalWidth="0" w:num="1">
            <w:col w:w="10219"/>
          </w:cols>
          <w:pgMar w:left="240" w:top="113" w:right="1440" w:bottom="0" w:gutter="0" w:footer="0" w:header="0"/>
          <w:type w:val="continuous"/>
        </w:sectPr>
      </w:pPr>
    </w:p>
    <w:bookmarkStart w:id="54" w:name="page55"/>
    <w:bookmarkEnd w:id="54"/>
    <w:p>
      <w:pPr>
        <w:ind w:right="3099" w:firstLine="451"/>
        <w:spacing w:after="0" w:line="264" w:lineRule="auto"/>
        <w:rPr>
          <w:sz w:val="20"/>
          <w:szCs w:val="20"/>
          <w:color w:val="auto"/>
        </w:rPr>
      </w:pPr>
      <w:r>
        <w:rPr>
          <w:rFonts w:ascii="Courier New" w:cs="Courier New" w:eastAsia="Courier New" w:hAnsi="Courier New"/>
          <w:sz w:val="15"/>
          <w:szCs w:val="15"/>
          <w:color w:val="auto"/>
        </w:rPr>
        <w:t>Our most popular Class A models, the Winnebago Adventurer and Itasca Suncruiser series, feature conventional, slideout and wide-body models in each line for 1997. Both the Adventurer and Suncruiser are available in two new wide-body models, the 34WK "pusher" with a standard slideout room extension and the 35WQ, with optional slideout and panoramic side windows. The Suncruiser's wide-body lineup has expanded to include additional 30-, 32-, and 34-foot models.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31" w:lineRule="exact"/>
        <w:rPr>
          <w:sz w:val="20"/>
          <w:szCs w:val="20"/>
          <w:color w:val="auto"/>
        </w:rPr>
      </w:pPr>
    </w:p>
    <w:p>
      <w:pPr>
        <w:ind w:right="3099"/>
        <w:spacing w:after="0" w:line="271" w:lineRule="auto"/>
        <w:rPr>
          <w:sz w:val="20"/>
          <w:szCs w:val="20"/>
          <w:color w:val="auto"/>
        </w:rPr>
      </w:pPr>
      <w:r>
        <w:rPr>
          <w:rFonts w:ascii="Courier New" w:cs="Courier New" w:eastAsia="Courier New" w:hAnsi="Courier New"/>
          <w:sz w:val="15"/>
          <w:szCs w:val="15"/>
          <w:color w:val="auto"/>
        </w:rPr>
        <w:t>THE POPULARITY OF THE SLIDEOUT ROOM EXPANSION SYSTEM HAS LED WINNEBAGO INDUSTRIES TO INCLUDE THE OPTION ON 75 PERCENT OF THE 1997 CLASS A PRODUCT LINEUP. THE NEW WINNEBAGO ADVENTURER 35WQ WIDEBODY MODEL WITH SLIDEOUT IS SHOWN ABOVE.</w:t>
      </w:r>
    </w:p>
    <w:p>
      <w:pPr>
        <w:spacing w:after="0" w:line="71" w:lineRule="exact"/>
        <w:rPr>
          <w:sz w:val="20"/>
          <w:szCs w:val="20"/>
          <w:color w:val="auto"/>
        </w:rPr>
      </w:pPr>
    </w:p>
    <w:p>
      <w:pPr>
        <w:jc w:val="both"/>
        <w:ind w:right="3019" w:firstLine="451"/>
        <w:spacing w:after="0" w:line="264" w:lineRule="auto"/>
        <w:rPr>
          <w:sz w:val="20"/>
          <w:szCs w:val="20"/>
          <w:color w:val="auto"/>
        </w:rPr>
      </w:pPr>
      <w:r>
        <w:rPr>
          <w:rFonts w:ascii="Courier New" w:cs="Courier New" w:eastAsia="Courier New" w:hAnsi="Courier New"/>
          <w:sz w:val="15"/>
          <w:szCs w:val="15"/>
          <w:color w:val="auto"/>
        </w:rPr>
        <w:t>The Winnebago Brave also underwent extensive change for 1997 and now features a bus-style appearance and a bright white exterior. Most of the lower exterior compartment doors are fully-hinged panels with a single paddle latch and gas strut supports for easy access to storage. A brand new 33RQ model has been added to the model lineup and features an optional slideout room extension with sofa-bed for increased interior space within the motor home. This is the first time a slideout has been offered in this market segment.</w:t>
      </w:r>
    </w:p>
    <w:p>
      <w:pPr>
        <w:spacing w:after="0" w:line="25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4</w:t>
      </w:r>
    </w:p>
    <w:p>
      <w:pPr>
        <w:spacing w:after="0" w:line="350" w:lineRule="exact"/>
        <w:rPr>
          <w:sz w:val="20"/>
          <w:szCs w:val="20"/>
          <w:color w:val="auto"/>
        </w:rPr>
      </w:pPr>
    </w:p>
    <w:p>
      <w:pPr>
        <w:ind w:right="3019" w:firstLine="451"/>
        <w:spacing w:after="0" w:line="268" w:lineRule="auto"/>
        <w:rPr>
          <w:sz w:val="20"/>
          <w:szCs w:val="20"/>
          <w:color w:val="auto"/>
        </w:rPr>
      </w:pPr>
      <w:r>
        <w:rPr>
          <w:rFonts w:ascii="Courier New" w:cs="Courier New" w:eastAsia="Courier New" w:hAnsi="Courier New"/>
          <w:sz w:val="15"/>
          <w:szCs w:val="15"/>
          <w:color w:val="auto"/>
        </w:rPr>
        <w:t>The Itasca Sunrise has increased product offerings for 1997, including four new models, three of which are basement-styled units. The four new models include a 33RQ conventional unit with optional slideout and three new basement models for increased underfloor storage: the 28RQ, 30RQ and 32RQ. The Sunrise has a new contemporary appearance with a one-piece fiberglass front and integrated bumper.</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31" w:lineRule="exact"/>
        <w:rPr>
          <w:sz w:val="20"/>
          <w:szCs w:val="20"/>
          <w:color w:val="auto"/>
        </w:rPr>
      </w:pPr>
    </w:p>
    <w:p>
      <w:pPr>
        <w:jc w:val="both"/>
        <w:ind w:right="3019"/>
        <w:spacing w:after="0" w:line="271" w:lineRule="auto"/>
        <w:rPr>
          <w:sz w:val="20"/>
          <w:szCs w:val="20"/>
          <w:color w:val="auto"/>
        </w:rPr>
      </w:pPr>
      <w:r>
        <w:rPr>
          <w:rFonts w:ascii="Courier New" w:cs="Courier New" w:eastAsia="Courier New" w:hAnsi="Courier New"/>
          <w:sz w:val="15"/>
          <w:szCs w:val="15"/>
          <w:color w:val="auto"/>
        </w:rPr>
        <w:t>THE ITASCA SUNRISE EXPANDED ITS LINEUP FOR 1997 BY ADDING FOUR NEW MODELS, THREE OF WHICH ARE BASEMENT-STYLED FOR ADDED STORAGE CAPABILITIES. THE NEW 33RQ MODEL ALSO FEATURES AN AVAILABLE SLIDEOUT ROOM THAT ADDS APPROXIMATELY 63 CUBIC FEET OF ADDITIONAL INTERIOR SPACE TO LET THE FAMILY STRETCH OUT IN.</w:t>
      </w:r>
    </w:p>
    <w:p>
      <w:pPr>
        <w:spacing w:after="0" w:line="71" w:lineRule="exact"/>
        <w:rPr>
          <w:sz w:val="20"/>
          <w:szCs w:val="20"/>
          <w:color w:val="auto"/>
        </w:rPr>
      </w:pPr>
    </w:p>
    <w:p>
      <w:pPr>
        <w:ind w:right="3019" w:firstLine="451"/>
        <w:spacing w:after="0" w:line="291" w:lineRule="auto"/>
        <w:rPr>
          <w:sz w:val="20"/>
          <w:szCs w:val="20"/>
          <w:color w:val="auto"/>
        </w:rPr>
      </w:pPr>
      <w:r>
        <w:rPr>
          <w:rFonts w:ascii="Courier New" w:cs="Courier New" w:eastAsia="Courier New" w:hAnsi="Courier New"/>
          <w:sz w:val="14"/>
          <w:szCs w:val="14"/>
          <w:color w:val="auto"/>
        </w:rPr>
        <w:t>The Winnebago Warrior is positioned as an entry-level Class A motor home for first-time buyers that competes with used products. The Warrior now features a one-piece fiberglass roof for increased durability and water resistance. A new front end design provides a sleek exterior look with integrated front bumper and striking new graphics. With one conventional and two basement models available, the Warrior has a multitude of floor plan options available.</w:t>
      </w:r>
    </w:p>
    <w:p>
      <w:pPr>
        <w:spacing w:after="0" w:line="60"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5"/>
          <w:szCs w:val="15"/>
          <w:color w:val="auto"/>
        </w:rPr>
        <w:t>Winnebago Industries has experienced growth of 25 percent in Class C market share within the last year. This is due in part to the popularity of the Winnebago Minnie Winnie and Itasca Sundancer models. Building on this popularity, the Minnie Winnie and Sundancer have several new standard features for 1997. Built in 29- and 31-foot lengths on the Ford Super-Duty, 14,050 pound gross vehicle weight rated chassis, the Minnie Winnie and Sundancer are all widebody, basement models for 1997 with increased exterior storage capacity. These products are now also being manufactured with a new Ford V-10 engine.</w:t>
      </w:r>
    </w:p>
    <w:p>
      <w:pPr>
        <w:spacing w:after="0" w:line="76" w:lineRule="exact"/>
        <w:rPr>
          <w:sz w:val="20"/>
          <w:szCs w:val="20"/>
          <w:color w:val="auto"/>
        </w:rPr>
      </w:pPr>
    </w:p>
    <w:p>
      <w:pPr>
        <w:ind w:right="3199" w:firstLine="451"/>
        <w:spacing w:after="0" w:line="285" w:lineRule="auto"/>
        <w:rPr>
          <w:sz w:val="20"/>
          <w:szCs w:val="20"/>
          <w:color w:val="auto"/>
        </w:rPr>
      </w:pPr>
      <w:r>
        <w:rPr>
          <w:rFonts w:ascii="Courier New" w:cs="Courier New" w:eastAsia="Courier New" w:hAnsi="Courier New"/>
          <w:sz w:val="15"/>
          <w:szCs w:val="15"/>
          <w:color w:val="auto"/>
        </w:rPr>
        <w:t>The Winnebago Minnie and Itasca Spirit model lineups have also expanded, now offering six affordable models ranging from 21 to 31 feet in length. These value-driven units are built to high quality standards on both Ford and Chevrolet chassis.</w:t>
      </w:r>
    </w:p>
    <w:p>
      <w:pPr>
        <w:spacing w:after="0" w:line="60" w:lineRule="exact"/>
        <w:rPr>
          <w:sz w:val="20"/>
          <w:szCs w:val="20"/>
          <w:color w:val="auto"/>
        </w:rPr>
      </w:pPr>
    </w:p>
    <w:p>
      <w:pPr>
        <w:ind w:right="3279" w:firstLine="451"/>
        <w:spacing w:after="0" w:line="262" w:lineRule="auto"/>
        <w:rPr>
          <w:sz w:val="20"/>
          <w:szCs w:val="20"/>
          <w:color w:val="auto"/>
        </w:rPr>
      </w:pPr>
      <w:r>
        <w:rPr>
          <w:rFonts w:ascii="Courier New" w:cs="Courier New" w:eastAsia="Courier New" w:hAnsi="Courier New"/>
          <w:sz w:val="15"/>
          <w:szCs w:val="15"/>
          <w:color w:val="auto"/>
        </w:rPr>
        <w:t>In a class by itself, the fun and sporty Rialta features a brand new Volkswagen chassis for 1997. Introduced only to dealers at this time, the new Rialta has a VR6, 2.8L engine for greater pulling power, quicker acceleration and quieter operation. The new Rialta will also provide VW-installed dual air bags for improved driver and front passenger safety. Ten extra inches in the rear of the Rialta allow Winnebago Industries engineers to increase sleeping space, while improving exterior storage by more than 350 percent and interior storage by more than 10 percent.</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31" w:lineRule="exact"/>
        <w:rPr>
          <w:sz w:val="20"/>
          <w:szCs w:val="20"/>
          <w:color w:val="auto"/>
        </w:rPr>
      </w:pPr>
    </w:p>
    <w:p>
      <w:pPr>
        <w:jc w:val="both"/>
        <w:ind w:right="3019"/>
        <w:spacing w:after="0" w:line="271" w:lineRule="auto"/>
        <w:rPr>
          <w:sz w:val="20"/>
          <w:szCs w:val="20"/>
          <w:color w:val="auto"/>
        </w:rPr>
      </w:pPr>
      <w:r>
        <w:rPr>
          <w:rFonts w:ascii="Courier New" w:cs="Courier New" w:eastAsia="Courier New" w:hAnsi="Courier New"/>
          <w:sz w:val="15"/>
          <w:szCs w:val="15"/>
          <w:color w:val="auto"/>
        </w:rPr>
        <w:t>THE WINNEBAGO MINNIE IS A PROVEN VALUE LEADER IN THE CLASS C MARKET. THE COMPACT 21RB MODEL SHOWN ABOVE IS A VERSATILE MOTOR HOME THAT WORKS GREAT FOR FAMILY VACATIONS OR FOR A SOLO TRIP. SLEEPING SPACE IS PLENTIFUL WITH A CONVERTIBLE DINETTE, A COUCH/BED AND IN THE OVERHEAD CAB.</w:t>
      </w:r>
    </w:p>
    <w:p>
      <w:pPr>
        <w:spacing w:after="0" w:line="24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5</w:t>
      </w:r>
    </w:p>
    <w:p>
      <w:pPr>
        <w:spacing w:after="0" w:line="350" w:lineRule="exact"/>
        <w:rPr>
          <w:sz w:val="20"/>
          <w:szCs w:val="20"/>
          <w:color w:val="auto"/>
        </w:rPr>
      </w:pPr>
    </w:p>
    <w:p>
      <w:pPr>
        <w:ind w:right="3379" w:firstLine="451"/>
        <w:spacing w:after="0" w:line="305" w:lineRule="auto"/>
        <w:rPr>
          <w:sz w:val="20"/>
          <w:szCs w:val="20"/>
          <w:color w:val="auto"/>
        </w:rPr>
      </w:pPr>
      <w:r>
        <w:rPr>
          <w:rFonts w:ascii="Courier New" w:cs="Courier New" w:eastAsia="Courier New" w:hAnsi="Courier New"/>
          <w:sz w:val="15"/>
          <w:szCs w:val="15"/>
          <w:color w:val="auto"/>
        </w:rPr>
        <w:t>Originally designed and positioned to younger first-time buyers as convenient, multi-purpose vehicles, the Rialta has found an excellent market with seasoned motor home veterans who are scaling back in size.</w:t>
      </w:r>
    </w:p>
    <w:p>
      <w:pPr>
        <w:spacing w:after="0" w:line="46" w:lineRule="exact"/>
        <w:rPr>
          <w:sz w:val="20"/>
          <w:szCs w:val="20"/>
          <w:color w:val="auto"/>
        </w:rPr>
      </w:pPr>
    </w:p>
    <w:p>
      <w:pPr>
        <w:ind w:right="3019" w:firstLine="451"/>
        <w:spacing w:after="0" w:line="268" w:lineRule="auto"/>
        <w:rPr>
          <w:sz w:val="20"/>
          <w:szCs w:val="20"/>
          <w:color w:val="auto"/>
        </w:rPr>
      </w:pPr>
      <w:r>
        <w:rPr>
          <w:rFonts w:ascii="Courier New" w:cs="Courier New" w:eastAsia="Courier New" w:hAnsi="Courier New"/>
          <w:sz w:val="15"/>
          <w:szCs w:val="15"/>
          <w:color w:val="auto"/>
        </w:rPr>
        <w:t>The EuroVan Camper project has been very successful. Winnebago Industries builds the camping conversion for the Class B EuroVan Camper which is sold through select Volkswagen dealers in the U.S. and Canada. Similar to the Rialta, the 1997 EuroVan Camper also received a new look, vehicle enhancements and improved performance as a result of the new VW VR6 chassis. Introduced in September, initial response to this 1997 product has been excellent.</w:t>
      </w:r>
    </w:p>
    <w:p>
      <w:pPr>
        <w:spacing w:after="0" w:line="200" w:lineRule="exact"/>
        <w:rPr>
          <w:sz w:val="20"/>
          <w:szCs w:val="20"/>
          <w:color w:val="auto"/>
        </w:rPr>
      </w:pPr>
    </w:p>
    <w:p>
      <w:pPr>
        <w:spacing w:after="0" w:line="222"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5"/>
          <w:szCs w:val="15"/>
          <w:color w:val="auto"/>
        </w:rPr>
        <w:t>WINNEBAGO INDUSTRIES</w:t>
      </w:r>
    </w:p>
    <w:p>
      <w:pPr>
        <w:spacing w:after="0" w:line="31"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5"/>
          <w:szCs w:val="15"/>
          <w:color w:val="auto"/>
        </w:rPr>
        <w:t>MOTOR HOME FAMILY TREE</w:t>
      </w:r>
    </w:p>
    <w:p>
      <w:pPr>
        <w:sectPr>
          <w:pgSz w:w="11900" w:h="16838" w:orient="portrait"/>
          <w:cols w:equalWidth="0" w:num="1">
            <w:col w:w="10219"/>
          </w:cols>
          <w:pgMar w:left="240" w:top="287" w:right="1440" w:bottom="0" w:gutter="0" w:footer="0" w:header="0"/>
        </w:sectPr>
      </w:pPr>
    </w:p>
    <w:bookmarkStart w:id="55" w:name="page56"/>
    <w:bookmarkEnd w:id="55"/>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40" w:type="dxa"/>
            <w:vAlign w:val="bottom"/>
            <w:vMerge w:val="restart"/>
          </w:tcPr>
          <w:p>
            <w:pPr>
              <w:spacing w:after="0"/>
              <w:rPr>
                <w:sz w:val="20"/>
                <w:szCs w:val="20"/>
                <w:color w:val="auto"/>
              </w:rPr>
            </w:pPr>
            <w:r>
              <w:rPr>
                <w:rFonts w:ascii="Courier New" w:cs="Courier New" w:eastAsia="Courier New" w:hAnsi="Courier New"/>
                <w:sz w:val="14"/>
                <w:szCs w:val="14"/>
                <w:color w:val="auto"/>
                <w:w w:val="70"/>
              </w:rPr>
              <w:t>- -------------------------</w:t>
            </w:r>
            <w:r>
              <w:rPr>
                <w:rFonts w:ascii="Courier New" w:cs="Courier New" w:eastAsia="Courier New" w:hAnsi="Courier New"/>
                <w:sz w:val="28"/>
                <w:szCs w:val="28"/>
                <w:color w:val="auto"/>
                <w:w w:val="70"/>
                <w:vertAlign w:val="subscript"/>
              </w:rPr>
              <w:t>WINNEBAGO</w:t>
            </w:r>
          </w:p>
        </w:tc>
        <w:tc>
          <w:tcPr>
            <w:tcW w:w="44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w w:val="88"/>
              </w:rPr>
              <w:t>--</w:t>
            </w:r>
          </w:p>
        </w:tc>
        <w:tc>
          <w:tcPr>
            <w:tcW w:w="24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23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680" w:type="dxa"/>
            <w:vAlign w:val="bottom"/>
          </w:tcPr>
          <w:p>
            <w:pPr>
              <w:ind w:left="640"/>
              <w:spacing w:after="0"/>
              <w:rPr>
                <w:sz w:val="20"/>
                <w:szCs w:val="20"/>
                <w:color w:val="auto"/>
              </w:rPr>
            </w:pPr>
            <w:r>
              <w:rPr>
                <w:rFonts w:ascii="Courier New" w:cs="Courier New" w:eastAsia="Courier New" w:hAnsi="Courier New"/>
                <w:sz w:val="15"/>
                <w:szCs w:val="15"/>
                <w:color w:val="auto"/>
              </w:rPr>
              <w:t>ITASCA</w:t>
            </w: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460"/>
              <w:spacing w:after="0"/>
              <w:rPr>
                <w:sz w:val="20"/>
                <w:szCs w:val="20"/>
                <w:color w:val="auto"/>
              </w:rPr>
            </w:pPr>
            <w:r>
              <w:rPr>
                <w:rFonts w:ascii="Courier New" w:cs="Courier New" w:eastAsia="Courier New" w:hAnsi="Courier New"/>
                <w:sz w:val="15"/>
                <w:szCs w:val="15"/>
                <w:color w:val="auto"/>
              </w:rPr>
              <w:t>RIALTA</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5"/>
        </w:trPr>
        <w:tc>
          <w:tcPr>
            <w:tcW w:w="27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4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2340" w:type="dxa"/>
            <w:vAlign w:val="bottom"/>
          </w:tcPr>
          <w:p>
            <w:pPr>
              <w:spacing w:after="0"/>
              <w:rPr>
                <w:sz w:val="20"/>
                <w:szCs w:val="20"/>
                <w:color w:val="auto"/>
              </w:rPr>
            </w:pPr>
            <w:r>
              <w:rPr>
                <w:rFonts w:ascii="Courier New" w:cs="Courier New" w:eastAsia="Courier New" w:hAnsi="Courier New"/>
                <w:sz w:val="15"/>
                <w:szCs w:val="15"/>
                <w:color w:val="auto"/>
              </w:rPr>
              <w:t>- - Minnie</w:t>
            </w:r>
          </w:p>
        </w:tc>
        <w:tc>
          <w:tcPr>
            <w:tcW w:w="440" w:type="dxa"/>
            <w:vAlign w:val="bottom"/>
          </w:tcPr>
          <w:p>
            <w:pPr>
              <w:spacing w:after="0"/>
              <w:rPr>
                <w:sz w:val="23"/>
                <w:szCs w:val="23"/>
                <w:color w:val="auto"/>
              </w:rPr>
            </w:pPr>
          </w:p>
        </w:tc>
        <w:tc>
          <w:tcPr>
            <w:tcW w:w="1680" w:type="dxa"/>
            <w:vAlign w:val="bottom"/>
          </w:tcPr>
          <w:p>
            <w:pPr>
              <w:ind w:left="280"/>
              <w:spacing w:after="0"/>
              <w:rPr>
                <w:sz w:val="20"/>
                <w:szCs w:val="20"/>
                <w:color w:val="auto"/>
              </w:rPr>
            </w:pPr>
            <w:r>
              <w:rPr>
                <w:rFonts w:ascii="Courier New" w:cs="Courier New" w:eastAsia="Courier New" w:hAnsi="Courier New"/>
                <w:sz w:val="15"/>
                <w:szCs w:val="15"/>
                <w:color w:val="auto"/>
              </w:rPr>
              <w:t>- Spirit</w:t>
            </w:r>
          </w:p>
        </w:tc>
        <w:tc>
          <w:tcPr>
            <w:tcW w:w="7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 - Minnie Winnie</w:t>
            </w:r>
          </w:p>
        </w:tc>
        <w:tc>
          <w:tcPr>
            <w:tcW w:w="440" w:type="dxa"/>
            <w:vAlign w:val="bottom"/>
          </w:tcPr>
          <w:p>
            <w:pPr>
              <w:spacing w:after="0"/>
              <w:rPr>
                <w:sz w:val="15"/>
                <w:szCs w:val="15"/>
                <w:color w:val="auto"/>
              </w:rPr>
            </w:pPr>
          </w:p>
        </w:tc>
        <w:tc>
          <w:tcPr>
            <w:tcW w:w="1680" w:type="dxa"/>
            <w:vAlign w:val="bottom"/>
          </w:tcPr>
          <w:p>
            <w:pPr>
              <w:ind w:left="280"/>
              <w:spacing w:after="0"/>
              <w:rPr>
                <w:sz w:val="20"/>
                <w:szCs w:val="20"/>
                <w:color w:val="auto"/>
              </w:rPr>
            </w:pPr>
            <w:r>
              <w:rPr>
                <w:rFonts w:ascii="Courier New" w:cs="Courier New" w:eastAsia="Courier New" w:hAnsi="Courier New"/>
                <w:sz w:val="15"/>
                <w:szCs w:val="15"/>
                <w:color w:val="auto"/>
              </w:rPr>
              <w:t>- Sundancer</w:t>
            </w:r>
          </w:p>
        </w:tc>
        <w:tc>
          <w:tcPr>
            <w:tcW w:w="7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 - Warrior</w:t>
            </w:r>
          </w:p>
        </w:tc>
        <w:tc>
          <w:tcPr>
            <w:tcW w:w="440" w:type="dxa"/>
            <w:vAlign w:val="bottom"/>
          </w:tcPr>
          <w:p>
            <w:pPr>
              <w:spacing w:after="0"/>
              <w:rPr>
                <w:sz w:val="15"/>
                <w:szCs w:val="15"/>
                <w:color w:val="auto"/>
              </w:rPr>
            </w:pPr>
          </w:p>
        </w:tc>
        <w:tc>
          <w:tcPr>
            <w:tcW w:w="1680" w:type="dxa"/>
            <w:vAlign w:val="bottom"/>
          </w:tcPr>
          <w:p>
            <w:pPr>
              <w:ind w:left="280"/>
              <w:spacing w:after="0"/>
              <w:rPr>
                <w:sz w:val="20"/>
                <w:szCs w:val="20"/>
                <w:color w:val="auto"/>
              </w:rPr>
            </w:pPr>
            <w:r>
              <w:rPr>
                <w:rFonts w:ascii="Courier New" w:cs="Courier New" w:eastAsia="Courier New" w:hAnsi="Courier New"/>
                <w:sz w:val="15"/>
                <w:szCs w:val="15"/>
                <w:color w:val="auto"/>
              </w:rPr>
              <w:t>- Sunrise</w:t>
            </w:r>
          </w:p>
        </w:tc>
        <w:tc>
          <w:tcPr>
            <w:tcW w:w="7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 - Brave</w:t>
            </w:r>
          </w:p>
        </w:tc>
        <w:tc>
          <w:tcPr>
            <w:tcW w:w="440" w:type="dxa"/>
            <w:vAlign w:val="bottom"/>
          </w:tcPr>
          <w:p>
            <w:pPr>
              <w:spacing w:after="0"/>
              <w:rPr>
                <w:sz w:val="15"/>
                <w:szCs w:val="15"/>
                <w:color w:val="auto"/>
              </w:rPr>
            </w:pPr>
          </w:p>
        </w:tc>
        <w:tc>
          <w:tcPr>
            <w:tcW w:w="1680" w:type="dxa"/>
            <w:vAlign w:val="bottom"/>
          </w:tcPr>
          <w:p>
            <w:pPr>
              <w:ind w:left="280"/>
              <w:spacing w:after="0"/>
              <w:rPr>
                <w:sz w:val="20"/>
                <w:szCs w:val="20"/>
                <w:color w:val="auto"/>
              </w:rPr>
            </w:pPr>
            <w:r>
              <w:rPr>
                <w:rFonts w:ascii="Courier New" w:cs="Courier New" w:eastAsia="Courier New" w:hAnsi="Courier New"/>
                <w:sz w:val="15"/>
                <w:szCs w:val="15"/>
                <w:color w:val="auto"/>
              </w:rPr>
              <w:t>- Suncruiser</w:t>
            </w:r>
          </w:p>
        </w:tc>
        <w:tc>
          <w:tcPr>
            <w:tcW w:w="7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340" w:type="dxa"/>
            <w:vAlign w:val="bottom"/>
          </w:tcPr>
          <w:p>
            <w:pPr>
              <w:spacing w:after="0"/>
              <w:rPr>
                <w:sz w:val="20"/>
                <w:szCs w:val="20"/>
                <w:color w:val="auto"/>
              </w:rPr>
            </w:pPr>
            <w:r>
              <w:rPr>
                <w:rFonts w:ascii="Courier New" w:cs="Courier New" w:eastAsia="Courier New" w:hAnsi="Courier New"/>
                <w:sz w:val="15"/>
                <w:szCs w:val="15"/>
                <w:color w:val="auto"/>
              </w:rPr>
              <w:t>- - Adventurer</w:t>
            </w:r>
          </w:p>
        </w:tc>
        <w:tc>
          <w:tcPr>
            <w:tcW w:w="4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w:t>
      </w:r>
    </w:p>
    <w:p>
      <w:pPr>
        <w:spacing w:after="0" w:line="177" w:lineRule="exact"/>
        <w:rPr>
          <w:sz w:val="20"/>
          <w:szCs w:val="20"/>
          <w:color w:val="auto"/>
        </w:rPr>
      </w:pPr>
    </w:p>
    <w:p>
      <w:pPr>
        <w:ind w:firstLine="451"/>
        <w:spacing w:after="0" w:line="274" w:lineRule="auto"/>
        <w:rPr>
          <w:sz w:val="20"/>
          <w:szCs w:val="20"/>
          <w:color w:val="auto"/>
        </w:rPr>
      </w:pPr>
      <w:r>
        <w:rPr>
          <w:rFonts w:ascii="Courier New" w:cs="Courier New" w:eastAsia="Courier New" w:hAnsi="Courier New"/>
          <w:sz w:val="15"/>
          <w:szCs w:val="15"/>
          <w:color w:val="auto"/>
        </w:rPr>
        <w:t>Winnebago Industries continues to expand internationally. The Winnebago Industries Europe GmbH (WIE) subsidiary experienced another year of growth, with an increase of 68 percent in the number of wholesale sales during fiscal 1996. WIE received approval to register motor homes in France during fiscal 1996 and is currently the only U.S. manufacturer to have that authority.</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31" w:lineRule="exact"/>
        <w:rPr>
          <w:sz w:val="20"/>
          <w:szCs w:val="20"/>
          <w:color w:val="auto"/>
        </w:rPr>
      </w:pPr>
    </w:p>
    <w:p>
      <w:pPr>
        <w:jc w:val="both"/>
        <w:spacing w:after="0" w:line="261" w:lineRule="auto"/>
        <w:rPr>
          <w:sz w:val="20"/>
          <w:szCs w:val="20"/>
          <w:color w:val="auto"/>
        </w:rPr>
      </w:pPr>
      <w:r>
        <w:rPr>
          <w:rFonts w:ascii="Courier New" w:cs="Courier New" w:eastAsia="Courier New" w:hAnsi="Courier New"/>
          <w:sz w:val="15"/>
          <w:szCs w:val="15"/>
          <w:color w:val="auto"/>
        </w:rPr>
        <w:t>ITS GREAT LOOKS, COMPACT SIZE AND VERSATILITY HAVE HELPED TO MAKE THE RIALTA THE BEST SELLING MOTOR HOME IN JAPAN. THIS PHOTO WAS RECENTLY PRINTED IN THE NIKKEI SHINBUN NEWSPAPER AS PART OF WINNEBAGO INDUSTRIES' JAPANESE DISTRIBUTOR MITSUBISHI CORPORATION'S NATIONWIDE ADVERTISING CAMPAIGN FOR THE COMPANY'S MOTOR HOMES. MANY OF MITSUBISHI'S CUSTOMERS ARE OWNERS OF SMALL TO MEDIUM SIZED BUSINESSES.</w:t>
      </w:r>
    </w:p>
    <w:p>
      <w:pPr>
        <w:spacing w:after="0" w:line="77" w:lineRule="exact"/>
        <w:rPr>
          <w:sz w:val="20"/>
          <w:szCs w:val="20"/>
          <w:color w:val="auto"/>
        </w:rPr>
      </w:pPr>
    </w:p>
    <w:p>
      <w:pPr>
        <w:ind w:right="80" w:firstLine="451"/>
        <w:spacing w:after="0" w:line="268" w:lineRule="auto"/>
        <w:rPr>
          <w:sz w:val="20"/>
          <w:szCs w:val="20"/>
          <w:color w:val="auto"/>
        </w:rPr>
      </w:pPr>
      <w:r>
        <w:rPr>
          <w:rFonts w:ascii="Courier New" w:cs="Courier New" w:eastAsia="Courier New" w:hAnsi="Courier New"/>
          <w:sz w:val="15"/>
          <w:szCs w:val="15"/>
          <w:color w:val="auto"/>
        </w:rPr>
        <w:t>Japanese retail motor home sales experienced a rebound during fiscal 1996 when compared to fiscal 1995. Sales of the fuel-efficient, front-wheel-drive Rialta were particularly strong. Three new retail showrooms displaying the entire international product line have opened now in Japan. With retail sales rebounding and inventory levels low, the Japanese market should see substantial growth during fiscal 1997.</w:t>
      </w:r>
    </w:p>
    <w:p>
      <w:pPr>
        <w:spacing w:after="0" w:line="75" w:lineRule="exact"/>
        <w:rPr>
          <w:sz w:val="20"/>
          <w:szCs w:val="20"/>
          <w:color w:val="auto"/>
        </w:rPr>
      </w:pPr>
    </w:p>
    <w:p>
      <w:pPr>
        <w:ind w:firstLine="451"/>
        <w:spacing w:after="0" w:line="365" w:lineRule="auto"/>
        <w:rPr>
          <w:sz w:val="20"/>
          <w:szCs w:val="20"/>
          <w:color w:val="auto"/>
        </w:rPr>
      </w:pPr>
      <w:r>
        <w:rPr>
          <w:rFonts w:ascii="Courier New" w:cs="Courier New" w:eastAsia="Courier New" w:hAnsi="Courier New"/>
          <w:sz w:val="15"/>
          <w:szCs w:val="15"/>
          <w:color w:val="auto"/>
        </w:rPr>
        <w:t>In fiscal 1996, the Company also signed an agreement with Selbo Corporation to distribute motor homes in Seoul, Korea.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w:t>
      </w:r>
    </w:p>
    <w:p>
      <w:pPr>
        <w:spacing w:after="0" w:line="177" w:lineRule="exact"/>
        <w:rPr>
          <w:sz w:val="20"/>
          <w:szCs w:val="20"/>
          <w:color w:val="auto"/>
        </w:rPr>
      </w:pPr>
    </w:p>
    <w:p>
      <w:pPr>
        <w:jc w:val="both"/>
        <w:ind w:right="80" w:firstLine="451"/>
        <w:spacing w:after="0" w:line="305" w:lineRule="auto"/>
        <w:rPr>
          <w:sz w:val="20"/>
          <w:szCs w:val="20"/>
          <w:color w:val="auto"/>
        </w:rPr>
      </w:pPr>
      <w:r>
        <w:rPr>
          <w:rFonts w:ascii="Courier New" w:cs="Courier New" w:eastAsia="Courier New" w:hAnsi="Courier New"/>
          <w:sz w:val="15"/>
          <w:szCs w:val="15"/>
          <w:color w:val="auto"/>
        </w:rPr>
        <w:t>Winnebago Industries has the most comprehensive service programs in the RV industry, providing the Company with an important market advantage when selling our motor homes.</w:t>
      </w:r>
    </w:p>
    <w:p>
      <w:pPr>
        <w:spacing w:after="0" w:line="46" w:lineRule="exact"/>
        <w:rPr>
          <w:sz w:val="20"/>
          <w:szCs w:val="20"/>
          <w:color w:val="auto"/>
        </w:rPr>
      </w:pPr>
    </w:p>
    <w:p>
      <w:pPr>
        <w:ind w:firstLine="451"/>
        <w:spacing w:after="0" w:line="276" w:lineRule="auto"/>
        <w:rPr>
          <w:sz w:val="20"/>
          <w:szCs w:val="20"/>
          <w:color w:val="auto"/>
        </w:rPr>
      </w:pPr>
      <w:r>
        <w:rPr>
          <w:rFonts w:ascii="Courier New" w:cs="Courier New" w:eastAsia="Courier New" w:hAnsi="Courier New"/>
          <w:sz w:val="14"/>
          <w:szCs w:val="14"/>
          <w:color w:val="auto"/>
        </w:rPr>
        <w:t>With the purchase of any new Winnebago, Itasca, Vectra or Luxor motor home, Winnebago Industries offers a comprehensive 12-month, 15,000-mile warranty, a 3-year, 36,000-mile sidewall warranty, a 10-year fiberglass roof warranty and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3-year, 36,000-mile warranty on slideout room assemblies. The Rialta has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2-year, 24,000 mile warranty.</w:t>
      </w:r>
    </w:p>
    <w:p>
      <w:pPr>
        <w:spacing w:after="0" w:line="32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PAGE 6</w:t>
      </w:r>
    </w:p>
    <w:p>
      <w:pPr>
        <w:spacing w:after="0" w:line="350" w:lineRule="exact"/>
        <w:rPr>
          <w:sz w:val="20"/>
          <w:szCs w:val="20"/>
          <w:color w:val="auto"/>
        </w:rPr>
      </w:pPr>
    </w:p>
    <w:p>
      <w:pPr>
        <w:ind w:firstLine="451"/>
        <w:spacing w:after="0" w:line="274" w:lineRule="auto"/>
        <w:rPr>
          <w:sz w:val="20"/>
          <w:szCs w:val="20"/>
          <w:color w:val="auto"/>
        </w:rPr>
      </w:pPr>
      <w:r>
        <w:rPr>
          <w:rFonts w:ascii="Courier New" w:cs="Courier New" w:eastAsia="Courier New" w:hAnsi="Courier New"/>
          <w:sz w:val="15"/>
          <w:szCs w:val="15"/>
          <w:color w:val="auto"/>
        </w:rPr>
        <w:t>An Owner Assistance Hotline offers support to the retail customer. Experienced service advisors with an average of more than 12 years experience with the Company respond to inquiries from prospective customers, answer questions pertaining to Winnebago Industries produced vehicles and work with the owner and dealership personnel to expedite repairs.</w:t>
      </w:r>
    </w:p>
    <w:p>
      <w:pPr>
        <w:spacing w:after="0" w:line="70" w:lineRule="exact"/>
        <w:rPr>
          <w:sz w:val="20"/>
          <w:szCs w:val="20"/>
          <w:color w:val="auto"/>
        </w:rPr>
      </w:pPr>
    </w:p>
    <w:p>
      <w:pPr>
        <w:ind w:firstLine="451"/>
        <w:spacing w:after="0" w:line="298" w:lineRule="auto"/>
        <w:rPr>
          <w:sz w:val="20"/>
          <w:szCs w:val="20"/>
          <w:color w:val="auto"/>
        </w:rPr>
      </w:pPr>
      <w:r>
        <w:rPr>
          <w:rFonts w:ascii="Courier New" w:cs="Courier New" w:eastAsia="Courier New" w:hAnsi="Courier New"/>
          <w:sz w:val="14"/>
          <w:szCs w:val="14"/>
          <w:color w:val="auto"/>
        </w:rPr>
        <w:t>Every new Winnebago Industries motor home owner also automatically receives a free one-year membership in the Company's Preferred Care Program, which provides 24-hour customer assistance and emergency road service throughout the United States and Canada. Preferred Care has been upgraded on new 1997 vehicles to include even more features, such as free tire change and lock out assistance.</w:t>
      </w:r>
    </w:p>
    <w:p>
      <w:pPr>
        <w:spacing w:after="0" w:line="56" w:lineRule="exact"/>
        <w:rPr>
          <w:sz w:val="20"/>
          <w:szCs w:val="20"/>
          <w:color w:val="auto"/>
        </w:rPr>
      </w:pPr>
    </w:p>
    <w:p>
      <w:pPr>
        <w:ind w:firstLine="451"/>
        <w:spacing w:after="0" w:line="285" w:lineRule="auto"/>
        <w:rPr>
          <w:sz w:val="20"/>
          <w:szCs w:val="20"/>
          <w:color w:val="auto"/>
        </w:rPr>
      </w:pPr>
      <w:r>
        <w:rPr>
          <w:rFonts w:ascii="Courier New" w:cs="Courier New" w:eastAsia="Courier New" w:hAnsi="Courier New"/>
          <w:sz w:val="15"/>
          <w:szCs w:val="15"/>
          <w:color w:val="auto"/>
        </w:rPr>
        <w:t>Winnebago Industries dealers have many other market advantages such as access to a computerized network for warranty claims and parts ordering, the most extensive service literature in the RV industry, hands-on sales and service training, microfiche parts catalog and parts shipping advantages.</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EXCELLENCE IN QUALITY</w:t>
      </w:r>
    </w:p>
    <w:p>
      <w:pPr>
        <w:spacing w:after="0" w:line="177" w:lineRule="exact"/>
        <w:rPr>
          <w:sz w:val="20"/>
          <w:szCs w:val="20"/>
          <w:color w:val="auto"/>
        </w:rPr>
      </w:pPr>
    </w:p>
    <w:p>
      <w:pPr>
        <w:ind w:firstLine="451"/>
        <w:spacing w:after="0" w:line="274" w:lineRule="auto"/>
        <w:rPr>
          <w:sz w:val="20"/>
          <w:szCs w:val="20"/>
          <w:color w:val="auto"/>
        </w:rPr>
      </w:pPr>
      <w:r>
        <w:rPr>
          <w:rFonts w:ascii="Courier New" w:cs="Courier New" w:eastAsia="Courier New" w:hAnsi="Courier New"/>
          <w:sz w:val="15"/>
          <w:szCs w:val="15"/>
          <w:color w:val="auto"/>
        </w:rPr>
        <w:t>The largest cost saving award in the history of the program ($8,335) was presented to an hourly employee this year. This cost savings program helps the Company control costs to ensure strong financial performance and long-term growth. It also means striving to build high quality products that represent the greatest value for the dollar to our customers.</w:t>
      </w:r>
    </w:p>
    <w:p>
      <w:pPr>
        <w:spacing w:after="0" w:line="70" w:lineRule="exact"/>
        <w:rPr>
          <w:sz w:val="20"/>
          <w:szCs w:val="20"/>
          <w:color w:val="auto"/>
        </w:rPr>
      </w:pPr>
    </w:p>
    <w:p>
      <w:pPr>
        <w:ind w:firstLine="451"/>
        <w:spacing w:after="0" w:line="276" w:lineRule="auto"/>
        <w:rPr>
          <w:sz w:val="20"/>
          <w:szCs w:val="20"/>
          <w:color w:val="auto"/>
        </w:rPr>
      </w:pPr>
      <w:r>
        <w:rPr>
          <w:rFonts w:ascii="Courier New" w:cs="Courier New" w:eastAsia="Courier New" w:hAnsi="Courier New"/>
          <w:sz w:val="14"/>
          <w:szCs w:val="14"/>
          <w:color w:val="auto"/>
        </w:rPr>
        <w:t>A company-wide commitment to quality has made Winnebago Industries an industry leader in this area. We continue that quality effort by providing the tools necessary for the employee to produce top-quality products. Our investment in advanced technology is on-going. Most recently, five new computerized systems have been added, translating into better quality due to improved accuracy, improved fit and finish and faster processes. These new systems include three Computer Numerically-Controlled (CNC) router systems; a new laser projection system to improve the accuracy of imbedding steel and aluminum backing plates in the sidewalls, roof and floor for secure mounting of cabinets and appliances; and a new CNC mill that is used in milling out patterns for making tools to create fiberglass and ABS components like front ends, bumpers and roof caps.</w:t>
      </w:r>
    </w:p>
    <w:p>
      <w:pPr>
        <w:spacing w:after="0" w:line="74" w:lineRule="exact"/>
        <w:rPr>
          <w:sz w:val="20"/>
          <w:szCs w:val="20"/>
          <w:color w:val="auto"/>
        </w:rPr>
      </w:pPr>
    </w:p>
    <w:p>
      <w:pPr>
        <w:ind w:firstLine="451"/>
        <w:spacing w:after="0" w:line="408" w:lineRule="auto"/>
        <w:rPr>
          <w:sz w:val="20"/>
          <w:szCs w:val="20"/>
          <w:color w:val="auto"/>
        </w:rPr>
      </w:pPr>
      <w:r>
        <w:rPr>
          <w:rFonts w:ascii="Courier New" w:cs="Courier New" w:eastAsia="Courier New" w:hAnsi="Courier New"/>
          <w:sz w:val="14"/>
          <w:szCs w:val="14"/>
          <w:color w:val="auto"/>
        </w:rPr>
        <w:t>The quality emphasis has resulted in Winnebago Industries fully meeting Ford Motor Company's 1996 requirements for the Ford Motor Home and Transit Bus -</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4"/>
        <w:spacing w:after="0"/>
        <w:tabs>
          <w:tab w:leader="none" w:pos="2404"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1" w:lineRule="exact"/>
        <w:rPr>
          <w:sz w:val="20"/>
          <w:szCs w:val="20"/>
          <w:color w:val="auto"/>
        </w:rPr>
      </w:pPr>
    </w:p>
    <w:p>
      <w:pPr>
        <w:ind w:left="364"/>
        <w:spacing w:after="0"/>
        <w:tabs>
          <w:tab w:leader="none" w:pos="1604" w:val="left"/>
          <w:tab w:leader="none" w:pos="2604" w:val="left"/>
        </w:tabs>
        <w:rPr>
          <w:sz w:val="20"/>
          <w:szCs w:val="20"/>
          <w:color w:val="auto"/>
        </w:rPr>
      </w:pPr>
      <w:r>
        <w:rPr>
          <w:rFonts w:ascii="Courier New" w:cs="Courier New" w:eastAsia="Courier New" w:hAnsi="Courier New"/>
          <w:sz w:val="15"/>
          <w:szCs w:val="15"/>
          <w:color w:val="auto"/>
        </w:rPr>
        <w:t>VECTRA</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LUXOR</w:t>
      </w:r>
    </w:p>
    <w:p>
      <w:pPr>
        <w:spacing w:after="0" w:line="3" w:lineRule="exact"/>
        <w:rPr>
          <w:sz w:val="20"/>
          <w:szCs w:val="20"/>
          <w:color w:val="auto"/>
        </w:rPr>
      </w:pPr>
    </w:p>
    <w:p>
      <w:pPr>
        <w:ind w:left="4"/>
        <w:spacing w:after="0"/>
        <w:tabs>
          <w:tab w:leader="none" w:pos="2404"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49" w:lineRule="exact"/>
        <w:rPr>
          <w:sz w:val="20"/>
          <w:szCs w:val="20"/>
          <w:color w:val="auto"/>
        </w:rPr>
      </w:pPr>
    </w:p>
    <w:p>
      <w:pPr>
        <w:ind w:left="264" w:right="2520" w:hanging="264"/>
        <w:spacing w:after="0" w:line="365" w:lineRule="auto"/>
        <w:tabs>
          <w:tab w:leader="none" w:pos="174"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Vectra Grand Tour</w:t>
      </w:r>
    </w:p>
    <w:p>
      <w:pPr>
        <w:sectPr>
          <w:pgSz w:w="11900" w:h="16977" w:orient="portrait"/>
          <w:cols w:equalWidth="0" w:num="2">
            <w:col w:w="7200" w:space="276"/>
            <w:col w:w="3784"/>
          </w:cols>
          <w:pgMar w:left="240" w:top="272" w:right="399" w:bottom="0" w:gutter="0" w:footer="0" w:header="0"/>
        </w:sectPr>
      </w:pPr>
    </w:p>
    <w:bookmarkStart w:id="56" w:name="page57"/>
    <w:bookmarkEnd w:id="56"/>
    <w:p>
      <w:pPr>
        <w:ind w:right="3019"/>
        <w:spacing w:after="0" w:line="305" w:lineRule="auto"/>
        <w:rPr>
          <w:sz w:val="20"/>
          <w:szCs w:val="20"/>
          <w:color w:val="auto"/>
        </w:rPr>
      </w:pPr>
      <w:r>
        <w:rPr>
          <w:rFonts w:ascii="Courier New" w:cs="Courier New" w:eastAsia="Courier New" w:hAnsi="Courier New"/>
          <w:sz w:val="15"/>
          <w:szCs w:val="15"/>
          <w:color w:val="auto"/>
        </w:rPr>
        <w:t>Qualified Vehicle Modifier Program. Winnebago Industries is very proud to be one of the first motor home manufacturers to fully meet Ford's stringent new QVM requirements.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[LOGO:FORD-QVM QUALIFIED VEHICLE MODIFIER]</w:t>
      </w:r>
    </w:p>
    <w:p>
      <w:pPr>
        <w:spacing w:after="0" w:line="177"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5"/>
          <w:szCs w:val="15"/>
          <w:color w:val="auto"/>
        </w:rPr>
        <w:t>The Company made a strong commitment to customer satisfaction through the implementation of several programs such as a Customer Satisfaction Index (CSI) program. Our CSI program includes two separate customer surveys. One focuses on the sales and delivery process, while the second deals with service after the sale. This information helps us to identify quality issues and create solutions. CSI is also now a critical foundation of our "Circle of Excellence" dealer recognition program.</w:t>
      </w:r>
    </w:p>
    <w:p>
      <w:pPr>
        <w:spacing w:after="0" w:line="79"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5"/>
          <w:szCs w:val="15"/>
          <w:color w:val="auto"/>
        </w:rPr>
        <w:t>Winnebago Industries met recently with the Company's dealers in Las Vegas for a very successful national dealer meeting. Dealers had the opportunity to review the new 1997 products, and hear about new sales and service programs that are available to them. A strong emphasis was placed on the Recreation Vehicle Dealer Association's (RVDA) Dealer Satisfaction Index (DSI), which serves as a performance review of all the national RV manufacturers. Winnebago Industries has traditionally ranked among the top manufacturers in this index.</w:t>
      </w:r>
    </w:p>
    <w:p>
      <w:pPr>
        <w:spacing w:after="0" w:line="79" w:lineRule="exact"/>
        <w:rPr>
          <w:sz w:val="20"/>
          <w:szCs w:val="20"/>
          <w:color w:val="auto"/>
        </w:rPr>
      </w:pPr>
    </w:p>
    <w:p>
      <w:pPr>
        <w:ind w:right="3199" w:firstLine="451"/>
        <w:spacing w:after="0" w:line="264" w:lineRule="auto"/>
        <w:rPr>
          <w:sz w:val="20"/>
          <w:szCs w:val="20"/>
          <w:color w:val="auto"/>
        </w:rPr>
      </w:pPr>
      <w:r>
        <w:rPr>
          <w:rFonts w:ascii="Courier New" w:cs="Courier New" w:eastAsia="Courier New" w:hAnsi="Courier New"/>
          <w:sz w:val="15"/>
          <w:szCs w:val="15"/>
          <w:color w:val="auto"/>
        </w:rPr>
        <w:t>Winnebago Industries also earned an award from the U. S. Environmental Protection Agency, Region 7, for Pollution Prevention Environmental Excellence Award for 1995. Winnebago Industries was the only Iowa company to be honored from the 40 applicants for the award in Region 7's four-state area of Iowa, Kansas, Missouri, and Nebraska. The annual awards program from the EPA recognizes environmental excellence through pollution prevention efforts that work toward a cleaner environment.</w:t>
      </w:r>
    </w:p>
    <w:p>
      <w:pPr>
        <w:spacing w:after="0" w:line="79" w:lineRule="exact"/>
        <w:rPr>
          <w:sz w:val="20"/>
          <w:szCs w:val="20"/>
          <w:color w:val="auto"/>
        </w:rPr>
      </w:pPr>
    </w:p>
    <w:p>
      <w:pPr>
        <w:ind w:right="3099" w:firstLine="451"/>
        <w:spacing w:after="0" w:line="285" w:lineRule="auto"/>
        <w:rPr>
          <w:sz w:val="20"/>
          <w:szCs w:val="20"/>
          <w:color w:val="auto"/>
        </w:rPr>
      </w:pPr>
      <w:r>
        <w:rPr>
          <w:rFonts w:ascii="Courier New" w:cs="Courier New" w:eastAsia="Courier New" w:hAnsi="Courier New"/>
          <w:sz w:val="15"/>
          <w:szCs w:val="15"/>
          <w:color w:val="auto"/>
        </w:rPr>
        <w:t>Winnebago Industries is dedicated to continued efforts in eliminating all forms of pollution through smarter use of materials and process operation. This project has played a significant role in our efforts to reduce polluting air emissions.</w:t>
      </w:r>
    </w:p>
    <w:p>
      <w:pPr>
        <w:spacing w:after="0" w:line="23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640" w:type="dxa"/>
            <w:vAlign w:val="bottom"/>
          </w:tcPr>
          <w:p>
            <w:pPr>
              <w:spacing w:after="0"/>
              <w:rPr>
                <w:sz w:val="20"/>
                <w:szCs w:val="20"/>
                <w:color w:val="auto"/>
              </w:rPr>
            </w:pPr>
            <w:r>
              <w:rPr>
                <w:rFonts w:ascii="Courier New" w:cs="Courier New" w:eastAsia="Courier New" w:hAnsi="Courier New"/>
                <w:sz w:val="15"/>
                <w:szCs w:val="15"/>
                <w:color w:val="auto"/>
              </w:rPr>
              <w:t>CONSOLIDATED BALANCE SHEETS</w:t>
            </w:r>
          </w:p>
        </w:tc>
        <w:tc>
          <w:tcPr>
            <w:tcW w:w="5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64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5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August 31, 1996</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August 26, 1995</w:t>
            </w:r>
          </w:p>
        </w:tc>
        <w:tc>
          <w:tcPr>
            <w:tcW w:w="0" w:type="dxa"/>
            <w:vAlign w:val="bottom"/>
          </w:tcPr>
          <w:p>
            <w:pPr>
              <w:spacing w:after="0"/>
              <w:rPr>
                <w:sz w:val="1"/>
                <w:szCs w:val="1"/>
                <w:color w:val="auto"/>
              </w:rPr>
            </w:pPr>
          </w:p>
        </w:tc>
      </w:tr>
      <w:tr>
        <w:trPr>
          <w:trHeight w:val="255"/>
        </w:trPr>
        <w:tc>
          <w:tcPr>
            <w:tcW w:w="4640" w:type="dxa"/>
            <w:vAlign w:val="bottom"/>
          </w:tcPr>
          <w:p>
            <w:pPr>
              <w:spacing w:after="0"/>
              <w:rPr>
                <w:sz w:val="22"/>
                <w:szCs w:val="22"/>
                <w:color w:val="auto"/>
              </w:rPr>
            </w:pPr>
          </w:p>
        </w:tc>
        <w:tc>
          <w:tcPr>
            <w:tcW w:w="15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46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5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46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5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6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797</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8,508</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20"/>
                <w:szCs w:val="20"/>
                <w:color w:val="auto"/>
              </w:rPr>
            </w:pPr>
            <w:r>
              <w:rPr>
                <w:rFonts w:ascii="Courier New" w:cs="Courier New" w:eastAsia="Courier New" w:hAnsi="Courier New"/>
                <w:sz w:val="15"/>
                <w:szCs w:val="15"/>
                <w:color w:val="auto"/>
              </w:rPr>
              <w:t>Marketable securities</w:t>
            </w:r>
          </w:p>
        </w:tc>
        <w:tc>
          <w:tcPr>
            <w:tcW w:w="500" w:type="dxa"/>
            <w:vAlign w:val="bottom"/>
          </w:tcPr>
          <w:p>
            <w:pPr>
              <w:spacing w:after="0"/>
              <w:rPr>
                <w:sz w:val="15"/>
                <w:szCs w:val="15"/>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4,316</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2,144</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20"/>
                <w:szCs w:val="20"/>
                <w:color w:val="auto"/>
              </w:rPr>
            </w:pPr>
            <w:r>
              <w:rPr>
                <w:rFonts w:ascii="Courier New" w:cs="Courier New" w:eastAsia="Courier New" w:hAnsi="Courier New"/>
                <w:sz w:val="15"/>
                <w:szCs w:val="15"/>
                <w:color w:val="auto"/>
              </w:rPr>
              <w:t>Receivables, less allowance for doubtful accounts</w:t>
            </w:r>
          </w:p>
        </w:tc>
        <w:tc>
          <w:tcPr>
            <w:tcW w:w="500" w:type="dxa"/>
            <w:vAlign w:val="bottom"/>
          </w:tcPr>
          <w:p>
            <w:pPr>
              <w:spacing w:after="0"/>
              <w:rPr>
                <w:sz w:val="15"/>
                <w:szCs w:val="15"/>
                <w:color w:val="auto"/>
              </w:rPr>
            </w:pPr>
          </w:p>
        </w:tc>
        <w:tc>
          <w:tcPr>
            <w:tcW w:w="102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30,029</w:t>
            </w:r>
          </w:p>
        </w:tc>
        <w:tc>
          <w:tcPr>
            <w:tcW w:w="15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31,638</w:t>
            </w:r>
          </w:p>
        </w:tc>
        <w:tc>
          <w:tcPr>
            <w:tcW w:w="0" w:type="dxa"/>
            <w:vAlign w:val="bottom"/>
          </w:tcPr>
          <w:p>
            <w:pPr>
              <w:spacing w:after="0"/>
              <w:rPr>
                <w:sz w:val="1"/>
                <w:szCs w:val="1"/>
                <w:color w:val="auto"/>
              </w:rPr>
            </w:pPr>
          </w:p>
        </w:tc>
      </w:tr>
      <w:tr>
        <w:trPr>
          <w:trHeight w:val="173"/>
        </w:trPr>
        <w:tc>
          <w:tcPr>
            <w:tcW w:w="4640" w:type="dxa"/>
            <w:vAlign w:val="bottom"/>
          </w:tcPr>
          <w:p>
            <w:pPr>
              <w:ind w:left="360"/>
              <w:spacing w:after="0"/>
              <w:rPr>
                <w:sz w:val="20"/>
                <w:szCs w:val="20"/>
                <w:color w:val="auto"/>
              </w:rPr>
            </w:pPr>
            <w:r>
              <w:rPr>
                <w:rFonts w:ascii="Courier New" w:cs="Courier New" w:eastAsia="Courier New" w:hAnsi="Courier New"/>
                <w:sz w:val="15"/>
                <w:szCs w:val="15"/>
                <w:color w:val="auto"/>
              </w:rPr>
              <w:t>($702 and $1,128 respectively)</w:t>
            </w:r>
          </w:p>
        </w:tc>
        <w:tc>
          <w:tcPr>
            <w:tcW w:w="5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640" w:type="dxa"/>
            <w:vAlign w:val="bottom"/>
          </w:tcPr>
          <w:p>
            <w:pPr>
              <w:spacing w:after="0"/>
              <w:rPr>
                <w:sz w:val="20"/>
                <w:szCs w:val="20"/>
                <w:color w:val="auto"/>
              </w:rPr>
            </w:pPr>
            <w:r>
              <w:rPr>
                <w:rFonts w:ascii="Courier New" w:cs="Courier New" w:eastAsia="Courier New" w:hAnsi="Courier New"/>
                <w:sz w:val="15"/>
                <w:szCs w:val="15"/>
                <w:color w:val="auto"/>
              </w:rPr>
              <w:t>Dealer financing receivables, less allowance for</w:t>
            </w:r>
          </w:p>
        </w:tc>
        <w:tc>
          <w:tcPr>
            <w:tcW w:w="500" w:type="dxa"/>
            <w:vAlign w:val="bottom"/>
          </w:tcPr>
          <w:p>
            <w:pPr>
              <w:spacing w:after="0"/>
              <w:rPr>
                <w:sz w:val="15"/>
                <w:szCs w:val="15"/>
                <w:color w:val="auto"/>
              </w:rPr>
            </w:pPr>
          </w:p>
        </w:tc>
        <w:tc>
          <w:tcPr>
            <w:tcW w:w="102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11,491</w:t>
            </w:r>
          </w:p>
        </w:tc>
        <w:tc>
          <w:tcPr>
            <w:tcW w:w="15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9,345</w:t>
            </w:r>
          </w:p>
        </w:tc>
        <w:tc>
          <w:tcPr>
            <w:tcW w:w="0" w:type="dxa"/>
            <w:vAlign w:val="bottom"/>
          </w:tcPr>
          <w:p>
            <w:pPr>
              <w:spacing w:after="0"/>
              <w:rPr>
                <w:sz w:val="1"/>
                <w:szCs w:val="1"/>
                <w:color w:val="auto"/>
              </w:rPr>
            </w:pPr>
          </w:p>
        </w:tc>
      </w:tr>
      <w:tr>
        <w:trPr>
          <w:trHeight w:val="173"/>
        </w:trPr>
        <w:tc>
          <w:tcPr>
            <w:tcW w:w="4640" w:type="dxa"/>
            <w:vAlign w:val="bottom"/>
          </w:tcPr>
          <w:p>
            <w:pPr>
              <w:ind w:left="360"/>
              <w:spacing w:after="0"/>
              <w:rPr>
                <w:sz w:val="20"/>
                <w:szCs w:val="20"/>
                <w:color w:val="auto"/>
              </w:rPr>
            </w:pPr>
            <w:r>
              <w:rPr>
                <w:rFonts w:ascii="Courier New" w:cs="Courier New" w:eastAsia="Courier New" w:hAnsi="Courier New"/>
                <w:sz w:val="15"/>
                <w:szCs w:val="15"/>
                <w:color w:val="auto"/>
              </w:rPr>
              <w:t>doubtful accounts ($197 and $255, respectively)</w:t>
            </w:r>
          </w:p>
        </w:tc>
        <w:tc>
          <w:tcPr>
            <w:tcW w:w="5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64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500" w:type="dxa"/>
            <w:vAlign w:val="bottom"/>
          </w:tcPr>
          <w:p>
            <w:pPr>
              <w:spacing w:after="0"/>
              <w:rPr>
                <w:sz w:val="15"/>
                <w:szCs w:val="15"/>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63,103</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53,080</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20"/>
                <w:szCs w:val="20"/>
                <w:color w:val="auto"/>
              </w:rPr>
            </w:pPr>
            <w:r>
              <w:rPr>
                <w:rFonts w:ascii="Courier New" w:cs="Courier New" w:eastAsia="Courier New" w:hAnsi="Courier New"/>
                <w:sz w:val="15"/>
                <w:szCs w:val="15"/>
                <w:color w:val="auto"/>
              </w:rPr>
              <w:t>Prepaid expenses</w:t>
            </w:r>
          </w:p>
        </w:tc>
        <w:tc>
          <w:tcPr>
            <w:tcW w:w="500" w:type="dxa"/>
            <w:vAlign w:val="bottom"/>
          </w:tcPr>
          <w:p>
            <w:pPr>
              <w:spacing w:after="0"/>
              <w:rPr>
                <w:sz w:val="15"/>
                <w:szCs w:val="15"/>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3,253</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3,282</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500" w:type="dxa"/>
            <w:vAlign w:val="bottom"/>
          </w:tcPr>
          <w:p>
            <w:pPr>
              <w:spacing w:after="0"/>
              <w:rPr>
                <w:sz w:val="15"/>
                <w:szCs w:val="15"/>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6,343</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6,224</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20"/>
                <w:szCs w:val="20"/>
                <w:color w:val="auto"/>
              </w:rPr>
            </w:pPr>
            <w:r>
              <w:rPr>
                <w:rFonts w:ascii="Courier New" w:cs="Courier New" w:eastAsia="Courier New" w:hAnsi="Courier New"/>
                <w:sz w:val="15"/>
                <w:szCs w:val="15"/>
                <w:color w:val="auto"/>
              </w:rPr>
              <w:t>Current assets of discontinued operations</w:t>
            </w:r>
          </w:p>
        </w:tc>
        <w:tc>
          <w:tcPr>
            <w:tcW w:w="500" w:type="dxa"/>
            <w:vAlign w:val="bottom"/>
          </w:tcPr>
          <w:p>
            <w:pPr>
              <w:spacing w:after="0"/>
              <w:rPr>
                <w:sz w:val="15"/>
                <w:szCs w:val="15"/>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7,285</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6,683</w:t>
            </w:r>
          </w:p>
        </w:tc>
        <w:tc>
          <w:tcPr>
            <w:tcW w:w="0" w:type="dxa"/>
            <w:vAlign w:val="bottom"/>
          </w:tcPr>
          <w:p>
            <w:pPr>
              <w:spacing w:after="0"/>
              <w:rPr>
                <w:sz w:val="1"/>
                <w:szCs w:val="1"/>
                <w:color w:val="auto"/>
              </w:rPr>
            </w:pPr>
          </w:p>
        </w:tc>
      </w:tr>
      <w:tr>
        <w:trPr>
          <w:trHeight w:val="173"/>
        </w:trPr>
        <w:tc>
          <w:tcPr>
            <w:tcW w:w="464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Total current assets</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6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5"/>
              </w:rPr>
              <w:t>126,617</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120,904</w:t>
            </w:r>
          </w:p>
        </w:tc>
        <w:tc>
          <w:tcPr>
            <w:tcW w:w="0" w:type="dxa"/>
            <w:vAlign w:val="bottom"/>
          </w:tcPr>
          <w:p>
            <w:pPr>
              <w:spacing w:after="0"/>
              <w:rPr>
                <w:sz w:val="1"/>
                <w:szCs w:val="1"/>
                <w:color w:val="auto"/>
              </w:rPr>
            </w:pPr>
          </w:p>
        </w:tc>
      </w:tr>
      <w:tr>
        <w:trPr>
          <w:trHeight w:val="255"/>
        </w:trPr>
        <w:tc>
          <w:tcPr>
            <w:tcW w:w="4640" w:type="dxa"/>
            <w:vAlign w:val="bottom"/>
            <w:vMerge w:val="restart"/>
          </w:tcPr>
          <w:p>
            <w:pPr>
              <w:spacing w:after="0"/>
              <w:rPr>
                <w:sz w:val="20"/>
                <w:szCs w:val="20"/>
                <w:color w:val="auto"/>
              </w:rPr>
            </w:pPr>
            <w:r>
              <w:rPr>
                <w:rFonts w:ascii="Courier New" w:cs="Courier New" w:eastAsia="Courier New" w:hAnsi="Courier New"/>
                <w:sz w:val="15"/>
                <w:szCs w:val="15"/>
                <w:color w:val="auto"/>
              </w:rPr>
              <w:t>PROPERTY AND EQUIPMENT, at cost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6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64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500" w:type="dxa"/>
            <w:vAlign w:val="bottom"/>
          </w:tcPr>
          <w:p>
            <w:pPr>
              <w:spacing w:after="0"/>
              <w:rPr>
                <w:sz w:val="23"/>
                <w:szCs w:val="23"/>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1,501</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1,512</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500" w:type="dxa"/>
            <w:vAlign w:val="bottom"/>
          </w:tcPr>
          <w:p>
            <w:pPr>
              <w:spacing w:after="0"/>
              <w:rPr>
                <w:sz w:val="15"/>
                <w:szCs w:val="15"/>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43,952</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43,014</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500" w:type="dxa"/>
            <w:vAlign w:val="bottom"/>
          </w:tcPr>
          <w:p>
            <w:pPr>
              <w:spacing w:after="0"/>
              <w:rPr>
                <w:sz w:val="15"/>
                <w:szCs w:val="15"/>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67,456</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65,828</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20"/>
                <w:szCs w:val="20"/>
                <w:color w:val="auto"/>
              </w:rPr>
            </w:pPr>
            <w:r>
              <w:rPr>
                <w:rFonts w:ascii="Courier New" w:cs="Courier New" w:eastAsia="Courier New" w:hAnsi="Courier New"/>
                <w:sz w:val="15"/>
                <w:szCs w:val="15"/>
                <w:color w:val="auto"/>
              </w:rPr>
              <w:t>Transportation equipment</w:t>
            </w:r>
          </w:p>
        </w:tc>
        <w:tc>
          <w:tcPr>
            <w:tcW w:w="500" w:type="dxa"/>
            <w:vAlign w:val="bottom"/>
          </w:tcPr>
          <w:p>
            <w:pPr>
              <w:spacing w:after="0"/>
              <w:rPr>
                <w:sz w:val="15"/>
                <w:szCs w:val="15"/>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7,878</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7,845</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64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Less accumulated depreciation</w:t>
            </w:r>
          </w:p>
        </w:tc>
        <w:tc>
          <w:tcPr>
            <w:tcW w:w="500" w:type="dxa"/>
            <w:vAlign w:val="bottom"/>
          </w:tcPr>
          <w:p>
            <w:pPr>
              <w:spacing w:after="0"/>
              <w:rPr>
                <w:sz w:val="15"/>
                <w:szCs w:val="15"/>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5"/>
              </w:rPr>
              <w:t>120,787</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118,199</w:t>
            </w:r>
          </w:p>
        </w:tc>
        <w:tc>
          <w:tcPr>
            <w:tcW w:w="0" w:type="dxa"/>
            <w:vAlign w:val="bottom"/>
          </w:tcPr>
          <w:p>
            <w:pPr>
              <w:spacing w:after="0"/>
              <w:rPr>
                <w:sz w:val="1"/>
                <w:szCs w:val="1"/>
                <w:color w:val="auto"/>
              </w:rPr>
            </w:pPr>
          </w:p>
        </w:tc>
      </w:tr>
      <w:tr>
        <w:trPr>
          <w:trHeight w:val="173"/>
        </w:trPr>
        <w:tc>
          <w:tcPr>
            <w:tcW w:w="46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80,858</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78,942</w:t>
            </w:r>
          </w:p>
        </w:tc>
        <w:tc>
          <w:tcPr>
            <w:tcW w:w="0" w:type="dxa"/>
            <w:vAlign w:val="bottom"/>
          </w:tcPr>
          <w:p>
            <w:pPr>
              <w:spacing w:after="0"/>
              <w:rPr>
                <w:sz w:val="1"/>
                <w:szCs w:val="1"/>
                <w:color w:val="auto"/>
              </w:rPr>
            </w:pPr>
          </w:p>
        </w:tc>
      </w:tr>
      <w:tr>
        <w:trPr>
          <w:trHeight w:val="173"/>
        </w:trPr>
        <w:tc>
          <w:tcPr>
            <w:tcW w:w="464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Total property and equipment, net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6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39,929</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39,257</w:t>
            </w:r>
          </w:p>
        </w:tc>
        <w:tc>
          <w:tcPr>
            <w:tcW w:w="0" w:type="dxa"/>
            <w:vAlign w:val="bottom"/>
          </w:tcPr>
          <w:p>
            <w:pPr>
              <w:spacing w:after="0"/>
              <w:rPr>
                <w:sz w:val="1"/>
                <w:szCs w:val="1"/>
                <w:color w:val="auto"/>
              </w:rPr>
            </w:pPr>
          </w:p>
        </w:tc>
      </w:tr>
      <w:tr>
        <w:trPr>
          <w:trHeight w:val="255"/>
        </w:trPr>
        <w:tc>
          <w:tcPr>
            <w:tcW w:w="4640" w:type="dxa"/>
            <w:vAlign w:val="bottom"/>
          </w:tcPr>
          <w:p>
            <w:pPr>
              <w:spacing w:after="0"/>
              <w:rPr>
                <w:sz w:val="22"/>
                <w:szCs w:val="22"/>
                <w:color w:val="auto"/>
              </w:rPr>
            </w:pP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4640" w:type="dxa"/>
            <w:vAlign w:val="bottom"/>
          </w:tcPr>
          <w:p>
            <w:pPr>
              <w:spacing w:after="0"/>
              <w:rPr>
                <w:sz w:val="20"/>
                <w:szCs w:val="20"/>
                <w:color w:val="auto"/>
              </w:rPr>
            </w:pPr>
            <w:r>
              <w:rPr>
                <w:rFonts w:ascii="Courier New" w:cs="Courier New" w:eastAsia="Courier New" w:hAnsi="Courier New"/>
                <w:sz w:val="15"/>
                <w:szCs w:val="15"/>
                <w:color w:val="auto"/>
              </w:rPr>
              <w:t>LONG-TERM NOTES RECEIVABLE, less allowances</w:t>
            </w:r>
          </w:p>
        </w:tc>
        <w:tc>
          <w:tcPr>
            <w:tcW w:w="500" w:type="dxa"/>
            <w:vAlign w:val="bottom"/>
          </w:tcPr>
          <w:p>
            <w:pPr>
              <w:spacing w:after="0"/>
              <w:rPr>
                <w:sz w:val="23"/>
                <w:szCs w:val="23"/>
                <w:color w:val="auto"/>
              </w:rPr>
            </w:pPr>
          </w:p>
        </w:tc>
        <w:tc>
          <w:tcPr>
            <w:tcW w:w="102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3,918</w:t>
            </w:r>
          </w:p>
        </w:tc>
        <w:tc>
          <w:tcPr>
            <w:tcW w:w="15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2,465</w:t>
            </w:r>
          </w:p>
        </w:tc>
        <w:tc>
          <w:tcPr>
            <w:tcW w:w="0" w:type="dxa"/>
            <w:vAlign w:val="bottom"/>
          </w:tcPr>
          <w:p>
            <w:pPr>
              <w:spacing w:after="0"/>
              <w:rPr>
                <w:sz w:val="1"/>
                <w:szCs w:val="1"/>
                <w:color w:val="auto"/>
              </w:rPr>
            </w:pPr>
          </w:p>
        </w:tc>
      </w:tr>
      <w:tr>
        <w:trPr>
          <w:trHeight w:val="173"/>
        </w:trPr>
        <w:tc>
          <w:tcPr>
            <w:tcW w:w="4640" w:type="dxa"/>
            <w:vAlign w:val="bottom"/>
          </w:tcPr>
          <w:p>
            <w:pPr>
              <w:ind w:left="360"/>
              <w:spacing w:after="0"/>
              <w:rPr>
                <w:sz w:val="20"/>
                <w:szCs w:val="20"/>
                <w:color w:val="auto"/>
              </w:rPr>
            </w:pPr>
            <w:r>
              <w:rPr>
                <w:rFonts w:ascii="Courier New" w:cs="Courier New" w:eastAsia="Courier New" w:hAnsi="Courier New"/>
                <w:sz w:val="15"/>
                <w:szCs w:val="15"/>
                <w:color w:val="auto"/>
              </w:rPr>
              <w:t>($797 and $950, respectively)</w:t>
            </w:r>
          </w:p>
        </w:tc>
        <w:tc>
          <w:tcPr>
            <w:tcW w:w="5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640" w:type="dxa"/>
            <w:vAlign w:val="bottom"/>
          </w:tcPr>
          <w:p>
            <w:pPr>
              <w:spacing w:after="0"/>
              <w:rPr>
                <w:sz w:val="22"/>
                <w:szCs w:val="22"/>
                <w:color w:val="auto"/>
              </w:rPr>
            </w:pP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4640" w:type="dxa"/>
            <w:vAlign w:val="bottom"/>
          </w:tcPr>
          <w:p>
            <w:pPr>
              <w:spacing w:after="0"/>
              <w:rPr>
                <w:sz w:val="20"/>
                <w:szCs w:val="20"/>
                <w:color w:val="auto"/>
              </w:rPr>
            </w:pPr>
            <w:r>
              <w:rPr>
                <w:rFonts w:ascii="Courier New" w:cs="Courier New" w:eastAsia="Courier New" w:hAnsi="Courier New"/>
                <w:sz w:val="15"/>
                <w:szCs w:val="15"/>
                <w:color w:val="auto"/>
              </w:rPr>
              <w:t>INVESTMENT IN LIFE INSURANCE</w:t>
            </w:r>
          </w:p>
        </w:tc>
        <w:tc>
          <w:tcPr>
            <w:tcW w:w="500" w:type="dxa"/>
            <w:vAlign w:val="bottom"/>
          </w:tcPr>
          <w:p>
            <w:pPr>
              <w:spacing w:after="0"/>
              <w:rPr>
                <w:sz w:val="23"/>
                <w:szCs w:val="23"/>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16,821</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15,942</w:t>
            </w:r>
          </w:p>
        </w:tc>
        <w:tc>
          <w:tcPr>
            <w:tcW w:w="0" w:type="dxa"/>
            <w:vAlign w:val="bottom"/>
          </w:tcPr>
          <w:p>
            <w:pPr>
              <w:spacing w:after="0"/>
              <w:rPr>
                <w:sz w:val="1"/>
                <w:szCs w:val="1"/>
                <w:color w:val="auto"/>
              </w:rPr>
            </w:pPr>
          </w:p>
        </w:tc>
      </w:tr>
      <w:tr>
        <w:trPr>
          <w:trHeight w:val="255"/>
        </w:trPr>
        <w:tc>
          <w:tcPr>
            <w:tcW w:w="4640" w:type="dxa"/>
            <w:vAlign w:val="bottom"/>
          </w:tcPr>
          <w:p>
            <w:pPr>
              <w:spacing w:after="0"/>
              <w:rPr>
                <w:sz w:val="22"/>
                <w:szCs w:val="22"/>
                <w:color w:val="auto"/>
              </w:rPr>
            </w:pP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4640" w:type="dxa"/>
            <w:vAlign w:val="bottom"/>
          </w:tcPr>
          <w:p>
            <w:pPr>
              <w:spacing w:after="0"/>
              <w:rPr>
                <w:sz w:val="20"/>
                <w:szCs w:val="20"/>
                <w:color w:val="auto"/>
              </w:rPr>
            </w:pPr>
            <w:r>
              <w:rPr>
                <w:rFonts w:ascii="Courier New" w:cs="Courier New" w:eastAsia="Courier New" w:hAnsi="Courier New"/>
                <w:sz w:val="15"/>
                <w:szCs w:val="15"/>
                <w:color w:val="auto"/>
              </w:rPr>
              <w:t>DEFERRED INCOME TAXES, NET</w:t>
            </w:r>
          </w:p>
        </w:tc>
        <w:tc>
          <w:tcPr>
            <w:tcW w:w="500" w:type="dxa"/>
            <w:vAlign w:val="bottom"/>
          </w:tcPr>
          <w:p>
            <w:pPr>
              <w:spacing w:after="0"/>
              <w:rPr>
                <w:sz w:val="23"/>
                <w:szCs w:val="23"/>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14,548</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14,107</w:t>
            </w:r>
          </w:p>
        </w:tc>
        <w:tc>
          <w:tcPr>
            <w:tcW w:w="0" w:type="dxa"/>
            <w:vAlign w:val="bottom"/>
          </w:tcPr>
          <w:p>
            <w:pPr>
              <w:spacing w:after="0"/>
              <w:rPr>
                <w:sz w:val="1"/>
                <w:szCs w:val="1"/>
                <w:color w:val="auto"/>
              </w:rPr>
            </w:pPr>
          </w:p>
        </w:tc>
      </w:tr>
      <w:tr>
        <w:trPr>
          <w:trHeight w:val="255"/>
        </w:trPr>
        <w:tc>
          <w:tcPr>
            <w:tcW w:w="4640" w:type="dxa"/>
            <w:vAlign w:val="bottom"/>
          </w:tcPr>
          <w:p>
            <w:pPr>
              <w:spacing w:after="0"/>
              <w:rPr>
                <w:sz w:val="22"/>
                <w:szCs w:val="22"/>
                <w:color w:val="auto"/>
              </w:rPr>
            </w:pP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46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500" w:type="dxa"/>
            <w:vAlign w:val="bottom"/>
          </w:tcPr>
          <w:p>
            <w:pPr>
              <w:spacing w:after="0"/>
              <w:rPr>
                <w:sz w:val="23"/>
                <w:szCs w:val="23"/>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3,906</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4,884</w:t>
            </w:r>
          </w:p>
        </w:tc>
        <w:tc>
          <w:tcPr>
            <w:tcW w:w="0" w:type="dxa"/>
            <w:vAlign w:val="bottom"/>
          </w:tcPr>
          <w:p>
            <w:pPr>
              <w:spacing w:after="0"/>
              <w:rPr>
                <w:sz w:val="1"/>
                <w:szCs w:val="1"/>
                <w:color w:val="auto"/>
              </w:rPr>
            </w:pPr>
          </w:p>
        </w:tc>
      </w:tr>
      <w:tr>
        <w:trPr>
          <w:trHeight w:val="255"/>
        </w:trPr>
        <w:tc>
          <w:tcPr>
            <w:tcW w:w="4640" w:type="dxa"/>
            <w:vAlign w:val="bottom"/>
          </w:tcPr>
          <w:p>
            <w:pPr>
              <w:spacing w:after="0"/>
              <w:rPr>
                <w:sz w:val="22"/>
                <w:szCs w:val="22"/>
                <w:color w:val="auto"/>
              </w:rPr>
            </w:pP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4640" w:type="dxa"/>
            <w:vAlign w:val="bottom"/>
          </w:tcPr>
          <w:p>
            <w:pPr>
              <w:spacing w:after="0"/>
              <w:rPr>
                <w:sz w:val="20"/>
                <w:szCs w:val="20"/>
                <w:color w:val="auto"/>
              </w:rPr>
            </w:pPr>
            <w:r>
              <w:rPr>
                <w:rFonts w:ascii="Courier New" w:cs="Courier New" w:eastAsia="Courier New" w:hAnsi="Courier New"/>
                <w:sz w:val="15"/>
                <w:szCs w:val="15"/>
                <w:color w:val="auto"/>
              </w:rPr>
              <w:t>LONG-TERM ASSETS OF DISCONTINUED OPERATIONS</w:t>
            </w:r>
          </w:p>
        </w:tc>
        <w:tc>
          <w:tcPr>
            <w:tcW w:w="500" w:type="dxa"/>
            <w:vAlign w:val="bottom"/>
          </w:tcPr>
          <w:p>
            <w:pPr>
              <w:spacing w:after="0"/>
              <w:rPr>
                <w:sz w:val="23"/>
                <w:szCs w:val="23"/>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14,857</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14,071</w:t>
            </w:r>
          </w:p>
        </w:tc>
        <w:tc>
          <w:tcPr>
            <w:tcW w:w="0" w:type="dxa"/>
            <w:vAlign w:val="bottom"/>
          </w:tcPr>
          <w:p>
            <w:pPr>
              <w:spacing w:after="0"/>
              <w:rPr>
                <w:sz w:val="1"/>
                <w:szCs w:val="1"/>
                <w:color w:val="auto"/>
              </w:rPr>
            </w:pPr>
          </w:p>
        </w:tc>
      </w:tr>
      <w:tr>
        <w:trPr>
          <w:trHeight w:val="255"/>
        </w:trPr>
        <w:tc>
          <w:tcPr>
            <w:tcW w:w="4640" w:type="dxa"/>
            <w:vAlign w:val="bottom"/>
          </w:tcPr>
          <w:p>
            <w:pPr>
              <w:spacing w:after="0"/>
              <w:rPr>
                <w:sz w:val="22"/>
                <w:szCs w:val="22"/>
                <w:color w:val="auto"/>
              </w:rPr>
            </w:pP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46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$220,596</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$211,630</w:t>
            </w:r>
          </w:p>
        </w:tc>
        <w:tc>
          <w:tcPr>
            <w:tcW w:w="0" w:type="dxa"/>
            <w:vAlign w:val="bottom"/>
          </w:tcPr>
          <w:p>
            <w:pPr>
              <w:spacing w:after="0"/>
              <w:rPr>
                <w:sz w:val="1"/>
                <w:szCs w:val="1"/>
                <w:color w:val="auto"/>
              </w:rPr>
            </w:pPr>
          </w:p>
        </w:tc>
      </w:tr>
      <w:tr>
        <w:trPr>
          <w:trHeight w:val="255"/>
        </w:trPr>
        <w:tc>
          <w:tcPr>
            <w:tcW w:w="4640" w:type="dxa"/>
            <w:vAlign w:val="bottom"/>
          </w:tcPr>
          <w:p>
            <w:pPr>
              <w:spacing w:after="0"/>
              <w:rPr>
                <w:sz w:val="22"/>
                <w:szCs w:val="22"/>
                <w:color w:val="auto"/>
              </w:rPr>
            </w:pP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3" w:right="1440" w:bottom="0" w:gutter="0" w:footer="0" w:header="0"/>
        </w:sectPr>
      </w:pPr>
    </w:p>
    <w:bookmarkStart w:id="57" w:name="page58"/>
    <w:bookmarkEnd w:id="57"/>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5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August 31, 1996</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August 26, 1995</w:t>
            </w:r>
          </w:p>
        </w:tc>
        <w:tc>
          <w:tcPr>
            <w:tcW w:w="0" w:type="dxa"/>
            <w:vAlign w:val="bottom"/>
          </w:tcPr>
          <w:p>
            <w:pPr>
              <w:spacing w:after="0"/>
              <w:rPr>
                <w:sz w:val="1"/>
                <w:szCs w:val="1"/>
                <w:color w:val="auto"/>
              </w:rPr>
            </w:pPr>
          </w:p>
        </w:tc>
      </w:tr>
      <w:tr>
        <w:trPr>
          <w:trHeight w:val="255"/>
        </w:trPr>
        <w:tc>
          <w:tcPr>
            <w:tcW w:w="4540" w:type="dxa"/>
            <w:vAlign w:val="bottom"/>
          </w:tcPr>
          <w:p>
            <w:pPr>
              <w:spacing w:after="0"/>
              <w:rPr>
                <w:sz w:val="22"/>
                <w:szCs w:val="22"/>
                <w:color w:val="auto"/>
              </w:rPr>
            </w:pPr>
          </w:p>
        </w:tc>
        <w:tc>
          <w:tcPr>
            <w:tcW w:w="1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45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45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540" w:type="dxa"/>
            <w:vAlign w:val="bottom"/>
          </w:tcPr>
          <w:p>
            <w:pPr>
              <w:spacing w:after="0"/>
              <w:rPr>
                <w:sz w:val="20"/>
                <w:szCs w:val="20"/>
                <w:color w:val="auto"/>
              </w:rPr>
            </w:pPr>
            <w:r>
              <w:rPr>
                <w:rFonts w:ascii="Courier New" w:cs="Courier New" w:eastAsia="Courier New" w:hAnsi="Courier New"/>
                <w:sz w:val="15"/>
                <w:szCs w:val="15"/>
                <w:color w:val="auto"/>
              </w:rPr>
              <w:t>Current maturities of long-term debt</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  1,866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720</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Accounts payable, trade</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20,232</w:t>
            </w:r>
          </w:p>
        </w:tc>
        <w:tc>
          <w:tcPr>
            <w:tcW w:w="32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20,440</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Current liabilities of discontinued operations</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17,532</w:t>
            </w:r>
          </w:p>
        </w:tc>
        <w:tc>
          <w:tcPr>
            <w:tcW w:w="32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9,959</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Provision for loss on disposal of electronic</w:t>
            </w:r>
          </w:p>
        </w:tc>
        <w:tc>
          <w:tcPr>
            <w:tcW w:w="172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4,074</w:t>
            </w:r>
          </w:p>
        </w:tc>
        <w:tc>
          <w:tcPr>
            <w:tcW w:w="320" w:type="dxa"/>
            <w:vAlign w:val="bottom"/>
          </w:tcPr>
          <w:p>
            <w:pPr>
              <w:spacing w:after="0"/>
              <w:rPr>
                <w:sz w:val="15"/>
                <w:szCs w:val="15"/>
                <w:color w:val="auto"/>
              </w:rPr>
            </w:pPr>
          </w:p>
        </w:tc>
        <w:tc>
          <w:tcPr>
            <w:tcW w:w="116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5"/>
        </w:trPr>
        <w:tc>
          <w:tcPr>
            <w:tcW w:w="4540" w:type="dxa"/>
            <w:vAlign w:val="bottom"/>
          </w:tcPr>
          <w:p>
            <w:pPr>
              <w:ind w:left="360"/>
              <w:spacing w:after="0"/>
              <w:rPr>
                <w:sz w:val="20"/>
                <w:szCs w:val="20"/>
                <w:color w:val="auto"/>
              </w:rPr>
            </w:pPr>
            <w:r>
              <w:rPr>
                <w:rFonts w:ascii="Courier New" w:cs="Courier New" w:eastAsia="Courier New" w:hAnsi="Courier New"/>
                <w:sz w:val="15"/>
                <w:szCs w:val="15"/>
                <w:color w:val="auto"/>
              </w:rPr>
              <w:t>component assembly segment</w:t>
            </w:r>
          </w:p>
        </w:tc>
        <w:tc>
          <w:tcPr>
            <w:tcW w:w="172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54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172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2,947</w:t>
            </w:r>
          </w:p>
        </w:tc>
        <w:tc>
          <w:tcPr>
            <w:tcW w:w="320" w:type="dxa"/>
            <w:vAlign w:val="bottom"/>
          </w:tcPr>
          <w:p>
            <w:pPr>
              <w:spacing w:after="0"/>
              <w:rPr>
                <w:sz w:val="23"/>
                <w:szCs w:val="23"/>
                <w:color w:val="auto"/>
              </w:rPr>
            </w:pPr>
          </w:p>
        </w:tc>
        <w:tc>
          <w:tcPr>
            <w:tcW w:w="116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4,620</w:t>
            </w:r>
          </w:p>
        </w:tc>
        <w:tc>
          <w:tcPr>
            <w:tcW w:w="0" w:type="dxa"/>
            <w:vAlign w:val="bottom"/>
          </w:tcPr>
          <w:p>
            <w:pPr>
              <w:spacing w:after="0"/>
              <w:rPr>
                <w:sz w:val="1"/>
                <w:szCs w:val="1"/>
                <w:color w:val="auto"/>
              </w:rPr>
            </w:pPr>
          </w:p>
        </w:tc>
      </w:tr>
      <w:tr>
        <w:trPr>
          <w:trHeight w:val="173"/>
        </w:trPr>
        <w:tc>
          <w:tcPr>
            <w:tcW w:w="4540" w:type="dxa"/>
            <w:vAlign w:val="bottom"/>
          </w:tcPr>
          <w:p>
            <w:pPr>
              <w:ind w:left="360"/>
              <w:spacing w:after="0"/>
              <w:rPr>
                <w:sz w:val="20"/>
                <w:szCs w:val="20"/>
                <w:color w:val="auto"/>
              </w:rPr>
            </w:pPr>
            <w:r>
              <w:rPr>
                <w:rFonts w:ascii="Courier New" w:cs="Courier New" w:eastAsia="Courier New" w:hAnsi="Courier New"/>
                <w:sz w:val="15"/>
                <w:szCs w:val="15"/>
                <w:color w:val="auto"/>
              </w:rPr>
              <w:t>Insurance</w:t>
            </w:r>
          </w:p>
        </w:tc>
        <w:tc>
          <w:tcPr>
            <w:tcW w:w="17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540" w:type="dxa"/>
            <w:vAlign w:val="bottom"/>
          </w:tcPr>
          <w:p>
            <w:pPr>
              <w:ind w:left="360"/>
              <w:spacing w:after="0"/>
              <w:rPr>
                <w:sz w:val="20"/>
                <w:szCs w:val="20"/>
                <w:color w:val="auto"/>
              </w:rPr>
            </w:pPr>
            <w:r>
              <w:rPr>
                <w:rFonts w:ascii="Courier New" w:cs="Courier New" w:eastAsia="Courier New" w:hAnsi="Courier New"/>
                <w:sz w:val="15"/>
                <w:szCs w:val="15"/>
                <w:color w:val="auto"/>
              </w:rPr>
              <w:t>Product warranties</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3,489</w:t>
            </w:r>
          </w:p>
        </w:tc>
        <w:tc>
          <w:tcPr>
            <w:tcW w:w="32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3,184</w:t>
            </w:r>
          </w:p>
        </w:tc>
        <w:tc>
          <w:tcPr>
            <w:tcW w:w="0" w:type="dxa"/>
            <w:vAlign w:val="bottom"/>
          </w:tcPr>
          <w:p>
            <w:pPr>
              <w:spacing w:after="0"/>
              <w:rPr>
                <w:sz w:val="1"/>
                <w:szCs w:val="1"/>
                <w:color w:val="auto"/>
              </w:rPr>
            </w:pPr>
          </w:p>
        </w:tc>
      </w:tr>
      <w:tr>
        <w:trPr>
          <w:trHeight w:val="173"/>
        </w:trPr>
        <w:tc>
          <w:tcPr>
            <w:tcW w:w="4540" w:type="dxa"/>
            <w:vAlign w:val="bottom"/>
          </w:tcPr>
          <w:p>
            <w:pPr>
              <w:ind w:left="360"/>
              <w:spacing w:after="0"/>
              <w:rPr>
                <w:sz w:val="20"/>
                <w:szCs w:val="20"/>
                <w:color w:val="auto"/>
              </w:rPr>
            </w:pPr>
            <w:r>
              <w:rPr>
                <w:rFonts w:ascii="Courier New" w:cs="Courier New" w:eastAsia="Courier New" w:hAnsi="Courier New"/>
                <w:sz w:val="15"/>
                <w:szCs w:val="15"/>
                <w:color w:val="auto"/>
              </w:rPr>
              <w:t>Vacation liability</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3,116</w:t>
            </w:r>
          </w:p>
        </w:tc>
        <w:tc>
          <w:tcPr>
            <w:tcW w:w="32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2,966</w:t>
            </w:r>
          </w:p>
        </w:tc>
        <w:tc>
          <w:tcPr>
            <w:tcW w:w="0" w:type="dxa"/>
            <w:vAlign w:val="bottom"/>
          </w:tcPr>
          <w:p>
            <w:pPr>
              <w:spacing w:after="0"/>
              <w:rPr>
                <w:sz w:val="1"/>
                <w:szCs w:val="1"/>
                <w:color w:val="auto"/>
              </w:rPr>
            </w:pPr>
          </w:p>
        </w:tc>
      </w:tr>
      <w:tr>
        <w:trPr>
          <w:trHeight w:val="173"/>
        </w:trPr>
        <w:tc>
          <w:tcPr>
            <w:tcW w:w="4540" w:type="dxa"/>
            <w:vAlign w:val="bottom"/>
          </w:tcPr>
          <w:p>
            <w:pPr>
              <w:ind w:left="360"/>
              <w:spacing w:after="0"/>
              <w:rPr>
                <w:sz w:val="20"/>
                <w:szCs w:val="20"/>
                <w:color w:val="auto"/>
              </w:rPr>
            </w:pPr>
            <w:r>
              <w:rPr>
                <w:rFonts w:ascii="Courier New" w:cs="Courier New" w:eastAsia="Courier New" w:hAnsi="Courier New"/>
                <w:sz w:val="15"/>
                <w:szCs w:val="15"/>
                <w:color w:val="auto"/>
              </w:rPr>
              <w:t>Promotional</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2,193</w:t>
            </w:r>
          </w:p>
        </w:tc>
        <w:tc>
          <w:tcPr>
            <w:tcW w:w="32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1,916</w:t>
            </w:r>
          </w:p>
        </w:tc>
        <w:tc>
          <w:tcPr>
            <w:tcW w:w="0" w:type="dxa"/>
            <w:vAlign w:val="bottom"/>
          </w:tcPr>
          <w:p>
            <w:pPr>
              <w:spacing w:after="0"/>
              <w:rPr>
                <w:sz w:val="1"/>
                <w:szCs w:val="1"/>
                <w:color w:val="auto"/>
              </w:rPr>
            </w:pPr>
          </w:p>
        </w:tc>
      </w:tr>
      <w:tr>
        <w:trPr>
          <w:trHeight w:val="173"/>
        </w:trPr>
        <w:tc>
          <w:tcPr>
            <w:tcW w:w="454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9,013</w:t>
            </w:r>
          </w:p>
        </w:tc>
        <w:tc>
          <w:tcPr>
            <w:tcW w:w="32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7,405</w:t>
            </w:r>
          </w:p>
        </w:tc>
        <w:tc>
          <w:tcPr>
            <w:tcW w:w="0" w:type="dxa"/>
            <w:vAlign w:val="bottom"/>
          </w:tcPr>
          <w:p>
            <w:pPr>
              <w:spacing w:after="0"/>
              <w:rPr>
                <w:sz w:val="1"/>
                <w:szCs w:val="1"/>
                <w:color w:val="auto"/>
              </w:rPr>
            </w:pPr>
          </w:p>
        </w:tc>
      </w:tr>
      <w:tr>
        <w:trPr>
          <w:trHeight w:val="173"/>
        </w:trPr>
        <w:tc>
          <w:tcPr>
            <w:tcW w:w="4540" w:type="dxa"/>
            <w:vAlign w:val="bottom"/>
            <w:vMerge w:val="restart"/>
          </w:tcPr>
          <w:p>
            <w:pPr>
              <w:ind w:left="720"/>
              <w:spacing w:after="0"/>
              <w:rPr>
                <w:sz w:val="20"/>
                <w:szCs w:val="20"/>
                <w:color w:val="auto"/>
              </w:rPr>
            </w:pPr>
            <w:r>
              <w:rPr>
                <w:rFonts w:ascii="Courier New" w:cs="Courier New" w:eastAsia="Courier New" w:hAnsi="Courier New"/>
                <w:sz w:val="15"/>
                <w:szCs w:val="15"/>
                <w:color w:val="auto"/>
              </w:rPr>
              <w:t>Total current liabilities</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540" w:type="dxa"/>
            <w:vAlign w:val="bottom"/>
            <w:vMerge w:val="continue"/>
          </w:tcPr>
          <w:p>
            <w:pPr>
              <w:spacing w:after="0"/>
              <w:rPr>
                <w:sz w:val="15"/>
                <w:szCs w:val="15"/>
                <w:color w:val="auto"/>
              </w:rPr>
            </w:pP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64,462</w:t>
            </w:r>
          </w:p>
        </w:tc>
        <w:tc>
          <w:tcPr>
            <w:tcW w:w="32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51,210</w:t>
            </w:r>
          </w:p>
        </w:tc>
        <w:tc>
          <w:tcPr>
            <w:tcW w:w="0" w:type="dxa"/>
            <w:vAlign w:val="bottom"/>
          </w:tcPr>
          <w:p>
            <w:pPr>
              <w:spacing w:after="0"/>
              <w:rPr>
                <w:sz w:val="1"/>
                <w:szCs w:val="1"/>
                <w:color w:val="auto"/>
              </w:rPr>
            </w:pPr>
          </w:p>
        </w:tc>
      </w:tr>
      <w:tr>
        <w:trPr>
          <w:trHeight w:val="173"/>
        </w:trPr>
        <w:tc>
          <w:tcPr>
            <w:tcW w:w="4540" w:type="dxa"/>
            <w:vAlign w:val="bottom"/>
            <w:vMerge w:val="restart"/>
          </w:tcPr>
          <w:p>
            <w:pPr>
              <w:spacing w:after="0"/>
              <w:rPr>
                <w:sz w:val="20"/>
                <w:szCs w:val="20"/>
                <w:color w:val="auto"/>
              </w:rPr>
            </w:pPr>
            <w:r>
              <w:rPr>
                <w:rFonts w:ascii="Courier New" w:cs="Courier New" w:eastAsia="Courier New" w:hAnsi="Courier New"/>
                <w:sz w:val="15"/>
                <w:szCs w:val="15"/>
                <w:color w:val="auto"/>
              </w:rPr>
              <w:t>LONG-TERM DEBT</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540" w:type="dxa"/>
            <w:vAlign w:val="bottom"/>
            <w:vMerge w:val="continue"/>
          </w:tcPr>
          <w:p>
            <w:pPr>
              <w:spacing w:after="0"/>
              <w:rPr>
                <w:sz w:val="15"/>
                <w:szCs w:val="15"/>
                <w:color w:val="auto"/>
              </w:rPr>
            </w:pP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1,692</w:t>
            </w:r>
          </w:p>
        </w:tc>
        <w:tc>
          <w:tcPr>
            <w:tcW w:w="32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3,810</w:t>
            </w:r>
          </w:p>
        </w:tc>
        <w:tc>
          <w:tcPr>
            <w:tcW w:w="0" w:type="dxa"/>
            <w:vAlign w:val="bottom"/>
          </w:tcPr>
          <w:p>
            <w:pPr>
              <w:spacing w:after="0"/>
              <w:rPr>
                <w:sz w:val="1"/>
                <w:szCs w:val="1"/>
                <w:color w:val="auto"/>
              </w:rPr>
            </w:pPr>
          </w:p>
        </w:tc>
      </w:tr>
      <w:tr>
        <w:trPr>
          <w:trHeight w:val="255"/>
        </w:trPr>
        <w:tc>
          <w:tcPr>
            <w:tcW w:w="4540" w:type="dxa"/>
            <w:vAlign w:val="bottom"/>
            <w:vMerge w:val="restart"/>
          </w:tcPr>
          <w:p>
            <w:pPr>
              <w:spacing w:after="0"/>
              <w:rPr>
                <w:sz w:val="20"/>
                <w:szCs w:val="20"/>
                <w:color w:val="auto"/>
              </w:rPr>
            </w:pPr>
            <w:r>
              <w:rPr>
                <w:rFonts w:ascii="Courier New" w:cs="Courier New" w:eastAsia="Courier New" w:hAnsi="Courier New"/>
                <w:sz w:val="15"/>
                <w:szCs w:val="15"/>
                <w:color w:val="auto"/>
              </w:rPr>
              <w:t>POSTRETIREMENT HEALTH CARE AND DEFERRED</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540" w:type="dxa"/>
            <w:vAlign w:val="bottom"/>
            <w:vMerge w:val="continue"/>
          </w:tcPr>
          <w:p>
            <w:pPr>
              <w:spacing w:after="0"/>
              <w:rPr>
                <w:sz w:val="7"/>
                <w:szCs w:val="7"/>
                <w:color w:val="auto"/>
              </w:rPr>
            </w:pPr>
          </w:p>
        </w:tc>
        <w:tc>
          <w:tcPr>
            <w:tcW w:w="172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46,937</w:t>
            </w:r>
          </w:p>
        </w:tc>
        <w:tc>
          <w:tcPr>
            <w:tcW w:w="320" w:type="dxa"/>
            <w:vAlign w:val="bottom"/>
          </w:tcPr>
          <w:p>
            <w:pPr>
              <w:spacing w:after="0"/>
              <w:rPr>
                <w:sz w:val="7"/>
                <w:szCs w:val="7"/>
                <w:color w:val="auto"/>
              </w:rPr>
            </w:pPr>
          </w:p>
        </w:tc>
        <w:tc>
          <w:tcPr>
            <w:tcW w:w="116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45,092</w:t>
            </w:r>
          </w:p>
        </w:tc>
        <w:tc>
          <w:tcPr>
            <w:tcW w:w="0" w:type="dxa"/>
            <w:vAlign w:val="bottom"/>
          </w:tcPr>
          <w:p>
            <w:pPr>
              <w:spacing w:after="0"/>
              <w:rPr>
                <w:sz w:val="1"/>
                <w:szCs w:val="1"/>
                <w:color w:val="auto"/>
              </w:rPr>
            </w:pPr>
          </w:p>
        </w:tc>
      </w:tr>
      <w:tr>
        <w:trPr>
          <w:trHeight w:val="173"/>
        </w:trPr>
        <w:tc>
          <w:tcPr>
            <w:tcW w:w="4540" w:type="dxa"/>
            <w:vAlign w:val="bottom"/>
          </w:tcPr>
          <w:p>
            <w:pPr>
              <w:ind w:left="360"/>
              <w:spacing w:after="0"/>
              <w:rPr>
                <w:sz w:val="20"/>
                <w:szCs w:val="20"/>
                <w:color w:val="auto"/>
              </w:rPr>
            </w:pPr>
            <w:r>
              <w:rPr>
                <w:rFonts w:ascii="Courier New" w:cs="Courier New" w:eastAsia="Courier New" w:hAnsi="Courier New"/>
                <w:sz w:val="15"/>
                <w:szCs w:val="15"/>
                <w:color w:val="auto"/>
              </w:rPr>
              <w:t>COMPENSATION BENEFITS</w:t>
            </w:r>
          </w:p>
        </w:tc>
        <w:tc>
          <w:tcPr>
            <w:tcW w:w="17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540" w:type="dxa"/>
            <w:vAlign w:val="bottom"/>
          </w:tcPr>
          <w:p>
            <w:pPr>
              <w:spacing w:after="0"/>
              <w:rPr>
                <w:sz w:val="22"/>
                <w:szCs w:val="22"/>
                <w:color w:val="auto"/>
              </w:rPr>
            </w:pP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4540" w:type="dxa"/>
            <w:vAlign w:val="bottom"/>
          </w:tcPr>
          <w:p>
            <w:pPr>
              <w:spacing w:after="0"/>
              <w:rPr>
                <w:sz w:val="20"/>
                <w:szCs w:val="20"/>
                <w:color w:val="auto"/>
              </w:rPr>
            </w:pPr>
            <w:r>
              <w:rPr>
                <w:rFonts w:ascii="Courier New" w:cs="Courier New" w:eastAsia="Courier New" w:hAnsi="Courier New"/>
                <w:sz w:val="15"/>
                <w:szCs w:val="15"/>
                <w:color w:val="auto"/>
              </w:rPr>
              <w:t>LONG-TERM LIABILITIES OF DISCONTINUED</w:t>
            </w:r>
          </w:p>
        </w:tc>
        <w:tc>
          <w:tcPr>
            <w:tcW w:w="172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3"/>
                <w:szCs w:val="23"/>
                <w:color w:val="auto"/>
              </w:rPr>
            </w:pPr>
          </w:p>
        </w:tc>
        <w:tc>
          <w:tcPr>
            <w:tcW w:w="116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8,999</w:t>
            </w:r>
          </w:p>
        </w:tc>
        <w:tc>
          <w:tcPr>
            <w:tcW w:w="0" w:type="dxa"/>
            <w:vAlign w:val="bottom"/>
          </w:tcPr>
          <w:p>
            <w:pPr>
              <w:spacing w:after="0"/>
              <w:rPr>
                <w:sz w:val="1"/>
                <w:szCs w:val="1"/>
                <w:color w:val="auto"/>
              </w:rPr>
            </w:pPr>
          </w:p>
        </w:tc>
      </w:tr>
      <w:tr>
        <w:trPr>
          <w:trHeight w:val="255"/>
        </w:trPr>
        <w:tc>
          <w:tcPr>
            <w:tcW w:w="4540" w:type="dxa"/>
            <w:vAlign w:val="bottom"/>
          </w:tcPr>
          <w:p>
            <w:pPr>
              <w:ind w:left="360"/>
              <w:spacing w:after="0"/>
              <w:rPr>
                <w:sz w:val="20"/>
                <w:szCs w:val="20"/>
                <w:color w:val="auto"/>
              </w:rPr>
            </w:pPr>
            <w:r>
              <w:rPr>
                <w:rFonts w:ascii="Courier New" w:cs="Courier New" w:eastAsia="Courier New" w:hAnsi="Courier New"/>
                <w:sz w:val="15"/>
                <w:szCs w:val="15"/>
                <w:color w:val="auto"/>
              </w:rPr>
              <w:t>OPERATIONS</w:t>
            </w:r>
          </w:p>
        </w:tc>
        <w:tc>
          <w:tcPr>
            <w:tcW w:w="172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540" w:type="dxa"/>
            <w:vAlign w:val="bottom"/>
            <w:vMerge w:val="restart"/>
          </w:tcPr>
          <w:p>
            <w:pPr>
              <w:spacing w:after="0"/>
              <w:rPr>
                <w:sz w:val="20"/>
                <w:szCs w:val="20"/>
                <w:color w:val="auto"/>
              </w:rPr>
            </w:pPr>
            <w:r>
              <w:rPr>
                <w:rFonts w:ascii="Courier New" w:cs="Courier New" w:eastAsia="Courier New" w:hAnsi="Courier New"/>
                <w:sz w:val="15"/>
                <w:szCs w:val="15"/>
                <w:color w:val="auto"/>
              </w:rPr>
              <w:t>MINORITY INTEREST IN DISCONTINUED OPERATIONS</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540" w:type="dxa"/>
            <w:vAlign w:val="bottom"/>
            <w:vMerge w:val="continue"/>
          </w:tcPr>
          <w:p>
            <w:pPr>
              <w:spacing w:after="0"/>
              <w:rPr>
                <w:sz w:val="15"/>
                <w:szCs w:val="15"/>
                <w:color w:val="auto"/>
              </w:rPr>
            </w:pP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2,194</w:t>
            </w:r>
          </w:p>
        </w:tc>
        <w:tc>
          <w:tcPr>
            <w:tcW w:w="32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2,071</w:t>
            </w:r>
          </w:p>
        </w:tc>
        <w:tc>
          <w:tcPr>
            <w:tcW w:w="0" w:type="dxa"/>
            <w:vAlign w:val="bottom"/>
          </w:tcPr>
          <w:p>
            <w:pPr>
              <w:spacing w:after="0"/>
              <w:rPr>
                <w:sz w:val="1"/>
                <w:szCs w:val="1"/>
                <w:color w:val="auto"/>
              </w:rPr>
            </w:pPr>
          </w:p>
        </w:tc>
      </w:tr>
      <w:tr>
        <w:trPr>
          <w:trHeight w:val="255"/>
        </w:trPr>
        <w:tc>
          <w:tcPr>
            <w:tcW w:w="4540" w:type="dxa"/>
            <w:vAlign w:val="bottom"/>
            <w:vMerge w:val="restart"/>
          </w:tcPr>
          <w:p>
            <w:pPr>
              <w:spacing w:after="0"/>
              <w:rPr>
                <w:sz w:val="20"/>
                <w:szCs w:val="20"/>
                <w:color w:val="auto"/>
              </w:rPr>
            </w:pPr>
            <w:r>
              <w:rPr>
                <w:rFonts w:ascii="Courier New" w:cs="Courier New" w:eastAsia="Courier New" w:hAnsi="Courier New"/>
                <w:sz w:val="15"/>
                <w:szCs w:val="15"/>
                <w:color w:val="auto"/>
              </w:rPr>
              <w:t>CONTINGENT LIABILITIES AND COMMITMENTS</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54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5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Capital stock common, par value $.50; authorized</w:t>
            </w:r>
          </w:p>
        </w:tc>
        <w:tc>
          <w:tcPr>
            <w:tcW w:w="172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12,920</w:t>
            </w:r>
          </w:p>
        </w:tc>
        <w:tc>
          <w:tcPr>
            <w:tcW w:w="320" w:type="dxa"/>
            <w:vAlign w:val="bottom"/>
          </w:tcPr>
          <w:p>
            <w:pPr>
              <w:spacing w:after="0"/>
              <w:rPr>
                <w:sz w:val="15"/>
                <w:szCs w:val="15"/>
                <w:color w:val="auto"/>
              </w:rPr>
            </w:pPr>
          </w:p>
        </w:tc>
        <w:tc>
          <w:tcPr>
            <w:tcW w:w="116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12,915</w:t>
            </w:r>
          </w:p>
        </w:tc>
        <w:tc>
          <w:tcPr>
            <w:tcW w:w="0" w:type="dxa"/>
            <w:vAlign w:val="bottom"/>
          </w:tcPr>
          <w:p>
            <w:pPr>
              <w:spacing w:after="0"/>
              <w:rPr>
                <w:sz w:val="1"/>
                <w:szCs w:val="1"/>
                <w:color w:val="auto"/>
              </w:rPr>
            </w:pPr>
          </w:p>
        </w:tc>
      </w:tr>
      <w:tr>
        <w:trPr>
          <w:trHeight w:val="173"/>
        </w:trPr>
        <w:tc>
          <w:tcPr>
            <w:tcW w:w="4540" w:type="dxa"/>
            <w:vAlign w:val="bottom"/>
          </w:tcPr>
          <w:p>
            <w:pPr>
              <w:ind w:left="360"/>
              <w:spacing w:after="0"/>
              <w:rPr>
                <w:sz w:val="20"/>
                <w:szCs w:val="20"/>
                <w:color w:val="auto"/>
              </w:rPr>
            </w:pPr>
            <w:r>
              <w:rPr>
                <w:rFonts w:ascii="Courier New" w:cs="Courier New" w:eastAsia="Courier New" w:hAnsi="Courier New"/>
                <w:sz w:val="15"/>
                <w:szCs w:val="15"/>
                <w:color w:val="auto"/>
              </w:rPr>
              <w:t>60,000,000 shares</w:t>
            </w:r>
          </w:p>
        </w:tc>
        <w:tc>
          <w:tcPr>
            <w:tcW w:w="17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23,723</w:t>
            </w:r>
          </w:p>
        </w:tc>
        <w:tc>
          <w:tcPr>
            <w:tcW w:w="32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23,658</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Reinvested earnings</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74,221</w:t>
            </w:r>
          </w:p>
        </w:tc>
        <w:tc>
          <w:tcPr>
            <w:tcW w:w="32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69,440</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540" w:type="dxa"/>
            <w:vAlign w:val="bottom"/>
            <w:vMerge w:val="restart"/>
          </w:tcPr>
          <w:p>
            <w:pPr>
              <w:spacing w:after="0"/>
              <w:rPr>
                <w:sz w:val="20"/>
                <w:szCs w:val="20"/>
                <w:color w:val="auto"/>
              </w:rPr>
            </w:pPr>
            <w:r>
              <w:rPr>
                <w:rFonts w:ascii="Courier New" w:cs="Courier New" w:eastAsia="Courier New" w:hAnsi="Courier New"/>
                <w:sz w:val="15"/>
                <w:szCs w:val="15"/>
                <w:color w:val="auto"/>
              </w:rPr>
              <w:t>Less treasury stock, at cost</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110,864</w:t>
            </w:r>
          </w:p>
        </w:tc>
        <w:tc>
          <w:tcPr>
            <w:tcW w:w="32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5"/>
              </w:rPr>
              <w:t>106,013</w:t>
            </w:r>
          </w:p>
        </w:tc>
        <w:tc>
          <w:tcPr>
            <w:tcW w:w="0" w:type="dxa"/>
            <w:vAlign w:val="bottom"/>
          </w:tcPr>
          <w:p>
            <w:pPr>
              <w:spacing w:after="0"/>
              <w:rPr>
                <w:sz w:val="1"/>
                <w:szCs w:val="1"/>
                <w:color w:val="auto"/>
              </w:rPr>
            </w:pPr>
          </w:p>
        </w:tc>
      </w:tr>
      <w:tr>
        <w:trPr>
          <w:trHeight w:val="173"/>
        </w:trPr>
        <w:tc>
          <w:tcPr>
            <w:tcW w:w="4540" w:type="dxa"/>
            <w:vAlign w:val="bottom"/>
            <w:vMerge w:val="continue"/>
          </w:tcPr>
          <w:p>
            <w:pPr>
              <w:spacing w:after="0"/>
              <w:rPr>
                <w:sz w:val="15"/>
                <w:szCs w:val="15"/>
                <w:color w:val="auto"/>
              </w:rPr>
            </w:pP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5,553</w:t>
            </w:r>
          </w:p>
        </w:tc>
        <w:tc>
          <w:tcPr>
            <w:tcW w:w="32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5,565</w:t>
            </w:r>
          </w:p>
        </w:tc>
        <w:tc>
          <w:tcPr>
            <w:tcW w:w="0" w:type="dxa"/>
            <w:vAlign w:val="bottom"/>
          </w:tcPr>
          <w:p>
            <w:pPr>
              <w:spacing w:after="0"/>
              <w:rPr>
                <w:sz w:val="1"/>
                <w:szCs w:val="1"/>
                <w:color w:val="auto"/>
              </w:rPr>
            </w:pPr>
          </w:p>
        </w:tc>
      </w:tr>
      <w:tr>
        <w:trPr>
          <w:trHeight w:val="173"/>
        </w:trPr>
        <w:tc>
          <w:tcPr>
            <w:tcW w:w="4540" w:type="dxa"/>
            <w:vAlign w:val="bottom"/>
            <w:vMerge w:val="restart"/>
          </w:tcPr>
          <w:p>
            <w:pPr>
              <w:spacing w:after="0"/>
              <w:rPr>
                <w:sz w:val="20"/>
                <w:szCs w:val="20"/>
                <w:color w:val="auto"/>
              </w:rPr>
            </w:pPr>
            <w:r>
              <w:rPr>
                <w:rFonts w:ascii="Courier New" w:cs="Courier New" w:eastAsia="Courier New" w:hAnsi="Courier New"/>
                <w:sz w:val="15"/>
                <w:szCs w:val="15"/>
                <w:color w:val="auto"/>
              </w:rPr>
              <w:t>TOTAL STOCKHOLDERS' EQUITY</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540" w:type="dxa"/>
            <w:vAlign w:val="bottom"/>
            <w:vMerge w:val="continue"/>
          </w:tcPr>
          <w:p>
            <w:pPr>
              <w:spacing w:after="0"/>
              <w:rPr>
                <w:sz w:val="15"/>
                <w:szCs w:val="15"/>
                <w:color w:val="auto"/>
              </w:rPr>
            </w:pP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105,311</w:t>
            </w:r>
          </w:p>
        </w:tc>
        <w:tc>
          <w:tcPr>
            <w:tcW w:w="32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5"/>
              </w:rPr>
              <w:t>100,448</w:t>
            </w:r>
          </w:p>
        </w:tc>
        <w:tc>
          <w:tcPr>
            <w:tcW w:w="0" w:type="dxa"/>
            <w:vAlign w:val="bottom"/>
          </w:tcPr>
          <w:p>
            <w:pPr>
              <w:spacing w:after="0"/>
              <w:rPr>
                <w:sz w:val="1"/>
                <w:szCs w:val="1"/>
                <w:color w:val="auto"/>
              </w:rPr>
            </w:pPr>
          </w:p>
        </w:tc>
      </w:tr>
      <w:tr>
        <w:trPr>
          <w:trHeight w:val="173"/>
        </w:trPr>
        <w:tc>
          <w:tcPr>
            <w:tcW w:w="4540" w:type="dxa"/>
            <w:vAlign w:val="bottom"/>
            <w:vMerge w:val="restart"/>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540" w:type="dxa"/>
            <w:vAlign w:val="bottom"/>
            <w:vMerge w:val="continue"/>
          </w:tcPr>
          <w:p>
            <w:pPr>
              <w:spacing w:after="0"/>
              <w:rPr>
                <w:sz w:val="15"/>
                <w:szCs w:val="15"/>
                <w:color w:val="auto"/>
              </w:rPr>
            </w:pP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$220,596</w:t>
            </w:r>
          </w:p>
        </w:tc>
        <w:tc>
          <w:tcPr>
            <w:tcW w:w="14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$211,630</w:t>
            </w:r>
          </w:p>
        </w:tc>
        <w:tc>
          <w:tcPr>
            <w:tcW w:w="0" w:type="dxa"/>
            <w:vAlign w:val="bottom"/>
          </w:tcPr>
          <w:p>
            <w:pPr>
              <w:spacing w:after="0"/>
              <w:rPr>
                <w:sz w:val="1"/>
                <w:szCs w:val="1"/>
                <w:color w:val="auto"/>
              </w:rPr>
            </w:pPr>
          </w:p>
        </w:tc>
      </w:tr>
      <w:tr>
        <w:trPr>
          <w:trHeight w:val="255"/>
        </w:trPr>
        <w:tc>
          <w:tcPr>
            <w:tcW w:w="4540" w:type="dxa"/>
            <w:vAlign w:val="bottom"/>
          </w:tcPr>
          <w:p>
            <w:pPr>
              <w:spacing w:after="0"/>
              <w:rPr>
                <w:sz w:val="22"/>
                <w:szCs w:val="22"/>
                <w:color w:val="auto"/>
              </w:rPr>
            </w:pP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72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w:t>
            </w:r>
          </w:p>
        </w:tc>
        <w:tc>
          <w:tcPr>
            <w:tcW w:w="1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720" w:type="dxa"/>
            <w:vAlign w:val="bottom"/>
          </w:tcPr>
          <w:p>
            <w:pPr>
              <w:spacing w:after="0"/>
              <w:rPr>
                <w:sz w:val="23"/>
                <w:szCs w:val="23"/>
                <w:color w:val="auto"/>
              </w:rPr>
            </w:pPr>
          </w:p>
        </w:tc>
        <w:tc>
          <w:tcPr>
            <w:tcW w:w="17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August 31,</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Year Ended</w:t>
            </w:r>
          </w:p>
        </w:tc>
        <w:tc>
          <w:tcPr>
            <w:tcW w:w="12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August 27,</w:t>
            </w:r>
          </w:p>
        </w:tc>
        <w:tc>
          <w:tcPr>
            <w:tcW w:w="0" w:type="dxa"/>
            <w:vAlign w:val="bottom"/>
          </w:tcPr>
          <w:p>
            <w:pPr>
              <w:spacing w:after="0"/>
              <w:rPr>
                <w:sz w:val="1"/>
                <w:szCs w:val="1"/>
                <w:color w:val="auto"/>
              </w:rPr>
            </w:pPr>
          </w:p>
        </w:tc>
      </w:tr>
      <w:tr>
        <w:trPr>
          <w:trHeight w:val="173"/>
        </w:trPr>
        <w:tc>
          <w:tcPr>
            <w:tcW w:w="47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(dollars in thousands, except per share data)</w:t>
            </w:r>
          </w:p>
        </w:tc>
        <w:tc>
          <w:tcPr>
            <w:tcW w:w="1760" w:type="dxa"/>
            <w:vAlign w:val="bottom"/>
            <w:vMerge w:val="continue"/>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August 26,</w:t>
            </w: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20" w:type="dxa"/>
            <w:vAlign w:val="bottom"/>
            <w:vMerge w:val="continue"/>
          </w:tcPr>
          <w:p>
            <w:pPr>
              <w:spacing w:after="0"/>
              <w:rPr>
                <w:sz w:val="15"/>
                <w:szCs w:val="15"/>
                <w:color w:val="auto"/>
              </w:rPr>
            </w:pPr>
          </w:p>
        </w:tc>
        <w:tc>
          <w:tcPr>
            <w:tcW w:w="1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55"/>
        </w:trPr>
        <w:tc>
          <w:tcPr>
            <w:tcW w:w="4720" w:type="dxa"/>
            <w:vAlign w:val="bottom"/>
          </w:tcPr>
          <w:p>
            <w:pPr>
              <w:spacing w:after="0"/>
              <w:rPr>
                <w:sz w:val="22"/>
                <w:szCs w:val="22"/>
                <w:color w:val="auto"/>
              </w:rPr>
            </w:pPr>
          </w:p>
        </w:tc>
        <w:tc>
          <w:tcPr>
            <w:tcW w:w="1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4720" w:type="dxa"/>
            <w:vAlign w:val="bottom"/>
          </w:tcPr>
          <w:p>
            <w:pPr>
              <w:spacing w:after="0"/>
              <w:rPr>
                <w:sz w:val="20"/>
                <w:szCs w:val="20"/>
                <w:color w:val="auto"/>
              </w:rPr>
            </w:pPr>
            <w:r>
              <w:rPr>
                <w:rFonts w:ascii="Courier New" w:cs="Courier New" w:eastAsia="Courier New" w:hAnsi="Courier New"/>
                <w:sz w:val="15"/>
                <w:szCs w:val="15"/>
                <w:color w:val="auto"/>
              </w:rPr>
              <w:t>Continuing Operations</w:t>
            </w:r>
          </w:p>
        </w:tc>
        <w:tc>
          <w:tcPr>
            <w:tcW w:w="17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Revenues</w:t>
            </w:r>
          </w:p>
        </w:tc>
        <w:tc>
          <w:tcPr>
            <w:tcW w:w="17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$ 483,398</w:t>
            </w:r>
          </w:p>
        </w:tc>
        <w:tc>
          <w:tcPr>
            <w:tcW w:w="144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$ 458,909</w:t>
            </w:r>
          </w:p>
        </w:tc>
        <w:tc>
          <w:tcPr>
            <w:tcW w:w="12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$ 432,406</w:t>
            </w:r>
          </w:p>
        </w:tc>
        <w:tc>
          <w:tcPr>
            <w:tcW w:w="0" w:type="dxa"/>
            <w:vAlign w:val="bottom"/>
          </w:tcPr>
          <w:p>
            <w:pPr>
              <w:spacing w:after="0"/>
              <w:rPr>
                <w:sz w:val="1"/>
                <w:szCs w:val="1"/>
                <w:color w:val="auto"/>
              </w:rPr>
            </w:pPr>
          </w:p>
        </w:tc>
      </w:tr>
      <w:tr>
        <w:trPr>
          <w:trHeight w:val="173"/>
        </w:trPr>
        <w:tc>
          <w:tcPr>
            <w:tcW w:w="4720" w:type="dxa"/>
            <w:vAlign w:val="bottom"/>
          </w:tcPr>
          <w:p>
            <w:pPr>
              <w:ind w:left="540"/>
              <w:spacing w:after="0"/>
              <w:rPr>
                <w:sz w:val="20"/>
                <w:szCs w:val="20"/>
                <w:color w:val="auto"/>
              </w:rPr>
            </w:pPr>
            <w:r>
              <w:rPr>
                <w:rFonts w:ascii="Courier New" w:cs="Courier New" w:eastAsia="Courier New" w:hAnsi="Courier New"/>
                <w:sz w:val="15"/>
                <w:szCs w:val="15"/>
                <w:color w:val="auto"/>
              </w:rPr>
              <w:t>Manufactured products</w:t>
            </w:r>
          </w:p>
        </w:tc>
        <w:tc>
          <w:tcPr>
            <w:tcW w:w="17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20" w:type="dxa"/>
            <w:vAlign w:val="bottom"/>
          </w:tcPr>
          <w:p>
            <w:pPr>
              <w:ind w:left="540"/>
              <w:spacing w:after="0"/>
              <w:rPr>
                <w:sz w:val="20"/>
                <w:szCs w:val="20"/>
                <w:color w:val="auto"/>
              </w:rPr>
            </w:pPr>
            <w:r>
              <w:rPr>
                <w:rFonts w:ascii="Courier New" w:cs="Courier New" w:eastAsia="Courier New" w:hAnsi="Courier New"/>
                <w:sz w:val="15"/>
                <w:szCs w:val="15"/>
                <w:color w:val="auto"/>
              </w:rPr>
              <w:t>Finance</w:t>
            </w:r>
          </w:p>
        </w:tc>
        <w:tc>
          <w:tcPr>
            <w:tcW w:w="1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1,406</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1,220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831</w:t>
            </w:r>
          </w:p>
        </w:tc>
        <w:tc>
          <w:tcPr>
            <w:tcW w:w="0" w:type="dxa"/>
            <w:vAlign w:val="bottom"/>
          </w:tcPr>
          <w:p>
            <w:pPr>
              <w:spacing w:after="0"/>
              <w:rPr>
                <w:sz w:val="1"/>
                <w:szCs w:val="1"/>
                <w:color w:val="auto"/>
              </w:rPr>
            </w:pPr>
          </w:p>
        </w:tc>
      </w:tr>
      <w:tr>
        <w:trPr>
          <w:trHeight w:val="173"/>
        </w:trPr>
        <w:tc>
          <w:tcPr>
            <w:tcW w:w="4720" w:type="dxa"/>
            <w:vAlign w:val="bottom"/>
            <w:vMerge w:val="restart"/>
          </w:tcPr>
          <w:p>
            <w:pPr>
              <w:ind w:left="720"/>
              <w:spacing w:after="0"/>
              <w:rPr>
                <w:sz w:val="20"/>
                <w:szCs w:val="20"/>
                <w:color w:val="auto"/>
              </w:rPr>
            </w:pPr>
            <w:r>
              <w:rPr>
                <w:rFonts w:ascii="Courier New" w:cs="Courier New" w:eastAsia="Courier New" w:hAnsi="Courier New"/>
                <w:sz w:val="15"/>
                <w:szCs w:val="15"/>
                <w:color w:val="auto"/>
              </w:rPr>
              <w:t>Total net revenues</w:t>
            </w:r>
          </w:p>
        </w:tc>
        <w:tc>
          <w:tcPr>
            <w:tcW w:w="1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720" w:type="dxa"/>
            <w:vAlign w:val="bottom"/>
            <w:vMerge w:val="continue"/>
          </w:tcPr>
          <w:p>
            <w:pPr>
              <w:spacing w:after="0"/>
              <w:rPr>
                <w:sz w:val="15"/>
                <w:szCs w:val="15"/>
                <w:color w:val="auto"/>
              </w:rPr>
            </w:pPr>
          </w:p>
        </w:tc>
        <w:tc>
          <w:tcPr>
            <w:tcW w:w="1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484,804</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460,129</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433,237</w:t>
            </w:r>
          </w:p>
        </w:tc>
        <w:tc>
          <w:tcPr>
            <w:tcW w:w="0" w:type="dxa"/>
            <w:vAlign w:val="bottom"/>
          </w:tcPr>
          <w:p>
            <w:pPr>
              <w:spacing w:after="0"/>
              <w:rPr>
                <w:sz w:val="1"/>
                <w:szCs w:val="1"/>
                <w:color w:val="auto"/>
              </w:rPr>
            </w:pPr>
          </w:p>
        </w:tc>
      </w:tr>
      <w:tr>
        <w:trPr>
          <w:trHeight w:val="255"/>
        </w:trPr>
        <w:tc>
          <w:tcPr>
            <w:tcW w:w="47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Costs and expenses</w:t>
            </w:r>
          </w:p>
        </w:tc>
        <w:tc>
          <w:tcPr>
            <w:tcW w:w="1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72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720" w:type="dxa"/>
            <w:vAlign w:val="bottom"/>
          </w:tcPr>
          <w:p>
            <w:pPr>
              <w:ind w:left="540"/>
              <w:spacing w:after="0"/>
              <w:rPr>
                <w:sz w:val="20"/>
                <w:szCs w:val="20"/>
                <w:color w:val="auto"/>
              </w:rPr>
            </w:pPr>
            <w:r>
              <w:rPr>
                <w:rFonts w:ascii="Courier New" w:cs="Courier New" w:eastAsia="Courier New" w:hAnsi="Courier New"/>
                <w:sz w:val="15"/>
                <w:szCs w:val="15"/>
                <w:color w:val="auto"/>
              </w:rPr>
              <w:t>Cost of manufactured products</w:t>
            </w:r>
          </w:p>
        </w:tc>
        <w:tc>
          <w:tcPr>
            <w:tcW w:w="1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417,231</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397,870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371,996</w:t>
            </w:r>
          </w:p>
        </w:tc>
        <w:tc>
          <w:tcPr>
            <w:tcW w:w="0" w:type="dxa"/>
            <w:vAlign w:val="bottom"/>
          </w:tcPr>
          <w:p>
            <w:pPr>
              <w:spacing w:after="0"/>
              <w:rPr>
                <w:sz w:val="1"/>
                <w:szCs w:val="1"/>
                <w:color w:val="auto"/>
              </w:rPr>
            </w:pPr>
          </w:p>
        </w:tc>
      </w:tr>
      <w:tr>
        <w:trPr>
          <w:trHeight w:val="173"/>
        </w:trPr>
        <w:tc>
          <w:tcPr>
            <w:tcW w:w="4720" w:type="dxa"/>
            <w:vAlign w:val="bottom"/>
          </w:tcPr>
          <w:p>
            <w:pPr>
              <w:ind w:left="540"/>
              <w:spacing w:after="0"/>
              <w:rPr>
                <w:sz w:val="20"/>
                <w:szCs w:val="20"/>
                <w:color w:val="auto"/>
              </w:rPr>
            </w:pPr>
            <w:r>
              <w:rPr>
                <w:rFonts w:ascii="Courier New" w:cs="Courier New" w:eastAsia="Courier New" w:hAnsi="Courier New"/>
                <w:sz w:val="15"/>
                <w:szCs w:val="15"/>
                <w:color w:val="auto"/>
              </w:rPr>
              <w:t>Selling and delivery</w:t>
            </w:r>
          </w:p>
        </w:tc>
        <w:tc>
          <w:tcPr>
            <w:tcW w:w="1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25,290</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25,416</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25,447</w:t>
            </w:r>
          </w:p>
        </w:tc>
        <w:tc>
          <w:tcPr>
            <w:tcW w:w="0" w:type="dxa"/>
            <w:vAlign w:val="bottom"/>
          </w:tcPr>
          <w:p>
            <w:pPr>
              <w:spacing w:after="0"/>
              <w:rPr>
                <w:sz w:val="1"/>
                <w:szCs w:val="1"/>
                <w:color w:val="auto"/>
              </w:rPr>
            </w:pPr>
          </w:p>
        </w:tc>
      </w:tr>
      <w:tr>
        <w:trPr>
          <w:trHeight w:val="173"/>
        </w:trPr>
        <w:tc>
          <w:tcPr>
            <w:tcW w:w="4720" w:type="dxa"/>
            <w:vAlign w:val="bottom"/>
          </w:tcPr>
          <w:p>
            <w:pPr>
              <w:ind w:left="540"/>
              <w:spacing w:after="0"/>
              <w:rPr>
                <w:sz w:val="20"/>
                <w:szCs w:val="20"/>
                <w:color w:val="auto"/>
              </w:rPr>
            </w:pPr>
            <w:r>
              <w:rPr>
                <w:rFonts w:ascii="Courier New" w:cs="Courier New" w:eastAsia="Courier New" w:hAnsi="Courier New"/>
                <w:sz w:val="15"/>
                <w:szCs w:val="15"/>
                <w:color w:val="auto"/>
              </w:rPr>
              <w:t>General and administrative</w:t>
            </w:r>
          </w:p>
        </w:tc>
        <w:tc>
          <w:tcPr>
            <w:tcW w:w="1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21,574</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18,951</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20,370</w:t>
            </w:r>
          </w:p>
        </w:tc>
        <w:tc>
          <w:tcPr>
            <w:tcW w:w="0" w:type="dxa"/>
            <w:vAlign w:val="bottom"/>
          </w:tcPr>
          <w:p>
            <w:pPr>
              <w:spacing w:after="0"/>
              <w:rPr>
                <w:sz w:val="1"/>
                <w:szCs w:val="1"/>
                <w:color w:val="auto"/>
              </w:rPr>
            </w:pPr>
          </w:p>
        </w:tc>
      </w:tr>
      <w:tr>
        <w:trPr>
          <w:trHeight w:val="173"/>
        </w:trPr>
        <w:tc>
          <w:tcPr>
            <w:tcW w:w="4720" w:type="dxa"/>
            <w:vAlign w:val="bottom"/>
            <w:vMerge w:val="restart"/>
          </w:tcPr>
          <w:p>
            <w:pPr>
              <w:ind w:left="720"/>
              <w:spacing w:after="0"/>
              <w:rPr>
                <w:sz w:val="20"/>
                <w:szCs w:val="20"/>
                <w:color w:val="auto"/>
              </w:rPr>
            </w:pPr>
            <w:r>
              <w:rPr>
                <w:rFonts w:ascii="Courier New" w:cs="Courier New" w:eastAsia="Courier New" w:hAnsi="Courier New"/>
                <w:sz w:val="15"/>
                <w:szCs w:val="15"/>
                <w:color w:val="auto"/>
              </w:rPr>
              <w:t>Total costs and expenses</w:t>
            </w:r>
          </w:p>
        </w:tc>
        <w:tc>
          <w:tcPr>
            <w:tcW w:w="1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720" w:type="dxa"/>
            <w:vAlign w:val="bottom"/>
            <w:vMerge w:val="continue"/>
          </w:tcPr>
          <w:p>
            <w:pPr>
              <w:spacing w:after="0"/>
              <w:rPr>
                <w:sz w:val="15"/>
                <w:szCs w:val="15"/>
                <w:color w:val="auto"/>
              </w:rPr>
            </w:pPr>
          </w:p>
        </w:tc>
        <w:tc>
          <w:tcPr>
            <w:tcW w:w="1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464,095</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442,237</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417,813</w:t>
            </w:r>
          </w:p>
        </w:tc>
        <w:tc>
          <w:tcPr>
            <w:tcW w:w="0" w:type="dxa"/>
            <w:vAlign w:val="bottom"/>
          </w:tcPr>
          <w:p>
            <w:pPr>
              <w:spacing w:after="0"/>
              <w:rPr>
                <w:sz w:val="1"/>
                <w:szCs w:val="1"/>
                <w:color w:val="auto"/>
              </w:rPr>
            </w:pPr>
          </w:p>
        </w:tc>
      </w:tr>
      <w:tr>
        <w:trPr>
          <w:trHeight w:val="173"/>
        </w:trPr>
        <w:tc>
          <w:tcPr>
            <w:tcW w:w="4720" w:type="dxa"/>
            <w:vAlign w:val="bottom"/>
            <w:vMerge w:val="restart"/>
          </w:tcPr>
          <w:p>
            <w:pPr>
              <w:ind w:left="720"/>
              <w:spacing w:after="0"/>
              <w:rPr>
                <w:sz w:val="20"/>
                <w:szCs w:val="20"/>
                <w:color w:val="auto"/>
              </w:rPr>
            </w:pPr>
            <w:r>
              <w:rPr>
                <w:rFonts w:ascii="Courier New" w:cs="Courier New" w:eastAsia="Courier New" w:hAnsi="Courier New"/>
                <w:sz w:val="15"/>
                <w:szCs w:val="15"/>
                <w:color w:val="auto"/>
              </w:rPr>
              <w:t>Operating income</w:t>
            </w:r>
          </w:p>
        </w:tc>
        <w:tc>
          <w:tcPr>
            <w:tcW w:w="1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720" w:type="dxa"/>
            <w:vAlign w:val="bottom"/>
            <w:vMerge w:val="continue"/>
          </w:tcPr>
          <w:p>
            <w:pPr>
              <w:spacing w:after="0"/>
              <w:rPr>
                <w:sz w:val="15"/>
                <w:szCs w:val="15"/>
                <w:color w:val="auto"/>
              </w:rPr>
            </w:pPr>
          </w:p>
        </w:tc>
        <w:tc>
          <w:tcPr>
            <w:tcW w:w="1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20,709</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17,892</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15,424</w:t>
            </w:r>
          </w:p>
        </w:tc>
        <w:tc>
          <w:tcPr>
            <w:tcW w:w="0" w:type="dxa"/>
            <w:vAlign w:val="bottom"/>
          </w:tcPr>
          <w:p>
            <w:pPr>
              <w:spacing w:after="0"/>
              <w:rPr>
                <w:sz w:val="1"/>
                <w:szCs w:val="1"/>
                <w:color w:val="auto"/>
              </w:rPr>
            </w:pPr>
          </w:p>
        </w:tc>
      </w:tr>
      <w:tr>
        <w:trPr>
          <w:trHeight w:val="173"/>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Financial income (expense)</w:t>
            </w:r>
          </w:p>
        </w:tc>
        <w:tc>
          <w:tcPr>
            <w:tcW w:w="1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354</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2,114</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c>
          <w:tcPr>
            <w:tcW w:w="0" w:type="dxa"/>
            <w:vAlign w:val="bottom"/>
          </w:tcPr>
          <w:p>
            <w:pPr>
              <w:spacing w:after="0"/>
              <w:rPr>
                <w:sz w:val="1"/>
                <w:szCs w:val="1"/>
                <w:color w:val="auto"/>
              </w:rPr>
            </w:pPr>
          </w:p>
        </w:tc>
      </w:tr>
      <w:tr>
        <w:trPr>
          <w:trHeight w:val="255"/>
        </w:trPr>
        <w:tc>
          <w:tcPr>
            <w:tcW w:w="47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Income from continuing operations before</w:t>
            </w:r>
          </w:p>
        </w:tc>
        <w:tc>
          <w:tcPr>
            <w:tcW w:w="1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720" w:type="dxa"/>
            <w:vAlign w:val="bottom"/>
            <w:vMerge w:val="continue"/>
          </w:tcPr>
          <w:p>
            <w:pPr>
              <w:spacing w:after="0"/>
              <w:rPr>
                <w:sz w:val="7"/>
                <w:szCs w:val="7"/>
                <w:color w:val="auto"/>
              </w:rPr>
            </w:pPr>
          </w:p>
        </w:tc>
        <w:tc>
          <w:tcPr>
            <w:tcW w:w="17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21,063</w:t>
            </w:r>
          </w:p>
        </w:tc>
        <w:tc>
          <w:tcPr>
            <w:tcW w:w="144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20,006</w:t>
            </w:r>
          </w:p>
        </w:tc>
        <w:tc>
          <w:tcPr>
            <w:tcW w:w="12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15,264</w:t>
            </w:r>
          </w:p>
        </w:tc>
        <w:tc>
          <w:tcPr>
            <w:tcW w:w="0" w:type="dxa"/>
            <w:vAlign w:val="bottom"/>
          </w:tcPr>
          <w:p>
            <w:pPr>
              <w:spacing w:after="0"/>
              <w:rPr>
                <w:sz w:val="1"/>
                <w:szCs w:val="1"/>
                <w:color w:val="auto"/>
              </w:rPr>
            </w:pPr>
          </w:p>
        </w:tc>
      </w:tr>
      <w:tr>
        <w:trPr>
          <w:trHeight w:val="255"/>
        </w:trPr>
        <w:tc>
          <w:tcPr>
            <w:tcW w:w="4720" w:type="dxa"/>
            <w:vAlign w:val="bottom"/>
          </w:tcPr>
          <w:p>
            <w:pPr>
              <w:ind w:left="540"/>
              <w:spacing w:after="0"/>
              <w:rPr>
                <w:sz w:val="20"/>
                <w:szCs w:val="20"/>
                <w:color w:val="auto"/>
              </w:rPr>
            </w:pPr>
            <w:r>
              <w:rPr>
                <w:rFonts w:ascii="Courier New" w:cs="Courier New" w:eastAsia="Courier New" w:hAnsi="Courier New"/>
                <w:sz w:val="15"/>
                <w:szCs w:val="15"/>
                <w:color w:val="auto"/>
              </w:rPr>
              <w:t>income taxes</w:t>
            </w:r>
          </w:p>
        </w:tc>
        <w:tc>
          <w:tcPr>
            <w:tcW w:w="1760" w:type="dxa"/>
            <w:vAlign w:val="bottom"/>
            <w:vMerge w:val="continue"/>
          </w:tcPr>
          <w:p>
            <w:pPr>
              <w:spacing w:after="0"/>
              <w:rPr>
                <w:sz w:val="22"/>
                <w:szCs w:val="22"/>
                <w:color w:val="auto"/>
              </w:rPr>
            </w:pPr>
          </w:p>
        </w:tc>
        <w:tc>
          <w:tcPr>
            <w:tcW w:w="1440" w:type="dxa"/>
            <w:vAlign w:val="bottom"/>
            <w:vMerge w:val="continue"/>
          </w:tcPr>
          <w:p>
            <w:pPr>
              <w:spacing w:after="0"/>
              <w:rPr>
                <w:sz w:val="22"/>
                <w:szCs w:val="22"/>
                <w:color w:val="auto"/>
              </w:rPr>
            </w:pPr>
          </w:p>
        </w:tc>
        <w:tc>
          <w:tcPr>
            <w:tcW w:w="1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ectPr>
          <w:pgSz w:w="11900" w:h="16867" w:orient="portrait"/>
          <w:cols w:equalWidth="0" w:num="1">
            <w:col w:w="10219"/>
          </w:cols>
          <w:pgMar w:left="240" w:top="460" w:right="1440" w:bottom="0" w:gutter="0" w:footer="0" w:header="0"/>
        </w:sectPr>
      </w:pPr>
    </w:p>
    <w:bookmarkStart w:id="58" w:name="page59"/>
    <w:bookmarkEnd w:id="58"/>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rPr>
              <w:t>Provision (credit) for taxes</w:t>
            </w:r>
          </w:p>
        </w:tc>
        <w:tc>
          <w:tcPr>
            <w:tcW w:w="44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6,639</w:t>
            </w:r>
          </w:p>
        </w:tc>
        <w:tc>
          <w:tcPr>
            <w:tcW w:w="44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(7,912)</w:t>
            </w: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(1,312)</w:t>
            </w:r>
          </w:p>
        </w:tc>
        <w:tc>
          <w:tcPr>
            <w:tcW w:w="0" w:type="dxa"/>
            <w:vAlign w:val="bottom"/>
          </w:tcPr>
          <w:p>
            <w:pPr>
              <w:spacing w:after="0"/>
              <w:rPr>
                <w:sz w:val="1"/>
                <w:szCs w:val="1"/>
                <w:color w:val="auto"/>
              </w:rPr>
            </w:pPr>
          </w:p>
        </w:tc>
      </w:tr>
      <w:tr>
        <w:trPr>
          <w:trHeight w:val="255"/>
        </w:trPr>
        <w:tc>
          <w:tcPr>
            <w:tcW w:w="5140" w:type="dxa"/>
            <w:vAlign w:val="bottom"/>
            <w:vMerge w:val="restart"/>
          </w:tcPr>
          <w:p>
            <w:pPr>
              <w:spacing w:after="0"/>
              <w:rPr>
                <w:sz w:val="20"/>
                <w:szCs w:val="20"/>
                <w:color w:val="auto"/>
              </w:rPr>
            </w:pPr>
            <w:r>
              <w:rPr>
                <w:rFonts w:ascii="Courier New" w:cs="Courier New" w:eastAsia="Courier New" w:hAnsi="Courier New"/>
                <w:sz w:val="15"/>
                <w:szCs w:val="15"/>
                <w:color w:val="auto"/>
              </w:rPr>
              <w:t>Income from continuing operations before</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1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14,424</w:t>
            </w:r>
          </w:p>
        </w:tc>
        <w:tc>
          <w:tcPr>
            <w:tcW w:w="440" w:type="dxa"/>
            <w:vAlign w:val="bottom"/>
          </w:tcPr>
          <w:p>
            <w:pPr>
              <w:spacing w:after="0"/>
              <w:rPr>
                <w:sz w:val="7"/>
                <w:szCs w:val="7"/>
                <w:color w:val="auto"/>
              </w:rPr>
            </w:pPr>
          </w:p>
        </w:tc>
        <w:tc>
          <w:tcPr>
            <w:tcW w:w="10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27,918</w:t>
            </w:r>
          </w:p>
        </w:tc>
        <w:tc>
          <w:tcPr>
            <w:tcW w:w="400" w:type="dxa"/>
            <w:vAlign w:val="bottom"/>
          </w:tcPr>
          <w:p>
            <w:pPr>
              <w:spacing w:after="0"/>
              <w:rPr>
                <w:sz w:val="7"/>
                <w:szCs w:val="7"/>
                <w:color w:val="auto"/>
              </w:rPr>
            </w:pPr>
          </w:p>
        </w:tc>
        <w:tc>
          <w:tcPr>
            <w:tcW w:w="7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16,576</w:t>
            </w:r>
          </w:p>
        </w:tc>
        <w:tc>
          <w:tcPr>
            <w:tcW w:w="0" w:type="dxa"/>
            <w:vAlign w:val="bottom"/>
          </w:tcPr>
          <w:p>
            <w:pPr>
              <w:spacing w:after="0"/>
              <w:rPr>
                <w:sz w:val="1"/>
                <w:szCs w:val="1"/>
                <w:color w:val="auto"/>
              </w:rPr>
            </w:pPr>
          </w:p>
        </w:tc>
      </w:tr>
      <w:tr>
        <w:trPr>
          <w:trHeight w:val="173"/>
        </w:trPr>
        <w:tc>
          <w:tcPr>
            <w:tcW w:w="5140" w:type="dxa"/>
            <w:vAlign w:val="bottom"/>
          </w:tcPr>
          <w:p>
            <w:pPr>
              <w:ind w:left="360"/>
              <w:spacing w:after="0"/>
              <w:rPr>
                <w:sz w:val="20"/>
                <w:szCs w:val="20"/>
                <w:color w:val="auto"/>
              </w:rPr>
            </w:pPr>
            <w:r>
              <w:rPr>
                <w:rFonts w:ascii="Courier New" w:cs="Courier New" w:eastAsia="Courier New" w:hAnsi="Courier New"/>
                <w:sz w:val="15"/>
                <w:szCs w:val="15"/>
                <w:color w:val="auto"/>
              </w:rPr>
              <w:t>cumulative effect of accounting change</w:t>
            </w:r>
          </w:p>
        </w:tc>
        <w:tc>
          <w:tcPr>
            <w:tcW w:w="4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140" w:type="dxa"/>
            <w:vAlign w:val="bottom"/>
          </w:tcPr>
          <w:p>
            <w:pPr>
              <w:ind w:left="360"/>
              <w:spacing w:after="0"/>
              <w:rPr>
                <w:sz w:val="20"/>
                <w:szCs w:val="20"/>
                <w:color w:val="auto"/>
              </w:rPr>
            </w:pPr>
            <w:r>
              <w:rPr>
                <w:rFonts w:ascii="Courier New" w:cs="Courier New" w:eastAsia="Courier New" w:hAnsi="Courier New"/>
                <w:sz w:val="15"/>
                <w:szCs w:val="15"/>
                <w:color w:val="auto"/>
              </w:rPr>
              <w:t>Income (loss) from operations of</w:t>
            </w: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140" w:type="dxa"/>
            <w:vAlign w:val="bottom"/>
          </w:tcPr>
          <w:p>
            <w:pPr>
              <w:ind w:left="720"/>
              <w:spacing w:after="0"/>
              <w:rPr>
                <w:sz w:val="20"/>
                <w:szCs w:val="20"/>
                <w:color w:val="auto"/>
              </w:rPr>
            </w:pPr>
            <w:r>
              <w:rPr>
                <w:rFonts w:ascii="Courier New" w:cs="Courier New" w:eastAsia="Courier New" w:hAnsi="Courier New"/>
                <w:sz w:val="15"/>
                <w:szCs w:val="15"/>
                <w:color w:val="auto"/>
              </w:rPr>
              <w:t>discontinued Cycle-Sat subsidiary (less</w:t>
            </w: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140" w:type="dxa"/>
            <w:vAlign w:val="bottom"/>
          </w:tcPr>
          <w:p>
            <w:pPr>
              <w:ind w:left="720"/>
              <w:spacing w:after="0"/>
              <w:rPr>
                <w:sz w:val="20"/>
                <w:szCs w:val="20"/>
                <w:color w:val="auto"/>
              </w:rPr>
            </w:pPr>
            <w:r>
              <w:rPr>
                <w:rFonts w:ascii="Courier New" w:cs="Courier New" w:eastAsia="Courier New" w:hAnsi="Courier New"/>
                <w:sz w:val="15"/>
                <w:szCs w:val="15"/>
                <w:color w:val="auto"/>
              </w:rPr>
              <w:t>applicable income tax provisions and (credits)</w:t>
            </w:r>
          </w:p>
        </w:tc>
        <w:tc>
          <w:tcPr>
            <w:tcW w:w="440" w:type="dxa"/>
            <w:vAlign w:val="bottom"/>
          </w:tcPr>
          <w:p>
            <w:pPr>
              <w:spacing w:after="0"/>
              <w:rPr>
                <w:sz w:val="15"/>
                <w:szCs w:val="15"/>
                <w:color w:val="auto"/>
              </w:rPr>
            </w:pPr>
          </w:p>
        </w:tc>
        <w:tc>
          <w:tcPr>
            <w:tcW w:w="10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593</w:t>
            </w:r>
          </w:p>
        </w:tc>
        <w:tc>
          <w:tcPr>
            <w:tcW w:w="440" w:type="dxa"/>
            <w:vAlign w:val="bottom"/>
          </w:tcPr>
          <w:p>
            <w:pPr>
              <w:spacing w:after="0"/>
              <w:rPr>
                <w:sz w:val="15"/>
                <w:szCs w:val="15"/>
                <w:color w:val="auto"/>
              </w:rPr>
            </w:pPr>
          </w:p>
        </w:tc>
        <w:tc>
          <w:tcPr>
            <w:tcW w:w="10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(162)</w:t>
            </w:r>
          </w:p>
        </w:tc>
        <w:tc>
          <w:tcPr>
            <w:tcW w:w="400" w:type="dxa"/>
            <w:vAlign w:val="bottom"/>
          </w:tcPr>
          <w:p>
            <w:pPr>
              <w:spacing w:after="0"/>
              <w:rPr>
                <w:sz w:val="15"/>
                <w:szCs w:val="15"/>
                <w:color w:val="auto"/>
              </w:rPr>
            </w:pPr>
          </w:p>
        </w:tc>
        <w:tc>
          <w:tcPr>
            <w:tcW w:w="7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869</w:t>
            </w:r>
          </w:p>
        </w:tc>
        <w:tc>
          <w:tcPr>
            <w:tcW w:w="0" w:type="dxa"/>
            <w:vAlign w:val="bottom"/>
          </w:tcPr>
          <w:p>
            <w:pPr>
              <w:spacing w:after="0"/>
              <w:rPr>
                <w:sz w:val="1"/>
                <w:szCs w:val="1"/>
                <w:color w:val="auto"/>
              </w:rPr>
            </w:pPr>
          </w:p>
        </w:tc>
      </w:tr>
      <w:tr>
        <w:trPr>
          <w:trHeight w:val="173"/>
        </w:trPr>
        <w:tc>
          <w:tcPr>
            <w:tcW w:w="5140" w:type="dxa"/>
            <w:vAlign w:val="bottom"/>
          </w:tcPr>
          <w:p>
            <w:pPr>
              <w:ind w:left="720"/>
              <w:spacing w:after="0"/>
              <w:rPr>
                <w:sz w:val="20"/>
                <w:szCs w:val="20"/>
                <w:color w:val="auto"/>
              </w:rPr>
            </w:pPr>
            <w:r>
              <w:rPr>
                <w:rFonts w:ascii="Courier New" w:cs="Courier New" w:eastAsia="Courier New" w:hAnsi="Courier New"/>
                <w:sz w:val="15"/>
                <w:szCs w:val="15"/>
                <w:color w:val="auto"/>
              </w:rPr>
              <w:t>of $261, ($88) and $0, respectively)</w:t>
            </w:r>
          </w:p>
        </w:tc>
        <w:tc>
          <w:tcPr>
            <w:tcW w:w="4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140" w:type="dxa"/>
            <w:vAlign w:val="bottom"/>
          </w:tcPr>
          <w:p>
            <w:pPr>
              <w:ind w:left="360"/>
              <w:spacing w:after="0"/>
              <w:rPr>
                <w:sz w:val="20"/>
                <w:szCs w:val="20"/>
                <w:color w:val="auto"/>
              </w:rPr>
            </w:pPr>
            <w:r>
              <w:rPr>
                <w:rFonts w:ascii="Courier New" w:cs="Courier New" w:eastAsia="Courier New" w:hAnsi="Courier New"/>
                <w:sz w:val="15"/>
                <w:szCs w:val="15"/>
                <w:color w:val="auto"/>
              </w:rPr>
              <w:t>Loss on disposal of electronic component</w:t>
            </w: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140" w:type="dxa"/>
            <w:vAlign w:val="bottom"/>
          </w:tcPr>
          <w:p>
            <w:pPr>
              <w:ind w:left="720"/>
              <w:spacing w:after="0"/>
              <w:rPr>
                <w:sz w:val="20"/>
                <w:szCs w:val="20"/>
                <w:color w:val="auto"/>
              </w:rPr>
            </w:pPr>
            <w:r>
              <w:rPr>
                <w:rFonts w:ascii="Courier New" w:cs="Courier New" w:eastAsia="Courier New" w:hAnsi="Courier New"/>
                <w:sz w:val="15"/>
                <w:szCs w:val="15"/>
                <w:color w:val="auto"/>
              </w:rPr>
              <w:t>assembly segment (less applicable income</w:t>
            </w:r>
          </w:p>
        </w:tc>
        <w:tc>
          <w:tcPr>
            <w:tcW w:w="440" w:type="dxa"/>
            <w:vAlign w:val="bottom"/>
          </w:tcPr>
          <w:p>
            <w:pPr>
              <w:spacing w:after="0"/>
              <w:rPr>
                <w:sz w:val="15"/>
                <w:szCs w:val="15"/>
                <w:color w:val="auto"/>
              </w:rPr>
            </w:pPr>
          </w:p>
        </w:tc>
        <w:tc>
          <w:tcPr>
            <w:tcW w:w="10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(2,632)</w:t>
            </w:r>
          </w:p>
        </w:tc>
        <w:tc>
          <w:tcPr>
            <w:tcW w:w="440" w:type="dxa"/>
            <w:vAlign w:val="bottom"/>
          </w:tcPr>
          <w:p>
            <w:pPr>
              <w:spacing w:after="0"/>
              <w:rPr>
                <w:sz w:val="15"/>
                <w:szCs w:val="15"/>
                <w:color w:val="auto"/>
              </w:rPr>
            </w:pPr>
          </w:p>
        </w:tc>
        <w:tc>
          <w:tcPr>
            <w:tcW w:w="10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7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5140" w:type="dxa"/>
            <w:vAlign w:val="bottom"/>
          </w:tcPr>
          <w:p>
            <w:pPr>
              <w:ind w:left="720"/>
              <w:spacing w:after="0"/>
              <w:rPr>
                <w:sz w:val="20"/>
                <w:szCs w:val="20"/>
                <w:color w:val="auto"/>
              </w:rPr>
            </w:pPr>
            <w:r>
              <w:rPr>
                <w:rFonts w:ascii="Courier New" w:cs="Courier New" w:eastAsia="Courier New" w:hAnsi="Courier New"/>
                <w:sz w:val="15"/>
                <w:szCs w:val="15"/>
                <w:color w:val="auto"/>
              </w:rPr>
              <w:t>tax credits of $1,157)</w:t>
            </w:r>
          </w:p>
        </w:tc>
        <w:tc>
          <w:tcPr>
            <w:tcW w:w="4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14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cumulative effect of</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1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12,385</w:t>
            </w:r>
          </w:p>
        </w:tc>
        <w:tc>
          <w:tcPr>
            <w:tcW w:w="440" w:type="dxa"/>
            <w:vAlign w:val="bottom"/>
          </w:tcPr>
          <w:p>
            <w:pPr>
              <w:spacing w:after="0"/>
              <w:rPr>
                <w:sz w:val="7"/>
                <w:szCs w:val="7"/>
                <w:color w:val="auto"/>
              </w:rPr>
            </w:pPr>
          </w:p>
        </w:tc>
        <w:tc>
          <w:tcPr>
            <w:tcW w:w="10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27,756</w:t>
            </w:r>
          </w:p>
        </w:tc>
        <w:tc>
          <w:tcPr>
            <w:tcW w:w="400" w:type="dxa"/>
            <w:vAlign w:val="bottom"/>
          </w:tcPr>
          <w:p>
            <w:pPr>
              <w:spacing w:after="0"/>
              <w:rPr>
                <w:sz w:val="7"/>
                <w:szCs w:val="7"/>
                <w:color w:val="auto"/>
              </w:rPr>
            </w:pPr>
          </w:p>
        </w:tc>
        <w:tc>
          <w:tcPr>
            <w:tcW w:w="7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17,445</w:t>
            </w:r>
          </w:p>
        </w:tc>
        <w:tc>
          <w:tcPr>
            <w:tcW w:w="0" w:type="dxa"/>
            <w:vAlign w:val="bottom"/>
          </w:tcPr>
          <w:p>
            <w:pPr>
              <w:spacing w:after="0"/>
              <w:rPr>
                <w:sz w:val="1"/>
                <w:szCs w:val="1"/>
                <w:color w:val="auto"/>
              </w:rPr>
            </w:pPr>
          </w:p>
        </w:tc>
      </w:tr>
      <w:tr>
        <w:trPr>
          <w:trHeight w:val="173"/>
        </w:trPr>
        <w:tc>
          <w:tcPr>
            <w:tcW w:w="5140" w:type="dxa"/>
            <w:vAlign w:val="bottom"/>
          </w:tcPr>
          <w:p>
            <w:pPr>
              <w:ind w:left="360"/>
              <w:spacing w:after="0"/>
              <w:rPr>
                <w:sz w:val="20"/>
                <w:szCs w:val="20"/>
                <w:color w:val="auto"/>
              </w:rPr>
            </w:pPr>
            <w:r>
              <w:rPr>
                <w:rFonts w:ascii="Courier New" w:cs="Courier New" w:eastAsia="Courier New" w:hAnsi="Courier New"/>
                <w:sz w:val="15"/>
                <w:szCs w:val="15"/>
                <w:color w:val="auto"/>
              </w:rPr>
              <w:t>accounting change</w:t>
            </w:r>
          </w:p>
        </w:tc>
        <w:tc>
          <w:tcPr>
            <w:tcW w:w="4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Cumulative effect of accounting change</w:t>
            </w:r>
          </w:p>
        </w:tc>
        <w:tc>
          <w:tcPr>
            <w:tcW w:w="44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(20,420)</w:t>
            </w:r>
          </w:p>
        </w:tc>
        <w:tc>
          <w:tcPr>
            <w:tcW w:w="0" w:type="dxa"/>
            <w:vAlign w:val="bottom"/>
          </w:tcPr>
          <w:p>
            <w:pPr>
              <w:spacing w:after="0"/>
              <w:rPr>
                <w:sz w:val="1"/>
                <w:szCs w:val="1"/>
                <w:color w:val="auto"/>
              </w:rPr>
            </w:pPr>
          </w:p>
        </w:tc>
      </w:tr>
      <w:tr>
        <w:trPr>
          <w:trHeight w:val="173"/>
        </w:trPr>
        <w:tc>
          <w:tcPr>
            <w:tcW w:w="51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5140" w:type="dxa"/>
            <w:vAlign w:val="bottom"/>
            <w:vMerge w:val="continue"/>
          </w:tcPr>
          <w:p>
            <w:pPr>
              <w:spacing w:after="0"/>
              <w:rPr>
                <w:sz w:val="15"/>
                <w:szCs w:val="15"/>
                <w:color w:val="auto"/>
              </w:rPr>
            </w:pP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12,385</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27,756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(2,975)</w:t>
            </w:r>
          </w:p>
        </w:tc>
        <w:tc>
          <w:tcPr>
            <w:tcW w:w="0" w:type="dxa"/>
            <w:vAlign w:val="bottom"/>
          </w:tcPr>
          <w:p>
            <w:pPr>
              <w:spacing w:after="0"/>
              <w:rPr>
                <w:sz w:val="1"/>
                <w:szCs w:val="1"/>
                <w:color w:val="auto"/>
              </w:rPr>
            </w:pPr>
          </w:p>
        </w:tc>
      </w:tr>
      <w:tr>
        <w:trPr>
          <w:trHeight w:val="255"/>
        </w:trPr>
        <w:tc>
          <w:tcPr>
            <w:tcW w:w="514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per share:</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1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5140" w:type="dxa"/>
            <w:vAlign w:val="bottom"/>
          </w:tcPr>
          <w:p>
            <w:pPr>
              <w:ind w:left="360"/>
              <w:spacing w:after="0"/>
              <w:rPr>
                <w:sz w:val="20"/>
                <w:szCs w:val="20"/>
                <w:color w:val="auto"/>
              </w:rPr>
            </w:pPr>
            <w:r>
              <w:rPr>
                <w:rFonts w:ascii="Courier New" w:cs="Courier New" w:eastAsia="Courier New" w:hAnsi="Courier New"/>
                <w:sz w:val="15"/>
                <w:szCs w:val="15"/>
                <w:color w:val="auto"/>
              </w:rPr>
              <w:t>Income from continuing operations before</w:t>
            </w:r>
          </w:p>
        </w:tc>
        <w:tc>
          <w:tcPr>
            <w:tcW w:w="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.57</w:t>
            </w:r>
          </w:p>
        </w:tc>
        <w:tc>
          <w:tcPr>
            <w:tcW w:w="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1.11</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.66</w:t>
            </w:r>
          </w:p>
        </w:tc>
        <w:tc>
          <w:tcPr>
            <w:tcW w:w="0" w:type="dxa"/>
            <w:vAlign w:val="bottom"/>
          </w:tcPr>
          <w:p>
            <w:pPr>
              <w:spacing w:after="0"/>
              <w:rPr>
                <w:sz w:val="1"/>
                <w:szCs w:val="1"/>
                <w:color w:val="auto"/>
              </w:rPr>
            </w:pPr>
          </w:p>
        </w:tc>
      </w:tr>
      <w:tr>
        <w:trPr>
          <w:trHeight w:val="173"/>
        </w:trPr>
        <w:tc>
          <w:tcPr>
            <w:tcW w:w="5140" w:type="dxa"/>
            <w:vAlign w:val="bottom"/>
          </w:tcPr>
          <w:p>
            <w:pPr>
              <w:ind w:left="720"/>
              <w:spacing w:after="0"/>
              <w:rPr>
                <w:sz w:val="20"/>
                <w:szCs w:val="20"/>
                <w:color w:val="auto"/>
              </w:rPr>
            </w:pPr>
            <w:r>
              <w:rPr>
                <w:rFonts w:ascii="Courier New" w:cs="Courier New" w:eastAsia="Courier New" w:hAnsi="Courier New"/>
                <w:sz w:val="15"/>
                <w:szCs w:val="15"/>
                <w:color w:val="auto"/>
              </w:rPr>
              <w:t>cumulative effect of accounting change</w:t>
            </w:r>
          </w:p>
        </w:tc>
        <w:tc>
          <w:tcPr>
            <w:tcW w:w="4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140" w:type="dxa"/>
            <w:vAlign w:val="bottom"/>
          </w:tcPr>
          <w:p>
            <w:pPr>
              <w:ind w:left="360"/>
              <w:spacing w:after="0"/>
              <w:rPr>
                <w:sz w:val="20"/>
                <w:szCs w:val="20"/>
                <w:color w:val="auto"/>
              </w:rPr>
            </w:pPr>
            <w:r>
              <w:rPr>
                <w:rFonts w:ascii="Courier New" w:cs="Courier New" w:eastAsia="Courier New" w:hAnsi="Courier New"/>
                <w:sz w:val="15"/>
                <w:szCs w:val="15"/>
                <w:color w:val="auto"/>
              </w:rPr>
              <w:t>Discontinued operations</w:t>
            </w:r>
          </w:p>
        </w:tc>
        <w:tc>
          <w:tcPr>
            <w:tcW w:w="44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(.08)</w:t>
            </w:r>
          </w:p>
        </w:tc>
        <w:tc>
          <w:tcPr>
            <w:tcW w:w="44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(.01)</w:t>
            </w:r>
          </w:p>
        </w:tc>
        <w:tc>
          <w:tcPr>
            <w:tcW w:w="40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r>
        <w:trPr>
          <w:trHeight w:val="173"/>
        </w:trPr>
        <w:tc>
          <w:tcPr>
            <w:tcW w:w="5140" w:type="dxa"/>
            <w:vAlign w:val="bottom"/>
          </w:tcPr>
          <w:p>
            <w:pPr>
              <w:ind w:left="360"/>
              <w:spacing w:after="0"/>
              <w:rPr>
                <w:sz w:val="20"/>
                <w:szCs w:val="20"/>
                <w:color w:val="auto"/>
              </w:rPr>
            </w:pPr>
            <w:r>
              <w:rPr>
                <w:rFonts w:ascii="Courier New" w:cs="Courier New" w:eastAsia="Courier New" w:hAnsi="Courier New"/>
                <w:sz w:val="15"/>
                <w:szCs w:val="15"/>
                <w:color w:val="auto"/>
              </w:rPr>
              <w:t>Cumulative effect of accounting change</w:t>
            </w:r>
          </w:p>
        </w:tc>
        <w:tc>
          <w:tcPr>
            <w:tcW w:w="44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c>
          <w:tcPr>
            <w:tcW w:w="0" w:type="dxa"/>
            <w:vAlign w:val="bottom"/>
          </w:tcPr>
          <w:p>
            <w:pPr>
              <w:spacing w:after="0"/>
              <w:rPr>
                <w:sz w:val="1"/>
                <w:szCs w:val="1"/>
                <w:color w:val="auto"/>
              </w:rPr>
            </w:pPr>
          </w:p>
        </w:tc>
      </w:tr>
      <w:tr>
        <w:trPr>
          <w:trHeight w:val="173"/>
        </w:trPr>
        <w:tc>
          <w:tcPr>
            <w:tcW w:w="514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Net income (loss)</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5140" w:type="dxa"/>
            <w:vAlign w:val="bottom"/>
            <w:vMerge w:val="continue"/>
          </w:tcPr>
          <w:p>
            <w:pPr>
              <w:spacing w:after="0"/>
              <w:rPr>
                <w:sz w:val="15"/>
                <w:szCs w:val="15"/>
                <w:color w:val="auto"/>
              </w:rPr>
            </w:pP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255"/>
        </w:trPr>
        <w:tc>
          <w:tcPr>
            <w:tcW w:w="5140" w:type="dxa"/>
            <w:vAlign w:val="bottom"/>
            <w:vMerge w:val="restart"/>
          </w:tcPr>
          <w:p>
            <w:pPr>
              <w:spacing w:after="0"/>
              <w:rPr>
                <w:sz w:val="20"/>
                <w:szCs w:val="20"/>
                <w:color w:val="auto"/>
              </w:rPr>
            </w:pPr>
            <w:r>
              <w:rPr>
                <w:rFonts w:ascii="Courier New" w:cs="Courier New" w:eastAsia="Courier New" w:hAnsi="Courier New"/>
                <w:sz w:val="15"/>
                <w:szCs w:val="15"/>
                <w:color w:val="auto"/>
              </w:rPr>
              <w:t>Weighted average number of shares of</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1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25,349</w:t>
            </w:r>
          </w:p>
        </w:tc>
        <w:tc>
          <w:tcPr>
            <w:tcW w:w="440" w:type="dxa"/>
            <w:vAlign w:val="bottom"/>
          </w:tcPr>
          <w:p>
            <w:pPr>
              <w:spacing w:after="0"/>
              <w:rPr>
                <w:sz w:val="7"/>
                <w:szCs w:val="7"/>
                <w:color w:val="auto"/>
              </w:rPr>
            </w:pPr>
          </w:p>
        </w:tc>
        <w:tc>
          <w:tcPr>
            <w:tcW w:w="10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25,286</w:t>
            </w:r>
          </w:p>
        </w:tc>
        <w:tc>
          <w:tcPr>
            <w:tcW w:w="400" w:type="dxa"/>
            <w:vAlign w:val="bottom"/>
          </w:tcPr>
          <w:p>
            <w:pPr>
              <w:spacing w:after="0"/>
              <w:rPr>
                <w:sz w:val="7"/>
                <w:szCs w:val="7"/>
                <w:color w:val="auto"/>
              </w:rPr>
            </w:pPr>
          </w:p>
        </w:tc>
        <w:tc>
          <w:tcPr>
            <w:tcW w:w="7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25,187</w:t>
            </w:r>
          </w:p>
        </w:tc>
        <w:tc>
          <w:tcPr>
            <w:tcW w:w="0" w:type="dxa"/>
            <w:vAlign w:val="bottom"/>
          </w:tcPr>
          <w:p>
            <w:pPr>
              <w:spacing w:after="0"/>
              <w:rPr>
                <w:sz w:val="1"/>
                <w:szCs w:val="1"/>
                <w:color w:val="auto"/>
              </w:rPr>
            </w:pPr>
          </w:p>
        </w:tc>
      </w:tr>
      <w:tr>
        <w:trPr>
          <w:trHeight w:val="255"/>
        </w:trPr>
        <w:tc>
          <w:tcPr>
            <w:tcW w:w="5140" w:type="dxa"/>
            <w:vAlign w:val="bottom"/>
          </w:tcPr>
          <w:p>
            <w:pPr>
              <w:ind w:left="360"/>
              <w:spacing w:after="0"/>
              <w:rPr>
                <w:sz w:val="20"/>
                <w:szCs w:val="20"/>
                <w:color w:val="auto"/>
              </w:rPr>
            </w:pPr>
            <w:r>
              <w:rPr>
                <w:rFonts w:ascii="Courier New" w:cs="Courier New" w:eastAsia="Courier New" w:hAnsi="Courier New"/>
                <w:sz w:val="15"/>
                <w:szCs w:val="15"/>
                <w:color w:val="auto"/>
              </w:rPr>
              <w:t>stock (in thousands)</w:t>
            </w:r>
          </w:p>
        </w:tc>
        <w:tc>
          <w:tcPr>
            <w:tcW w:w="44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9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1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940" w:type="dxa"/>
            <w:vAlign w:val="bottom"/>
          </w:tcPr>
          <w:p>
            <w:pPr>
              <w:spacing w:after="0"/>
              <w:rPr>
                <w:sz w:val="23"/>
                <w:szCs w:val="23"/>
                <w:color w:val="auto"/>
              </w:rPr>
            </w:pPr>
          </w:p>
        </w:tc>
        <w:tc>
          <w:tcPr>
            <w:tcW w:w="132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August 31,</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Year Ended</w:t>
            </w:r>
          </w:p>
        </w:tc>
        <w:tc>
          <w:tcPr>
            <w:tcW w:w="11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August 27,</w:t>
            </w:r>
          </w:p>
        </w:tc>
        <w:tc>
          <w:tcPr>
            <w:tcW w:w="0" w:type="dxa"/>
            <w:vAlign w:val="bottom"/>
          </w:tcPr>
          <w:p>
            <w:pPr>
              <w:spacing w:after="0"/>
              <w:rPr>
                <w:sz w:val="1"/>
                <w:szCs w:val="1"/>
                <w:color w:val="auto"/>
              </w:rPr>
            </w:pPr>
          </w:p>
        </w:tc>
      </w:tr>
      <w:tr>
        <w:trPr>
          <w:trHeight w:val="173"/>
        </w:trPr>
        <w:tc>
          <w:tcPr>
            <w:tcW w:w="594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1320" w:type="dxa"/>
            <w:vAlign w:val="bottom"/>
            <w:vMerge w:val="continue"/>
          </w:tcPr>
          <w:p>
            <w:pPr>
              <w:spacing w:after="0"/>
              <w:rPr>
                <w:sz w:val="15"/>
                <w:szCs w:val="15"/>
                <w:color w:val="auto"/>
              </w:rPr>
            </w:pP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August 26,</w:t>
            </w: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940" w:type="dxa"/>
            <w:vAlign w:val="bottom"/>
            <w:vMerge w:val="continue"/>
          </w:tcPr>
          <w:p>
            <w:pPr>
              <w:spacing w:after="0"/>
              <w:rPr>
                <w:sz w:val="15"/>
                <w:szCs w:val="15"/>
                <w:color w:val="auto"/>
              </w:rPr>
            </w:pP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1996</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1995</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55"/>
        </w:trPr>
        <w:tc>
          <w:tcPr>
            <w:tcW w:w="5940" w:type="dxa"/>
            <w:vAlign w:val="bottom"/>
          </w:tcPr>
          <w:p>
            <w:pPr>
              <w:spacing w:after="0"/>
              <w:rPr>
                <w:sz w:val="22"/>
                <w:szCs w:val="22"/>
                <w:color w:val="auto"/>
              </w:rPr>
            </w:pP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32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$ 12,385</w:t>
            </w:r>
          </w:p>
        </w:tc>
        <w:tc>
          <w:tcPr>
            <w:tcW w:w="13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$ 27,756</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(2,975)</w:t>
            </w:r>
          </w:p>
        </w:tc>
        <w:tc>
          <w:tcPr>
            <w:tcW w:w="0" w:type="dxa"/>
            <w:vAlign w:val="bottom"/>
          </w:tcPr>
          <w:p>
            <w:pPr>
              <w:spacing w:after="0"/>
              <w:rPr>
                <w:sz w:val="1"/>
                <w:szCs w:val="1"/>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Net income (loss)</w:t>
            </w:r>
          </w:p>
        </w:tc>
        <w:tc>
          <w:tcPr>
            <w:tcW w:w="132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94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(loss) to net</w:t>
            </w: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cash from operating activities:</w:t>
            </w:r>
          </w:p>
        </w:tc>
        <w:tc>
          <w:tcPr>
            <w:tcW w:w="132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9,700</w:t>
            </w:r>
          </w:p>
        </w:tc>
        <w:tc>
          <w:tcPr>
            <w:tcW w:w="13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8,863</w:t>
            </w:r>
          </w:p>
        </w:tc>
        <w:tc>
          <w:tcPr>
            <w:tcW w:w="11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7,798</w:t>
            </w:r>
          </w:p>
        </w:tc>
        <w:tc>
          <w:tcPr>
            <w:tcW w:w="0" w:type="dxa"/>
            <w:vAlign w:val="bottom"/>
          </w:tcPr>
          <w:p>
            <w:pPr>
              <w:spacing w:after="0"/>
              <w:rPr>
                <w:sz w:val="1"/>
                <w:szCs w:val="1"/>
                <w:color w:val="auto"/>
              </w:rPr>
            </w:pPr>
          </w:p>
        </w:tc>
      </w:tr>
      <w:tr>
        <w:trPr>
          <w:trHeight w:val="255"/>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Depreciation and amortization</w:t>
            </w:r>
          </w:p>
        </w:tc>
        <w:tc>
          <w:tcPr>
            <w:tcW w:w="132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Loss (gain) on disposal of property, leases and other assets</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503</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959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c>
          <w:tcPr>
            <w:tcW w:w="0" w:type="dxa"/>
            <w:vAlign w:val="bottom"/>
          </w:tcPr>
          <w:p>
            <w:pPr>
              <w:spacing w:after="0"/>
              <w:rPr>
                <w:sz w:val="1"/>
                <w:szCs w:val="1"/>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(Credit) provision for doubtful receivables</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(637)</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(546)</w:t>
            </w:r>
          </w:p>
        </w:tc>
        <w:tc>
          <w:tcPr>
            <w:tcW w:w="0" w:type="dxa"/>
            <w:vAlign w:val="bottom"/>
          </w:tcPr>
          <w:p>
            <w:pPr>
              <w:spacing w:after="0"/>
              <w:rPr>
                <w:sz w:val="1"/>
                <w:szCs w:val="1"/>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Realized and unrealized losses and (gains) on</w:t>
            </w:r>
          </w:p>
        </w:tc>
        <w:tc>
          <w:tcPr>
            <w:tcW w:w="132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350</w:t>
            </w:r>
          </w:p>
        </w:tc>
        <w:tc>
          <w:tcPr>
            <w:tcW w:w="13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(342)</w:t>
            </w:r>
          </w:p>
        </w:tc>
        <w:tc>
          <w:tcPr>
            <w:tcW w:w="11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395</w:t>
            </w:r>
          </w:p>
        </w:tc>
        <w:tc>
          <w:tcPr>
            <w:tcW w:w="0" w:type="dxa"/>
            <w:vAlign w:val="bottom"/>
          </w:tcPr>
          <w:p>
            <w:pPr>
              <w:spacing w:after="0"/>
              <w:rPr>
                <w:sz w:val="1"/>
                <w:szCs w:val="1"/>
                <w:color w:val="auto"/>
              </w:rPr>
            </w:pPr>
          </w:p>
        </w:tc>
      </w:tr>
      <w:tr>
        <w:trPr>
          <w:trHeight w:val="173"/>
        </w:trPr>
        <w:tc>
          <w:tcPr>
            <w:tcW w:w="5940" w:type="dxa"/>
            <w:vAlign w:val="bottom"/>
          </w:tcPr>
          <w:p>
            <w:pPr>
              <w:ind w:left="720"/>
              <w:spacing w:after="0"/>
              <w:rPr>
                <w:sz w:val="20"/>
                <w:szCs w:val="20"/>
                <w:color w:val="auto"/>
              </w:rPr>
            </w:pPr>
            <w:r>
              <w:rPr>
                <w:rFonts w:ascii="Courier New" w:cs="Courier New" w:eastAsia="Courier New" w:hAnsi="Courier New"/>
                <w:sz w:val="15"/>
                <w:szCs w:val="15"/>
                <w:color w:val="auto"/>
              </w:rPr>
              <w:t>trading securities, net</w:t>
            </w:r>
          </w:p>
        </w:tc>
        <w:tc>
          <w:tcPr>
            <w:tcW w:w="132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Purchases of trading securities</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(10,789)</w:t>
            </w: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(4,373)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(9,869)</w:t>
            </w:r>
          </w:p>
        </w:tc>
        <w:tc>
          <w:tcPr>
            <w:tcW w:w="0" w:type="dxa"/>
            <w:vAlign w:val="bottom"/>
          </w:tcPr>
          <w:p>
            <w:pPr>
              <w:spacing w:after="0"/>
              <w:rPr>
                <w:sz w:val="1"/>
                <w:szCs w:val="1"/>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Proceeds from sale of trading securities</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8,267</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5,872</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8,482</w:t>
            </w:r>
          </w:p>
        </w:tc>
        <w:tc>
          <w:tcPr>
            <w:tcW w:w="0" w:type="dxa"/>
            <w:vAlign w:val="bottom"/>
          </w:tcPr>
          <w:p>
            <w:pPr>
              <w:spacing w:after="0"/>
              <w:rPr>
                <w:sz w:val="1"/>
                <w:szCs w:val="1"/>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Provision for loss on disposal of electronic component</w:t>
            </w:r>
          </w:p>
        </w:tc>
        <w:tc>
          <w:tcPr>
            <w:tcW w:w="132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4,074</w:t>
            </w:r>
          </w:p>
        </w:tc>
        <w:tc>
          <w:tcPr>
            <w:tcW w:w="13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5"/>
        </w:trPr>
        <w:tc>
          <w:tcPr>
            <w:tcW w:w="5940" w:type="dxa"/>
            <w:vAlign w:val="bottom"/>
          </w:tcPr>
          <w:p>
            <w:pPr>
              <w:ind w:left="720"/>
              <w:spacing w:after="0"/>
              <w:rPr>
                <w:sz w:val="20"/>
                <w:szCs w:val="20"/>
                <w:color w:val="auto"/>
              </w:rPr>
            </w:pPr>
            <w:r>
              <w:rPr>
                <w:rFonts w:ascii="Courier New" w:cs="Courier New" w:eastAsia="Courier New" w:hAnsi="Courier New"/>
                <w:sz w:val="15"/>
                <w:szCs w:val="15"/>
                <w:color w:val="auto"/>
              </w:rPr>
              <w:t>assembly segment</w:t>
            </w:r>
          </w:p>
        </w:tc>
        <w:tc>
          <w:tcPr>
            <w:tcW w:w="132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7"/>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Cumulative effect of accounting change</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20,420</w:t>
            </w:r>
          </w:p>
        </w:tc>
        <w:tc>
          <w:tcPr>
            <w:tcW w:w="0" w:type="dxa"/>
            <w:vAlign w:val="bottom"/>
          </w:tcPr>
          <w:p>
            <w:pPr>
              <w:spacing w:after="0"/>
              <w:rPr>
                <w:sz w:val="1"/>
                <w:szCs w:val="1"/>
                <w:color w:val="auto"/>
              </w:rPr>
            </w:pPr>
          </w:p>
        </w:tc>
      </w:tr>
      <w:tr>
        <w:trPr>
          <w:trHeight w:val="438"/>
        </w:trPr>
        <w:tc>
          <w:tcPr>
            <w:tcW w:w="5940" w:type="dxa"/>
            <w:vAlign w:val="bottom"/>
          </w:tcPr>
          <w:p>
            <w:pPr>
              <w:spacing w:after="0"/>
              <w:rPr>
                <w:sz w:val="20"/>
                <w:szCs w:val="20"/>
                <w:color w:val="auto"/>
              </w:rPr>
            </w:pPr>
            <w:r>
              <w:rPr>
                <w:rFonts w:ascii="Courier New" w:cs="Courier New" w:eastAsia="Courier New" w:hAnsi="Courier New"/>
                <w:sz w:val="15"/>
                <w:szCs w:val="15"/>
                <w:color w:val="auto"/>
              </w:rPr>
              <w:t>Change in assets and liabilities:</w:t>
            </w:r>
          </w:p>
        </w:tc>
        <w:tc>
          <w:tcPr>
            <w:tcW w:w="132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1,462</w:t>
            </w:r>
          </w:p>
        </w:tc>
        <w:tc>
          <w:tcPr>
            <w:tcW w:w="13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(166)</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(6,858)</w:t>
            </w:r>
          </w:p>
        </w:tc>
        <w:tc>
          <w:tcPr>
            <w:tcW w:w="0" w:type="dxa"/>
            <w:vAlign w:val="bottom"/>
          </w:tcPr>
          <w:p>
            <w:pPr>
              <w:spacing w:after="0"/>
              <w:rPr>
                <w:sz w:val="1"/>
                <w:szCs w:val="1"/>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Decrease (increase) in receivables and other assets</w:t>
            </w:r>
          </w:p>
        </w:tc>
        <w:tc>
          <w:tcPr>
            <w:tcW w:w="132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(Increase) decrease in inventories</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(10,023)</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2,289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(14,758)</w:t>
            </w:r>
          </w:p>
        </w:tc>
        <w:tc>
          <w:tcPr>
            <w:tcW w:w="0" w:type="dxa"/>
            <w:vAlign w:val="bottom"/>
          </w:tcPr>
          <w:p>
            <w:pPr>
              <w:spacing w:after="0"/>
              <w:rPr>
                <w:sz w:val="1"/>
                <w:szCs w:val="1"/>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Increase (decrease) in accounts payable and accrued</w:t>
            </w:r>
          </w:p>
        </w:tc>
        <w:tc>
          <w:tcPr>
            <w:tcW w:w="132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459</w:t>
            </w:r>
          </w:p>
        </w:tc>
        <w:tc>
          <w:tcPr>
            <w:tcW w:w="13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(3,541)</w:t>
            </w:r>
          </w:p>
        </w:tc>
        <w:tc>
          <w:tcPr>
            <w:tcW w:w="11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455</w:t>
            </w:r>
          </w:p>
        </w:tc>
        <w:tc>
          <w:tcPr>
            <w:tcW w:w="0" w:type="dxa"/>
            <w:vAlign w:val="bottom"/>
          </w:tcPr>
          <w:p>
            <w:pPr>
              <w:spacing w:after="0"/>
              <w:rPr>
                <w:sz w:val="1"/>
                <w:szCs w:val="1"/>
                <w:color w:val="auto"/>
              </w:rPr>
            </w:pPr>
          </w:p>
        </w:tc>
      </w:tr>
      <w:tr>
        <w:trPr>
          <w:trHeight w:val="173"/>
        </w:trPr>
        <w:tc>
          <w:tcPr>
            <w:tcW w:w="5940" w:type="dxa"/>
            <w:vAlign w:val="bottom"/>
          </w:tcPr>
          <w:p>
            <w:pPr>
              <w:ind w:left="720"/>
              <w:spacing w:after="0"/>
              <w:rPr>
                <w:sz w:val="20"/>
                <w:szCs w:val="20"/>
                <w:color w:val="auto"/>
              </w:rPr>
            </w:pPr>
            <w:r>
              <w:rPr>
                <w:rFonts w:ascii="Courier New" w:cs="Courier New" w:eastAsia="Courier New" w:hAnsi="Courier New"/>
                <w:sz w:val="15"/>
                <w:szCs w:val="15"/>
                <w:color w:val="auto"/>
              </w:rPr>
              <w:t>expenses</w:t>
            </w:r>
          </w:p>
        </w:tc>
        <w:tc>
          <w:tcPr>
            <w:tcW w:w="132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Increase in deferred income taxes</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(560)</w:t>
            </w: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(14,030)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(4,961)</w:t>
            </w:r>
          </w:p>
        </w:tc>
        <w:tc>
          <w:tcPr>
            <w:tcW w:w="0" w:type="dxa"/>
            <w:vAlign w:val="bottom"/>
          </w:tcPr>
          <w:p>
            <w:pPr>
              <w:spacing w:after="0"/>
              <w:rPr>
                <w:sz w:val="1"/>
                <w:szCs w:val="1"/>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Increase in postretirement benefits</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1,845</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1,832</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4,642</w:t>
            </w:r>
          </w:p>
        </w:tc>
        <w:tc>
          <w:tcPr>
            <w:tcW w:w="0" w:type="dxa"/>
            <w:vAlign w:val="bottom"/>
          </w:tcPr>
          <w:p>
            <w:pPr>
              <w:spacing w:after="0"/>
              <w:rPr>
                <w:sz w:val="1"/>
                <w:szCs w:val="1"/>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222</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(129)</w:t>
            </w:r>
          </w:p>
        </w:tc>
        <w:tc>
          <w:tcPr>
            <w:tcW w:w="0" w:type="dxa"/>
            <w:vAlign w:val="bottom"/>
          </w:tcPr>
          <w:p>
            <w:pPr>
              <w:spacing w:after="0"/>
              <w:rPr>
                <w:sz w:val="1"/>
                <w:szCs w:val="1"/>
                <w:color w:val="auto"/>
              </w:rPr>
            </w:pPr>
          </w:p>
        </w:tc>
      </w:tr>
      <w:tr>
        <w:trPr>
          <w:trHeight w:val="173"/>
        </w:trPr>
        <w:tc>
          <w:tcPr>
            <w:tcW w:w="594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5940" w:type="dxa"/>
            <w:vAlign w:val="bottom"/>
            <w:vMerge w:val="continue"/>
          </w:tcPr>
          <w:p>
            <w:pPr>
              <w:spacing w:after="0"/>
              <w:rPr>
                <w:sz w:val="15"/>
                <w:szCs w:val="15"/>
                <w:color w:val="auto"/>
              </w:rPr>
            </w:pP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17,258</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25,404</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2,022</w:t>
            </w:r>
          </w:p>
        </w:tc>
        <w:tc>
          <w:tcPr>
            <w:tcW w:w="0" w:type="dxa"/>
            <w:vAlign w:val="bottom"/>
          </w:tcPr>
          <w:p>
            <w:pPr>
              <w:spacing w:after="0"/>
              <w:rPr>
                <w:sz w:val="1"/>
                <w:szCs w:val="1"/>
                <w:color w:val="auto"/>
              </w:rPr>
            </w:pPr>
          </w:p>
        </w:tc>
      </w:tr>
      <w:tr>
        <w:trPr>
          <w:trHeight w:val="255"/>
        </w:trPr>
        <w:tc>
          <w:tcPr>
            <w:tcW w:w="594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used by investing activities:</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940" w:type="dxa"/>
            <w:vAlign w:val="bottom"/>
            <w:vMerge w:val="continue"/>
          </w:tcPr>
          <w:p>
            <w:pPr>
              <w:spacing w:after="0"/>
              <w:rPr>
                <w:sz w:val="7"/>
                <w:szCs w:val="7"/>
                <w:color w:val="auto"/>
              </w:rPr>
            </w:pPr>
          </w:p>
        </w:tc>
        <w:tc>
          <w:tcPr>
            <w:tcW w:w="13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(10,463)</w:t>
            </w:r>
          </w:p>
        </w:tc>
        <w:tc>
          <w:tcPr>
            <w:tcW w:w="13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(9,348)</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(9,532)</w:t>
            </w:r>
          </w:p>
        </w:tc>
        <w:tc>
          <w:tcPr>
            <w:tcW w:w="0" w:type="dxa"/>
            <w:vAlign w:val="bottom"/>
          </w:tcPr>
          <w:p>
            <w:pPr>
              <w:spacing w:after="0"/>
              <w:rPr>
                <w:sz w:val="1"/>
                <w:szCs w:val="1"/>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Purchases of property and equipment</w:t>
            </w:r>
          </w:p>
        </w:tc>
        <w:tc>
          <w:tcPr>
            <w:tcW w:w="132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Proceeds from sale of property and equipment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591</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499</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801</w:t>
            </w:r>
          </w:p>
        </w:tc>
        <w:tc>
          <w:tcPr>
            <w:tcW w:w="0" w:type="dxa"/>
            <w:vAlign w:val="bottom"/>
          </w:tcPr>
          <w:p>
            <w:pPr>
              <w:spacing w:after="0"/>
              <w:rPr>
                <w:sz w:val="1"/>
                <w:szCs w:val="1"/>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Investments in dealer receivables</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(41,003)</w:t>
            </w: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(35,899)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(35,120)</w:t>
            </w:r>
          </w:p>
        </w:tc>
        <w:tc>
          <w:tcPr>
            <w:tcW w:w="0" w:type="dxa"/>
            <w:vAlign w:val="bottom"/>
          </w:tcPr>
          <w:p>
            <w:pPr>
              <w:spacing w:after="0"/>
              <w:rPr>
                <w:sz w:val="1"/>
                <w:szCs w:val="1"/>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Collections of dealer receivables</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38,915</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35,072</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33,336</w:t>
            </w:r>
          </w:p>
        </w:tc>
        <w:tc>
          <w:tcPr>
            <w:tcW w:w="0" w:type="dxa"/>
            <w:vAlign w:val="bottom"/>
          </w:tcPr>
          <w:p>
            <w:pPr>
              <w:spacing w:after="0"/>
              <w:rPr>
                <w:sz w:val="1"/>
                <w:szCs w:val="1"/>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Investments in long-term notes receivable and</w:t>
            </w:r>
          </w:p>
        </w:tc>
        <w:tc>
          <w:tcPr>
            <w:tcW w:w="13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(3,883)</w:t>
            </w:r>
          </w:p>
        </w:tc>
        <w:tc>
          <w:tcPr>
            <w:tcW w:w="13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(3,077)</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(4,930)</w:t>
            </w:r>
          </w:p>
        </w:tc>
        <w:tc>
          <w:tcPr>
            <w:tcW w:w="0" w:type="dxa"/>
            <w:vAlign w:val="bottom"/>
          </w:tcPr>
          <w:p>
            <w:pPr>
              <w:spacing w:after="0"/>
              <w:rPr>
                <w:sz w:val="1"/>
                <w:szCs w:val="1"/>
                <w:color w:val="auto"/>
              </w:rPr>
            </w:pPr>
          </w:p>
        </w:tc>
      </w:tr>
      <w:tr>
        <w:trPr>
          <w:trHeight w:val="173"/>
        </w:trPr>
        <w:tc>
          <w:tcPr>
            <w:tcW w:w="5940" w:type="dxa"/>
            <w:vAlign w:val="bottom"/>
          </w:tcPr>
          <w:p>
            <w:pPr>
              <w:ind w:left="720"/>
              <w:spacing w:after="0"/>
              <w:rPr>
                <w:sz w:val="20"/>
                <w:szCs w:val="20"/>
                <w:color w:val="auto"/>
              </w:rPr>
            </w:pPr>
            <w:r>
              <w:rPr>
                <w:rFonts w:ascii="Courier New" w:cs="Courier New" w:eastAsia="Courier New" w:hAnsi="Courier New"/>
                <w:sz w:val="15"/>
                <w:szCs w:val="15"/>
                <w:color w:val="auto"/>
              </w:rPr>
              <w:t>other assets</w:t>
            </w:r>
          </w:p>
        </w:tc>
        <w:tc>
          <w:tcPr>
            <w:tcW w:w="132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Proceeds from long-term notes receivable</w:t>
            </w:r>
          </w:p>
        </w:tc>
        <w:tc>
          <w:tcPr>
            <w:tcW w:w="132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893</w:t>
            </w:r>
          </w:p>
        </w:tc>
        <w:tc>
          <w:tcPr>
            <w:tcW w:w="13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2,656</w:t>
            </w:r>
          </w:p>
        </w:tc>
        <w:tc>
          <w:tcPr>
            <w:tcW w:w="11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1,076</w:t>
            </w:r>
          </w:p>
        </w:tc>
        <w:tc>
          <w:tcPr>
            <w:tcW w:w="0" w:type="dxa"/>
            <w:vAlign w:val="bottom"/>
          </w:tcPr>
          <w:p>
            <w:pPr>
              <w:spacing w:after="0"/>
              <w:rPr>
                <w:sz w:val="1"/>
                <w:szCs w:val="1"/>
                <w:color w:val="auto"/>
              </w:rPr>
            </w:pPr>
          </w:p>
        </w:tc>
      </w:tr>
      <w:tr>
        <w:trPr>
          <w:trHeight w:val="173"/>
        </w:trPr>
        <w:tc>
          <w:tcPr>
            <w:tcW w:w="5940" w:type="dxa"/>
            <w:vAlign w:val="bottom"/>
          </w:tcPr>
          <w:p>
            <w:pPr>
              <w:ind w:left="800"/>
              <w:spacing w:after="0"/>
              <w:rPr>
                <w:sz w:val="20"/>
                <w:szCs w:val="20"/>
                <w:color w:val="auto"/>
              </w:rPr>
            </w:pPr>
            <w:r>
              <w:rPr>
                <w:rFonts w:ascii="Courier New" w:cs="Courier New" w:eastAsia="Courier New" w:hAnsi="Courier New"/>
                <w:sz w:val="15"/>
                <w:szCs w:val="15"/>
                <w:color w:val="auto"/>
              </w:rPr>
              <w:t>and other assets</w:t>
            </w:r>
          </w:p>
        </w:tc>
        <w:tc>
          <w:tcPr>
            <w:tcW w:w="132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Cash paid for acquisition</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(4,934)</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594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used by investing activities</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5940" w:type="dxa"/>
            <w:vAlign w:val="bottom"/>
            <w:vMerge w:val="continue"/>
          </w:tcPr>
          <w:p>
            <w:pPr>
              <w:spacing w:after="0"/>
              <w:rPr>
                <w:sz w:val="15"/>
                <w:szCs w:val="15"/>
                <w:color w:val="auto"/>
              </w:rPr>
            </w:pP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(14,950)</w:t>
            </w: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(15,031)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(14,369)</w:t>
            </w:r>
          </w:p>
        </w:tc>
        <w:tc>
          <w:tcPr>
            <w:tcW w:w="0" w:type="dxa"/>
            <w:vAlign w:val="bottom"/>
          </w:tcPr>
          <w:p>
            <w:pPr>
              <w:spacing w:after="0"/>
              <w:rPr>
                <w:sz w:val="1"/>
                <w:szCs w:val="1"/>
                <w:color w:val="auto"/>
              </w:rPr>
            </w:pPr>
          </w:p>
        </w:tc>
      </w:tr>
      <w:tr>
        <w:trPr>
          <w:trHeight w:val="255"/>
        </w:trPr>
        <w:tc>
          <w:tcPr>
            <w:tcW w:w="594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financing activities and capital transactions:</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940" w:type="dxa"/>
            <w:vAlign w:val="bottom"/>
            <w:vMerge w:val="continue"/>
          </w:tcPr>
          <w:p>
            <w:pPr>
              <w:spacing w:after="0"/>
              <w:rPr>
                <w:sz w:val="7"/>
                <w:szCs w:val="7"/>
                <w:color w:val="auto"/>
              </w:rPr>
            </w:pPr>
          </w:p>
        </w:tc>
        <w:tc>
          <w:tcPr>
            <w:tcW w:w="132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215</w:t>
            </w:r>
          </w:p>
        </w:tc>
        <w:tc>
          <w:tcPr>
            <w:tcW w:w="13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1,700</w:t>
            </w:r>
          </w:p>
        </w:tc>
        <w:tc>
          <w:tcPr>
            <w:tcW w:w="11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2,300</w:t>
            </w:r>
          </w:p>
        </w:tc>
        <w:tc>
          <w:tcPr>
            <w:tcW w:w="0" w:type="dxa"/>
            <w:vAlign w:val="bottom"/>
          </w:tcPr>
          <w:p>
            <w:pPr>
              <w:spacing w:after="0"/>
              <w:rPr>
                <w:sz w:val="1"/>
                <w:szCs w:val="1"/>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Net proceeds from notes payable</w:t>
            </w:r>
          </w:p>
        </w:tc>
        <w:tc>
          <w:tcPr>
            <w:tcW w:w="132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Payments of cash dividends</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(7,604)</w:t>
            </w: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(7,586)</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Payments of long-term debt and capital leases</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(4,596)</w:t>
            </w: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(2,494)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(1,850)</w:t>
            </w:r>
          </w:p>
        </w:tc>
        <w:tc>
          <w:tcPr>
            <w:tcW w:w="0" w:type="dxa"/>
            <w:vAlign w:val="bottom"/>
          </w:tcPr>
          <w:p>
            <w:pPr>
              <w:spacing w:after="0"/>
              <w:rPr>
                <w:sz w:val="1"/>
                <w:szCs w:val="1"/>
                <w:color w:val="auto"/>
              </w:rPr>
            </w:pPr>
          </w:p>
        </w:tc>
      </w:tr>
      <w:tr>
        <w:trPr>
          <w:trHeight w:val="255"/>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Proceeds from issuance of long-term debt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1,884</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5,100</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952</w:t>
            </w:r>
          </w:p>
        </w:tc>
        <w:tc>
          <w:tcPr>
            <w:tcW w:w="0" w:type="dxa"/>
            <w:vAlign w:val="bottom"/>
          </w:tcPr>
          <w:p>
            <w:pPr>
              <w:spacing w:after="0"/>
              <w:rPr>
                <w:sz w:val="1"/>
                <w:szCs w:val="1"/>
                <w:color w:val="auto"/>
              </w:rPr>
            </w:pPr>
          </w:p>
        </w:tc>
      </w:tr>
    </w:tbl>
    <w:p>
      <w:pPr>
        <w:sectPr>
          <w:pgSz w:w="11900" w:h="16867" w:orient="portrait"/>
          <w:cols w:equalWidth="0" w:num="1">
            <w:col w:w="10219"/>
          </w:cols>
          <w:pgMar w:left="240" w:top="113" w:right="1440" w:bottom="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Pr>
          <w:p>
            <w:pPr>
              <w:ind w:left="360"/>
              <w:spacing w:after="0"/>
              <w:rPr>
                <w:sz w:val="20"/>
                <w:szCs w:val="20"/>
                <w:color w:val="auto"/>
              </w:rPr>
            </w:pPr>
            <w:r>
              <w:rPr>
                <w:rFonts w:ascii="Courier New" w:cs="Courier New" w:eastAsia="Courier New" w:hAnsi="Courier New"/>
                <w:sz w:val="15"/>
                <w:szCs w:val="15"/>
                <w:color w:val="auto"/>
              </w:rPr>
              <w:t>Proceeds from issuance of common and treasury</w:t>
            </w:r>
          </w:p>
        </w:tc>
        <w:tc>
          <w:tcPr>
            <w:tcW w:w="900" w:type="dxa"/>
            <w:vAlign w:val="bottom"/>
          </w:tcPr>
          <w:p>
            <w:pPr>
              <w:spacing w:after="0"/>
              <w:rPr>
                <w:sz w:val="15"/>
                <w:szCs w:val="15"/>
                <w:color w:val="auto"/>
              </w:rPr>
            </w:pPr>
          </w:p>
        </w:tc>
        <w:tc>
          <w:tcPr>
            <w:tcW w:w="9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82</w:t>
            </w:r>
          </w:p>
        </w:tc>
        <w:tc>
          <w:tcPr>
            <w:tcW w:w="136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568</w:t>
            </w:r>
          </w:p>
        </w:tc>
        <w:tc>
          <w:tcPr>
            <w:tcW w:w="360" w:type="dxa"/>
            <w:vAlign w:val="bottom"/>
          </w:tcPr>
          <w:p>
            <w:pPr>
              <w:spacing w:after="0"/>
              <w:rPr>
                <w:sz w:val="15"/>
                <w:szCs w:val="15"/>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554</w:t>
            </w:r>
          </w:p>
        </w:tc>
        <w:tc>
          <w:tcPr>
            <w:tcW w:w="0" w:type="dxa"/>
            <w:vAlign w:val="bottom"/>
          </w:tcPr>
          <w:p>
            <w:pPr>
              <w:spacing w:after="0"/>
              <w:rPr>
                <w:sz w:val="1"/>
                <w:szCs w:val="1"/>
                <w:color w:val="auto"/>
              </w:rPr>
            </w:pPr>
          </w:p>
        </w:tc>
      </w:tr>
      <w:tr>
        <w:trPr>
          <w:trHeight w:val="173"/>
        </w:trPr>
        <w:tc>
          <w:tcPr>
            <w:tcW w:w="5500" w:type="dxa"/>
            <w:vAlign w:val="bottom"/>
          </w:tcPr>
          <w:p>
            <w:pPr>
              <w:ind w:left="720"/>
              <w:spacing w:after="0"/>
              <w:rPr>
                <w:sz w:val="20"/>
                <w:szCs w:val="20"/>
                <w:color w:val="auto"/>
              </w:rPr>
            </w:pPr>
            <w:r>
              <w:rPr>
                <w:rFonts w:ascii="Courier New" w:cs="Courier New" w:eastAsia="Courier New" w:hAnsi="Courier New"/>
                <w:sz w:val="15"/>
                <w:szCs w:val="15"/>
                <w:color w:val="auto"/>
              </w:rPr>
              <w:t>stock</w:t>
            </w:r>
          </w:p>
        </w:tc>
        <w:tc>
          <w:tcPr>
            <w:tcW w:w="9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(used) provided by financing activities and</w:t>
            </w: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50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9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w w:val="97"/>
              </w:rPr>
              <w:t>(10,019)</w:t>
            </w:r>
          </w:p>
        </w:tc>
        <w:tc>
          <w:tcPr>
            <w:tcW w:w="136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(2,712)</w:t>
            </w:r>
          </w:p>
        </w:tc>
        <w:tc>
          <w:tcPr>
            <w:tcW w:w="360" w:type="dxa"/>
            <w:vAlign w:val="bottom"/>
          </w:tcPr>
          <w:p>
            <w:pPr>
              <w:spacing w:after="0"/>
              <w:rPr>
                <w:sz w:val="7"/>
                <w:szCs w:val="7"/>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1,956</w:t>
            </w:r>
          </w:p>
        </w:tc>
        <w:tc>
          <w:tcPr>
            <w:tcW w:w="0" w:type="dxa"/>
            <w:vAlign w:val="bottom"/>
          </w:tcPr>
          <w:p>
            <w:pPr>
              <w:spacing w:after="0"/>
              <w:rPr>
                <w:sz w:val="1"/>
                <w:szCs w:val="1"/>
                <w:color w:val="auto"/>
              </w:rPr>
            </w:pPr>
          </w:p>
        </w:tc>
      </w:tr>
      <w:tr>
        <w:trPr>
          <w:trHeight w:val="173"/>
        </w:trPr>
        <w:tc>
          <w:tcPr>
            <w:tcW w:w="5500" w:type="dxa"/>
            <w:vAlign w:val="bottom"/>
          </w:tcPr>
          <w:p>
            <w:pPr>
              <w:ind w:left="360"/>
              <w:spacing w:after="0"/>
              <w:rPr>
                <w:sz w:val="20"/>
                <w:szCs w:val="20"/>
                <w:color w:val="auto"/>
              </w:rPr>
            </w:pPr>
            <w:r>
              <w:rPr>
                <w:rFonts w:ascii="Courier New" w:cs="Courier New" w:eastAsia="Courier New" w:hAnsi="Courier New"/>
                <w:sz w:val="15"/>
                <w:szCs w:val="15"/>
                <w:color w:val="auto"/>
              </w:rPr>
              <w:t>capital transactions</w:t>
            </w:r>
          </w:p>
        </w:tc>
        <w:tc>
          <w:tcPr>
            <w:tcW w:w="9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550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(7,711)</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7,661</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(10,391)</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90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8,508</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847</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11,238</w:t>
            </w:r>
          </w:p>
        </w:tc>
        <w:tc>
          <w:tcPr>
            <w:tcW w:w="0" w:type="dxa"/>
            <w:vAlign w:val="bottom"/>
          </w:tcPr>
          <w:p>
            <w:pPr>
              <w:spacing w:after="0"/>
              <w:rPr>
                <w:sz w:val="1"/>
                <w:szCs w:val="1"/>
                <w:color w:val="auto"/>
              </w:rPr>
            </w:pPr>
          </w:p>
        </w:tc>
      </w:tr>
      <w:tr>
        <w:trPr>
          <w:trHeight w:val="173"/>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Cash and cash equivalents at end of year</w:t>
            </w: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5500" w:type="dxa"/>
            <w:vAlign w:val="bottom"/>
            <w:vMerge w:val="continue"/>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797</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8,508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847</w:t>
            </w:r>
          </w:p>
        </w:tc>
        <w:tc>
          <w:tcPr>
            <w:tcW w:w="0" w:type="dxa"/>
            <w:vAlign w:val="bottom"/>
          </w:tcPr>
          <w:p>
            <w:pPr>
              <w:spacing w:after="0"/>
              <w:rPr>
                <w:sz w:val="1"/>
                <w:szCs w:val="1"/>
                <w:color w:val="auto"/>
              </w:rPr>
            </w:pPr>
          </w:p>
        </w:tc>
      </w:tr>
      <w:tr>
        <w:trPr>
          <w:trHeight w:val="255"/>
        </w:trPr>
        <w:tc>
          <w:tcPr>
            <w:tcW w:w="5500" w:type="dxa"/>
            <w:vAlign w:val="bottom"/>
          </w:tcPr>
          <w:p>
            <w:pPr>
              <w:spacing w:after="0"/>
              <w:rPr>
                <w:sz w:val="22"/>
                <w:szCs w:val="22"/>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IN STOCKHOLDERS' EQUITY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22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Common Shares</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Additional</w:t>
            </w:r>
          </w:p>
        </w:tc>
        <w:tc>
          <w:tcPr>
            <w:tcW w:w="13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Reinvested</w:t>
            </w:r>
          </w:p>
        </w:tc>
        <w:tc>
          <w:tcPr>
            <w:tcW w:w="230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Treasury Stock</w:t>
            </w:r>
          </w:p>
        </w:tc>
        <w:tc>
          <w:tcPr>
            <w:tcW w:w="0" w:type="dxa"/>
            <w:vAlign w:val="bottom"/>
          </w:tcPr>
          <w:p>
            <w:pPr>
              <w:spacing w:after="0"/>
              <w:rPr>
                <w:sz w:val="1"/>
                <w:szCs w:val="1"/>
                <w:color w:val="auto"/>
              </w:rPr>
            </w:pPr>
          </w:p>
        </w:tc>
      </w:tr>
      <w:tr>
        <w:trPr>
          <w:trHeight w:val="173"/>
        </w:trPr>
        <w:tc>
          <w:tcPr>
            <w:tcW w:w="3560" w:type="dxa"/>
            <w:vAlign w:val="bottom"/>
            <w:vMerge w:val="restart"/>
          </w:tcPr>
          <w:p>
            <w:pPr>
              <w:spacing w:after="0"/>
              <w:rPr>
                <w:sz w:val="20"/>
                <w:szCs w:val="20"/>
                <w:color w:val="auto"/>
              </w:rPr>
            </w:pPr>
            <w:r>
              <w:rPr>
                <w:rFonts w:ascii="Courier New" w:cs="Courier New" w:eastAsia="Courier New" w:hAnsi="Courier New"/>
                <w:sz w:val="15"/>
                <w:szCs w:val="15"/>
                <w:color w:val="auto"/>
              </w:rPr>
              <w:t>(amounts in thousands)</w:t>
            </w:r>
          </w:p>
        </w:tc>
        <w:tc>
          <w:tcPr>
            <w:tcW w:w="22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Paid-In</w:t>
            </w:r>
          </w:p>
        </w:tc>
        <w:tc>
          <w:tcPr>
            <w:tcW w:w="1360" w:type="dxa"/>
            <w:vAlign w:val="bottom"/>
            <w:vMerge w:val="continue"/>
          </w:tcPr>
          <w:p>
            <w:pPr>
              <w:spacing w:after="0"/>
              <w:rPr>
                <w:sz w:val="15"/>
                <w:szCs w:val="15"/>
                <w:color w:val="auto"/>
              </w:rPr>
            </w:pPr>
          </w:p>
        </w:tc>
        <w:tc>
          <w:tcPr>
            <w:tcW w:w="230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560" w:type="dxa"/>
            <w:vAlign w:val="bottom"/>
            <w:vMerge w:val="continue"/>
          </w:tcPr>
          <w:p>
            <w:pPr>
              <w:spacing w:after="0"/>
              <w:rPr>
                <w:sz w:val="15"/>
                <w:szCs w:val="15"/>
                <w:color w:val="auto"/>
              </w:rPr>
            </w:pP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Number</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Amount</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Capital</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Earnings</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Number</w:t>
            </w:r>
          </w:p>
        </w:tc>
        <w:tc>
          <w:tcPr>
            <w:tcW w:w="3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Amount</w:t>
            </w:r>
          </w:p>
        </w:tc>
        <w:tc>
          <w:tcPr>
            <w:tcW w:w="0" w:type="dxa"/>
            <w:vAlign w:val="bottom"/>
          </w:tcPr>
          <w:p>
            <w:pPr>
              <w:spacing w:after="0"/>
              <w:rPr>
                <w:sz w:val="1"/>
                <w:szCs w:val="1"/>
                <w:color w:val="auto"/>
              </w:rPr>
            </w:pPr>
          </w:p>
        </w:tc>
      </w:tr>
      <w:tr>
        <w:trPr>
          <w:trHeight w:val="255"/>
        </w:trPr>
        <w:tc>
          <w:tcPr>
            <w:tcW w:w="3560" w:type="dxa"/>
            <w:vAlign w:val="bottom"/>
          </w:tcPr>
          <w:p>
            <w:pPr>
              <w:spacing w:after="0"/>
              <w:rPr>
                <w:sz w:val="22"/>
                <w:szCs w:val="22"/>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Balance, August 28, 1993</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25,815</w:t>
            </w:r>
          </w:p>
        </w:tc>
        <w:tc>
          <w:tcPr>
            <w:tcW w:w="10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$ 12,908</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$ 24,811</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$ 52,245</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725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8,271</w:t>
            </w:r>
          </w:p>
        </w:tc>
        <w:tc>
          <w:tcPr>
            <w:tcW w:w="0" w:type="dxa"/>
            <w:vAlign w:val="bottom"/>
          </w:tcPr>
          <w:p>
            <w:pPr>
              <w:spacing w:after="0"/>
              <w:rPr>
                <w:sz w:val="1"/>
                <w:szCs w:val="1"/>
                <w:color w:val="auto"/>
              </w:rPr>
            </w:pPr>
          </w:p>
        </w:tc>
      </w:tr>
      <w:tr>
        <w:trPr>
          <w:trHeight w:val="173"/>
        </w:trPr>
        <w:tc>
          <w:tcPr>
            <w:tcW w:w="3560" w:type="dxa"/>
            <w:vAlign w:val="bottom"/>
          </w:tcPr>
          <w:p>
            <w:pPr>
              <w:ind w:left="360"/>
              <w:spacing w:after="0"/>
              <w:rPr>
                <w:sz w:val="20"/>
                <w:szCs w:val="20"/>
                <w:color w:val="auto"/>
              </w:rPr>
            </w:pPr>
            <w:r>
              <w:rPr>
                <w:rFonts w:ascii="Courier New" w:cs="Courier New" w:eastAsia="Courier New" w:hAnsi="Courier New"/>
                <w:sz w:val="15"/>
                <w:szCs w:val="15"/>
                <w:color w:val="auto"/>
              </w:rPr>
              <w:t>Proceeds from the sale of</w:t>
            </w:r>
          </w:p>
        </w:tc>
        <w:tc>
          <w:tcPr>
            <w:tcW w:w="11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7</w:t>
            </w:r>
          </w:p>
        </w:tc>
        <w:tc>
          <w:tcPr>
            <w:tcW w:w="108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3</w:t>
            </w:r>
          </w:p>
        </w:tc>
        <w:tc>
          <w:tcPr>
            <w:tcW w:w="126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(503)</w:t>
            </w:r>
          </w:p>
        </w:tc>
        <w:tc>
          <w:tcPr>
            <w:tcW w:w="136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(92)</w:t>
            </w:r>
          </w:p>
        </w:tc>
        <w:tc>
          <w:tcPr>
            <w:tcW w:w="3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(1,055)</w:t>
            </w:r>
          </w:p>
        </w:tc>
        <w:tc>
          <w:tcPr>
            <w:tcW w:w="0" w:type="dxa"/>
            <w:vAlign w:val="bottom"/>
          </w:tcPr>
          <w:p>
            <w:pPr>
              <w:spacing w:after="0"/>
              <w:rPr>
                <w:sz w:val="1"/>
                <w:szCs w:val="1"/>
                <w:color w:val="auto"/>
              </w:rPr>
            </w:pPr>
          </w:p>
        </w:tc>
      </w:tr>
      <w:tr>
        <w:trPr>
          <w:trHeight w:val="173"/>
        </w:trPr>
        <w:tc>
          <w:tcPr>
            <w:tcW w:w="3560" w:type="dxa"/>
            <w:vAlign w:val="bottom"/>
          </w:tcPr>
          <w:p>
            <w:pPr>
              <w:ind w:left="720"/>
              <w:spacing w:after="0"/>
              <w:rPr>
                <w:sz w:val="20"/>
                <w:szCs w:val="20"/>
                <w:color w:val="auto"/>
              </w:rPr>
            </w:pPr>
            <w:r>
              <w:rPr>
                <w:rFonts w:ascii="Courier New" w:cs="Courier New" w:eastAsia="Courier New" w:hAnsi="Courier New"/>
                <w:sz w:val="15"/>
                <w:szCs w:val="15"/>
                <w:color w:val="auto"/>
              </w:rPr>
              <w:t>common stock to employees</w:t>
            </w:r>
          </w:p>
        </w:tc>
        <w:tc>
          <w:tcPr>
            <w:tcW w:w="11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560" w:type="dxa"/>
            <w:vAlign w:val="bottom"/>
          </w:tcPr>
          <w:p>
            <w:pPr>
              <w:ind w:left="360"/>
              <w:spacing w:after="0"/>
              <w:rPr>
                <w:sz w:val="20"/>
                <w:szCs w:val="20"/>
                <w:color w:val="auto"/>
              </w:rPr>
            </w:pPr>
            <w:r>
              <w:rPr>
                <w:rFonts w:ascii="Courier New" w:cs="Courier New" w:eastAsia="Courier New" w:hAnsi="Courier New"/>
                <w:sz w:val="15"/>
                <w:szCs w:val="15"/>
                <w:color w:val="auto"/>
              </w:rPr>
              <w:t>Contribution of treasury stock to</w:t>
            </w:r>
          </w:p>
        </w:tc>
        <w:tc>
          <w:tcPr>
            <w:tcW w:w="11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(133)</w:t>
            </w:r>
          </w:p>
        </w:tc>
        <w:tc>
          <w:tcPr>
            <w:tcW w:w="136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(50)</w:t>
            </w:r>
          </w:p>
        </w:tc>
        <w:tc>
          <w:tcPr>
            <w:tcW w:w="3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(570)</w:t>
            </w:r>
          </w:p>
        </w:tc>
        <w:tc>
          <w:tcPr>
            <w:tcW w:w="0" w:type="dxa"/>
            <w:vAlign w:val="bottom"/>
          </w:tcPr>
          <w:p>
            <w:pPr>
              <w:spacing w:after="0"/>
              <w:rPr>
                <w:sz w:val="1"/>
                <w:szCs w:val="1"/>
                <w:color w:val="auto"/>
              </w:rPr>
            </w:pPr>
          </w:p>
        </w:tc>
      </w:tr>
      <w:tr>
        <w:trPr>
          <w:trHeight w:val="173"/>
        </w:trPr>
        <w:tc>
          <w:tcPr>
            <w:tcW w:w="3560" w:type="dxa"/>
            <w:vAlign w:val="bottom"/>
          </w:tcPr>
          <w:p>
            <w:pPr>
              <w:ind w:left="720"/>
              <w:spacing w:after="0"/>
              <w:rPr>
                <w:sz w:val="20"/>
                <w:szCs w:val="20"/>
                <w:color w:val="auto"/>
              </w:rPr>
            </w:pPr>
            <w:r>
              <w:rPr>
                <w:rFonts w:ascii="Courier New" w:cs="Courier New" w:eastAsia="Courier New" w:hAnsi="Courier New"/>
                <w:sz w:val="15"/>
                <w:szCs w:val="15"/>
                <w:color w:val="auto"/>
              </w:rPr>
              <w:t>employee stock bonus plan</w:t>
            </w:r>
          </w:p>
        </w:tc>
        <w:tc>
          <w:tcPr>
            <w:tcW w:w="11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560" w:type="dxa"/>
            <w:vAlign w:val="bottom"/>
          </w:tcPr>
          <w:p>
            <w:pPr>
              <w:ind w:left="360"/>
              <w:spacing w:after="0"/>
              <w:rPr>
                <w:sz w:val="20"/>
                <w:szCs w:val="20"/>
                <w:color w:val="auto"/>
              </w:rPr>
            </w:pPr>
            <w:r>
              <w:rPr>
                <w:rFonts w:ascii="Courier New" w:cs="Courier New" w:eastAsia="Courier New" w:hAnsi="Courier New"/>
                <w:sz w:val="15"/>
                <w:szCs w:val="15"/>
                <w:color w:val="auto"/>
              </w:rPr>
              <w:t>Net loss</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(2,975)</w:t>
            </w:r>
          </w:p>
        </w:tc>
        <w:tc>
          <w:tcPr>
            <w:tcW w:w="126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56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August 27, 1994</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560" w:type="dxa"/>
            <w:vAlign w:val="bottom"/>
            <w:vMerge w:val="continue"/>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25,822</w:t>
            </w:r>
          </w:p>
        </w:tc>
        <w:tc>
          <w:tcPr>
            <w:tcW w:w="10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12,911</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24,175</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49,270</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583</w:t>
            </w:r>
          </w:p>
        </w:tc>
        <w:tc>
          <w:tcPr>
            <w:tcW w:w="3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6,646</w:t>
            </w:r>
          </w:p>
        </w:tc>
        <w:tc>
          <w:tcPr>
            <w:tcW w:w="0" w:type="dxa"/>
            <w:vAlign w:val="bottom"/>
          </w:tcPr>
          <w:p>
            <w:pPr>
              <w:spacing w:after="0"/>
              <w:rPr>
                <w:sz w:val="1"/>
                <w:szCs w:val="1"/>
                <w:color w:val="auto"/>
              </w:rPr>
            </w:pPr>
          </w:p>
        </w:tc>
      </w:tr>
      <w:tr>
        <w:trPr>
          <w:trHeight w:val="173"/>
        </w:trPr>
        <w:tc>
          <w:tcPr>
            <w:tcW w:w="3560" w:type="dxa"/>
            <w:vAlign w:val="bottom"/>
          </w:tcPr>
          <w:p>
            <w:pPr>
              <w:ind w:left="360"/>
              <w:spacing w:after="0"/>
              <w:rPr>
                <w:sz w:val="20"/>
                <w:szCs w:val="20"/>
                <w:color w:val="auto"/>
              </w:rPr>
            </w:pPr>
            <w:r>
              <w:rPr>
                <w:rFonts w:ascii="Courier New" w:cs="Courier New" w:eastAsia="Courier New" w:hAnsi="Courier New"/>
                <w:sz w:val="15"/>
                <w:szCs w:val="15"/>
                <w:color w:val="auto"/>
              </w:rPr>
              <w:t>Proceeds from the sale of</w:t>
            </w:r>
          </w:p>
        </w:tc>
        <w:tc>
          <w:tcPr>
            <w:tcW w:w="11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7</w:t>
            </w:r>
          </w:p>
        </w:tc>
        <w:tc>
          <w:tcPr>
            <w:tcW w:w="108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4</w:t>
            </w:r>
          </w:p>
        </w:tc>
        <w:tc>
          <w:tcPr>
            <w:tcW w:w="126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(517)</w:t>
            </w:r>
          </w:p>
        </w:tc>
        <w:tc>
          <w:tcPr>
            <w:tcW w:w="136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(95)</w:t>
            </w:r>
          </w:p>
        </w:tc>
        <w:tc>
          <w:tcPr>
            <w:tcW w:w="3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(1,081)</w:t>
            </w:r>
          </w:p>
        </w:tc>
        <w:tc>
          <w:tcPr>
            <w:tcW w:w="0" w:type="dxa"/>
            <w:vAlign w:val="bottom"/>
          </w:tcPr>
          <w:p>
            <w:pPr>
              <w:spacing w:after="0"/>
              <w:rPr>
                <w:sz w:val="1"/>
                <w:szCs w:val="1"/>
                <w:color w:val="auto"/>
              </w:rPr>
            </w:pPr>
          </w:p>
        </w:tc>
      </w:tr>
      <w:tr>
        <w:trPr>
          <w:trHeight w:val="173"/>
        </w:trPr>
        <w:tc>
          <w:tcPr>
            <w:tcW w:w="3560" w:type="dxa"/>
            <w:vAlign w:val="bottom"/>
          </w:tcPr>
          <w:p>
            <w:pPr>
              <w:ind w:left="720"/>
              <w:spacing w:after="0"/>
              <w:rPr>
                <w:sz w:val="20"/>
                <w:szCs w:val="20"/>
                <w:color w:val="auto"/>
              </w:rPr>
            </w:pPr>
            <w:r>
              <w:rPr>
                <w:rFonts w:ascii="Courier New" w:cs="Courier New" w:eastAsia="Courier New" w:hAnsi="Courier New"/>
                <w:sz w:val="15"/>
                <w:szCs w:val="15"/>
                <w:color w:val="auto"/>
              </w:rPr>
              <w:t>common stock to employees</w:t>
            </w:r>
          </w:p>
        </w:tc>
        <w:tc>
          <w:tcPr>
            <w:tcW w:w="11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560" w:type="dxa"/>
            <w:vAlign w:val="bottom"/>
          </w:tcPr>
          <w:p>
            <w:pPr>
              <w:ind w:left="360"/>
              <w:spacing w:after="0"/>
              <w:rPr>
                <w:sz w:val="20"/>
                <w:szCs w:val="20"/>
                <w:color w:val="auto"/>
              </w:rPr>
            </w:pPr>
            <w:r>
              <w:rPr>
                <w:rFonts w:ascii="Courier New" w:cs="Courier New" w:eastAsia="Courier New" w:hAnsi="Courier New"/>
                <w:sz w:val="15"/>
                <w:szCs w:val="15"/>
                <w:color w:val="auto"/>
              </w:rPr>
              <w:t>Cash dividends on common</w:t>
            </w:r>
          </w:p>
        </w:tc>
        <w:tc>
          <w:tcPr>
            <w:tcW w:w="11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(7,586)</w:t>
            </w:r>
          </w:p>
        </w:tc>
        <w:tc>
          <w:tcPr>
            <w:tcW w:w="1260" w:type="dxa"/>
            <w:vAlign w:val="bottom"/>
            <w:vMerge w:val="restart"/>
          </w:tcPr>
          <w:p>
            <w:pPr>
              <w:ind w:left="58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2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560" w:type="dxa"/>
            <w:vAlign w:val="bottom"/>
          </w:tcPr>
          <w:p>
            <w:pPr>
              <w:ind w:left="720"/>
              <w:spacing w:after="0"/>
              <w:rPr>
                <w:sz w:val="20"/>
                <w:szCs w:val="20"/>
                <w:color w:val="auto"/>
              </w:rPr>
            </w:pPr>
            <w:r>
              <w:rPr>
                <w:rFonts w:ascii="Courier New" w:cs="Courier New" w:eastAsia="Courier New" w:hAnsi="Courier New"/>
                <w:sz w:val="15"/>
                <w:szCs w:val="15"/>
                <w:color w:val="auto"/>
              </w:rPr>
              <w:t>stock - $.30 per share</w:t>
            </w:r>
          </w:p>
        </w:tc>
        <w:tc>
          <w:tcPr>
            <w:tcW w:w="11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56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27,756</w:t>
            </w:r>
          </w:p>
        </w:tc>
        <w:tc>
          <w:tcPr>
            <w:tcW w:w="126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56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August 26, 1995</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560" w:type="dxa"/>
            <w:vAlign w:val="bottom"/>
            <w:vMerge w:val="continue"/>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25,829</w:t>
            </w:r>
          </w:p>
        </w:tc>
        <w:tc>
          <w:tcPr>
            <w:tcW w:w="10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12,915</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23,658</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69,440</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488</w:t>
            </w:r>
          </w:p>
        </w:tc>
        <w:tc>
          <w:tcPr>
            <w:tcW w:w="3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5,565</w:t>
            </w:r>
          </w:p>
        </w:tc>
        <w:tc>
          <w:tcPr>
            <w:tcW w:w="0" w:type="dxa"/>
            <w:vAlign w:val="bottom"/>
          </w:tcPr>
          <w:p>
            <w:pPr>
              <w:spacing w:after="0"/>
              <w:rPr>
                <w:sz w:val="1"/>
                <w:szCs w:val="1"/>
                <w:color w:val="auto"/>
              </w:rPr>
            </w:pPr>
          </w:p>
        </w:tc>
      </w:tr>
      <w:tr>
        <w:trPr>
          <w:trHeight w:val="173"/>
        </w:trPr>
        <w:tc>
          <w:tcPr>
            <w:tcW w:w="3560" w:type="dxa"/>
            <w:vAlign w:val="bottom"/>
          </w:tcPr>
          <w:p>
            <w:pPr>
              <w:ind w:left="360"/>
              <w:spacing w:after="0"/>
              <w:rPr>
                <w:sz w:val="20"/>
                <w:szCs w:val="20"/>
                <w:color w:val="auto"/>
              </w:rPr>
            </w:pPr>
            <w:r>
              <w:rPr>
                <w:rFonts w:ascii="Courier New" w:cs="Courier New" w:eastAsia="Courier New" w:hAnsi="Courier New"/>
                <w:sz w:val="15"/>
                <w:szCs w:val="15"/>
                <w:color w:val="auto"/>
              </w:rPr>
              <w:t>Proceeds from the sale of</w:t>
            </w:r>
          </w:p>
        </w:tc>
        <w:tc>
          <w:tcPr>
            <w:tcW w:w="11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11</w:t>
            </w:r>
          </w:p>
        </w:tc>
        <w:tc>
          <w:tcPr>
            <w:tcW w:w="108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5</w:t>
            </w:r>
          </w:p>
        </w:tc>
        <w:tc>
          <w:tcPr>
            <w:tcW w:w="12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65</w:t>
            </w:r>
          </w:p>
        </w:tc>
        <w:tc>
          <w:tcPr>
            <w:tcW w:w="136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w:t>
            </w:r>
          </w:p>
        </w:tc>
        <w:tc>
          <w:tcPr>
            <w:tcW w:w="3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3"/>
        </w:trPr>
        <w:tc>
          <w:tcPr>
            <w:tcW w:w="3560" w:type="dxa"/>
            <w:vAlign w:val="bottom"/>
          </w:tcPr>
          <w:p>
            <w:pPr>
              <w:ind w:left="720"/>
              <w:spacing w:after="0"/>
              <w:rPr>
                <w:sz w:val="20"/>
                <w:szCs w:val="20"/>
                <w:color w:val="auto"/>
              </w:rPr>
            </w:pPr>
            <w:r>
              <w:rPr>
                <w:rFonts w:ascii="Courier New" w:cs="Courier New" w:eastAsia="Courier New" w:hAnsi="Courier New"/>
                <w:sz w:val="15"/>
                <w:szCs w:val="15"/>
                <w:color w:val="auto"/>
              </w:rPr>
              <w:t>common stock to employees</w:t>
            </w:r>
          </w:p>
        </w:tc>
        <w:tc>
          <w:tcPr>
            <w:tcW w:w="11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560" w:type="dxa"/>
            <w:vAlign w:val="bottom"/>
          </w:tcPr>
          <w:p>
            <w:pPr>
              <w:ind w:left="360"/>
              <w:spacing w:after="0"/>
              <w:rPr>
                <w:sz w:val="20"/>
                <w:szCs w:val="20"/>
                <w:color w:val="auto"/>
              </w:rPr>
            </w:pPr>
            <w:r>
              <w:rPr>
                <w:rFonts w:ascii="Courier New" w:cs="Courier New" w:eastAsia="Courier New" w:hAnsi="Courier New"/>
                <w:sz w:val="15"/>
                <w:szCs w:val="15"/>
                <w:color w:val="auto"/>
              </w:rPr>
              <w:t>Cash dividends on common</w:t>
            </w:r>
          </w:p>
        </w:tc>
        <w:tc>
          <w:tcPr>
            <w:tcW w:w="11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(7,604)</w:t>
            </w:r>
          </w:p>
        </w:tc>
        <w:tc>
          <w:tcPr>
            <w:tcW w:w="1260" w:type="dxa"/>
            <w:vAlign w:val="bottom"/>
            <w:vMerge w:val="restart"/>
          </w:tcPr>
          <w:p>
            <w:pPr>
              <w:ind w:left="58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2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560" w:type="dxa"/>
            <w:vAlign w:val="bottom"/>
          </w:tcPr>
          <w:p>
            <w:pPr>
              <w:ind w:left="720"/>
              <w:spacing w:after="0"/>
              <w:rPr>
                <w:sz w:val="20"/>
                <w:szCs w:val="20"/>
                <w:color w:val="auto"/>
              </w:rPr>
            </w:pPr>
            <w:r>
              <w:rPr>
                <w:rFonts w:ascii="Courier New" w:cs="Courier New" w:eastAsia="Courier New" w:hAnsi="Courier New"/>
                <w:sz w:val="15"/>
                <w:szCs w:val="15"/>
                <w:color w:val="auto"/>
              </w:rPr>
              <w:t>stock - $.30 per share</w:t>
            </w:r>
          </w:p>
        </w:tc>
        <w:tc>
          <w:tcPr>
            <w:tcW w:w="11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56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12,385</w:t>
            </w:r>
          </w:p>
        </w:tc>
        <w:tc>
          <w:tcPr>
            <w:tcW w:w="126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56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August 31, 1996</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560" w:type="dxa"/>
            <w:vAlign w:val="bottom"/>
            <w:vMerge w:val="continue"/>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25,840</w:t>
            </w:r>
          </w:p>
        </w:tc>
        <w:tc>
          <w:tcPr>
            <w:tcW w:w="10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$ 12,920</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$ 23,723</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$ 74,221</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5,553</w:t>
            </w:r>
          </w:p>
        </w:tc>
        <w:tc>
          <w:tcPr>
            <w:tcW w:w="0" w:type="dxa"/>
            <w:vAlign w:val="bottom"/>
          </w:tcPr>
          <w:p>
            <w:pPr>
              <w:spacing w:after="0"/>
              <w:rPr>
                <w:sz w:val="1"/>
                <w:szCs w:val="1"/>
                <w:color w:val="auto"/>
              </w:rPr>
            </w:pPr>
          </w:p>
        </w:tc>
      </w:tr>
      <w:tr>
        <w:trPr>
          <w:trHeight w:val="255"/>
        </w:trPr>
        <w:tc>
          <w:tcPr>
            <w:tcW w:w="3560" w:type="dxa"/>
            <w:vAlign w:val="bottom"/>
          </w:tcPr>
          <w:p>
            <w:pPr>
              <w:spacing w:after="0"/>
              <w:rPr>
                <w:sz w:val="22"/>
                <w:szCs w:val="22"/>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12</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NATURE OF BUSINESS AND SIGNIFICANT ACCOUNTING POLICIES</w:t>
      </w:r>
    </w:p>
    <w:p>
      <w:pPr>
        <w:spacing w:after="0" w:line="177" w:lineRule="exact"/>
        <w:rPr>
          <w:sz w:val="20"/>
          <w:szCs w:val="20"/>
          <w:color w:val="auto"/>
        </w:rPr>
      </w:pPr>
    </w:p>
    <w:p>
      <w:pPr>
        <w:ind w:right="3520"/>
        <w:spacing w:after="0" w:line="285" w:lineRule="auto"/>
        <w:rPr>
          <w:sz w:val="20"/>
          <w:szCs w:val="20"/>
          <w:color w:val="auto"/>
        </w:rPr>
      </w:pPr>
      <w:r>
        <w:rPr>
          <w:rFonts w:ascii="Courier New" w:cs="Courier New" w:eastAsia="Courier New" w:hAnsi="Courier New"/>
          <w:sz w:val="15"/>
          <w:szCs w:val="15"/>
          <w:color w:val="auto"/>
        </w:rPr>
        <w:t>In fiscal 1996, the Company's continuing operations were conducted predominantly in two industry segments: the manufacture and sale of recreation vehicles and other manufactured products, and floor plan financing for selected Winnebago, Itasca, Vectra, Rialta and Luxor dealers.</w:t>
      </w:r>
    </w:p>
    <w:p>
      <w:pPr>
        <w:spacing w:after="0" w:line="60" w:lineRule="exact"/>
        <w:rPr>
          <w:sz w:val="20"/>
          <w:szCs w:val="20"/>
          <w:color w:val="auto"/>
        </w:rPr>
      </w:pPr>
    </w:p>
    <w:p>
      <w:pPr>
        <w:ind w:right="3600"/>
        <w:spacing w:after="0" w:line="305" w:lineRule="auto"/>
        <w:rPr>
          <w:sz w:val="20"/>
          <w:szCs w:val="20"/>
          <w:color w:val="auto"/>
        </w:rPr>
      </w:pPr>
      <w:r>
        <w:rPr>
          <w:rFonts w:ascii="Courier New" w:cs="Courier New" w:eastAsia="Courier New" w:hAnsi="Courier New"/>
          <w:sz w:val="15"/>
          <w:szCs w:val="15"/>
          <w:color w:val="auto"/>
        </w:rPr>
        <w:t>PRINCIPLES OF CONSOLIDATION. The consolidated financial statements include the parent company and subsidiary companies. All material intercompany balances and transactions with subsidiaries have been eliminated.</w:t>
      </w:r>
    </w:p>
    <w:p>
      <w:pPr>
        <w:spacing w:after="0" w:line="46" w:lineRule="exact"/>
        <w:rPr>
          <w:sz w:val="20"/>
          <w:szCs w:val="20"/>
          <w:color w:val="auto"/>
        </w:rPr>
      </w:pPr>
    </w:p>
    <w:p>
      <w:pPr>
        <w:ind w:right="3780"/>
        <w:spacing w:after="0" w:line="305" w:lineRule="auto"/>
        <w:rPr>
          <w:sz w:val="20"/>
          <w:szCs w:val="20"/>
          <w:color w:val="auto"/>
        </w:rPr>
      </w:pPr>
      <w:r>
        <w:rPr>
          <w:rFonts w:ascii="Courier New" w:cs="Courier New" w:eastAsia="Courier New" w:hAnsi="Courier New"/>
          <w:sz w:val="15"/>
          <w:szCs w:val="15"/>
          <w:color w:val="auto"/>
        </w:rPr>
        <w:t>For all fiscal years presented, the Consolidated Financial Statements reflect the Company's Cycle-Sat and electronic component assembly segments as discontinued operations.</w:t>
      </w:r>
    </w:p>
    <w:p>
      <w:pPr>
        <w:spacing w:after="0" w:line="46" w:lineRule="exact"/>
        <w:rPr>
          <w:sz w:val="20"/>
          <w:szCs w:val="20"/>
          <w:color w:val="auto"/>
        </w:rPr>
      </w:pPr>
    </w:p>
    <w:p>
      <w:pPr>
        <w:ind w:right="3520"/>
        <w:spacing w:after="0" w:line="285" w:lineRule="auto"/>
        <w:rPr>
          <w:sz w:val="20"/>
          <w:szCs w:val="20"/>
          <w:color w:val="auto"/>
        </w:rPr>
      </w:pPr>
      <w:r>
        <w:rPr>
          <w:rFonts w:ascii="Courier New" w:cs="Courier New" w:eastAsia="Courier New" w:hAnsi="Courier New"/>
          <w:sz w:val="15"/>
          <w:szCs w:val="15"/>
          <w:color w:val="auto"/>
        </w:rPr>
        <w:t>STATEMENT OF CASH FLOWS. For purposes of these statements, cash equivalents include all liquid debt instruments purchased with an original maturity of three months or less. For cash equivalents, the carrying amount is a reasonable estimate of fair value.</w:t>
      </w:r>
    </w:p>
    <w:p>
      <w:pPr>
        <w:spacing w:after="0" w:line="60" w:lineRule="exact"/>
        <w:rPr>
          <w:sz w:val="20"/>
          <w:szCs w:val="20"/>
          <w:color w:val="auto"/>
        </w:rPr>
      </w:pPr>
    </w:p>
    <w:p>
      <w:pPr>
        <w:ind w:right="3700"/>
        <w:spacing w:after="0" w:line="305" w:lineRule="auto"/>
        <w:rPr>
          <w:sz w:val="20"/>
          <w:szCs w:val="20"/>
          <w:color w:val="auto"/>
        </w:rPr>
      </w:pPr>
      <w:r>
        <w:rPr>
          <w:rFonts w:ascii="Courier New" w:cs="Courier New" w:eastAsia="Courier New" w:hAnsi="Courier New"/>
          <w:sz w:val="15"/>
          <w:szCs w:val="15"/>
          <w:color w:val="auto"/>
        </w:rPr>
        <w:t>FISCAL PERIOD. The Company follows a 52/53 week fiscal year period. The financial statements for fiscal 1996 are based on a 53 week period, the others are on a 52 week basis.</w:t>
      </w:r>
    </w:p>
    <w:p>
      <w:pPr>
        <w:spacing w:after="0" w:line="46" w:lineRule="exact"/>
        <w:rPr>
          <w:sz w:val="20"/>
          <w:szCs w:val="20"/>
          <w:color w:val="auto"/>
        </w:rPr>
      </w:pPr>
    </w:p>
    <w:p>
      <w:pPr>
        <w:jc w:val="both"/>
        <w:ind w:right="3520"/>
        <w:spacing w:after="0" w:line="274" w:lineRule="auto"/>
        <w:rPr>
          <w:sz w:val="20"/>
          <w:szCs w:val="20"/>
          <w:color w:val="auto"/>
        </w:rPr>
      </w:pPr>
      <w:r>
        <w:rPr>
          <w:rFonts w:ascii="Courier New" w:cs="Courier New" w:eastAsia="Courier New" w:hAnsi="Courier New"/>
          <w:sz w:val="15"/>
          <w:szCs w:val="15"/>
          <w:color w:val="auto"/>
        </w:rPr>
        <w:t>MARKETABLE SECURITIES. The Company adopted Statement of Financial Accounting Standards (SFAS) No. 115, "Accounting for Certain Investments in Debt and Equity Securities," effective the beginning of fiscal 1995. The adoption of SFAS No. 115 did not significantly affect the Company's financial condition or operating results.</w:t>
      </w:r>
    </w:p>
    <w:p>
      <w:pPr>
        <w:sectPr>
          <w:pgSz w:w="11900" w:h="16838" w:orient="portrait"/>
          <w:cols w:equalWidth="0" w:num="1">
            <w:col w:w="10720"/>
          </w:cols>
          <w:pgMar w:left="240" w:top="113" w:right="939" w:bottom="0" w:gutter="0" w:footer="0" w:header="0"/>
        </w:sectPr>
      </w:pPr>
    </w:p>
    <w:bookmarkStart w:id="60" w:name="page61"/>
    <w:bookmarkEnd w:id="60"/>
    <w:p>
      <w:pPr>
        <w:spacing w:after="0" w:line="28" w:lineRule="exact"/>
        <w:rPr>
          <w:sz w:val="20"/>
          <w:szCs w:val="20"/>
          <w:color w:val="auto"/>
        </w:rPr>
      </w:pPr>
    </w:p>
    <w:p>
      <w:pPr>
        <w:ind w:right="3019"/>
        <w:spacing w:after="0" w:line="268" w:lineRule="auto"/>
        <w:rPr>
          <w:sz w:val="20"/>
          <w:szCs w:val="20"/>
          <w:color w:val="auto"/>
        </w:rPr>
      </w:pPr>
      <w:r>
        <w:rPr>
          <w:rFonts w:ascii="Courier New" w:cs="Courier New" w:eastAsia="Courier New" w:hAnsi="Courier New"/>
          <w:sz w:val="15"/>
          <w:szCs w:val="15"/>
          <w:color w:val="auto"/>
        </w:rPr>
        <w:t>At August 31, 1996 and August 26, 1995, marketable securities are primarily comprised of common stocks and mutual funds. These investments are categorized as trading and, in accordance with SFAS No. 115, are stated at fair value based on quoted market prices. Unrealized gains and losses are included in earnings as a component of financial income and expense. Net realized gains and losses on security transactions are determined on the specific identification basis.</w:t>
      </w:r>
    </w:p>
    <w:p>
      <w:pPr>
        <w:spacing w:after="0" w:line="75" w:lineRule="exact"/>
        <w:rPr>
          <w:sz w:val="20"/>
          <w:szCs w:val="20"/>
          <w:color w:val="auto"/>
        </w:rPr>
      </w:pPr>
    </w:p>
    <w:p>
      <w:pPr>
        <w:ind w:right="3019"/>
        <w:spacing w:after="0" w:line="285" w:lineRule="auto"/>
        <w:rPr>
          <w:sz w:val="20"/>
          <w:szCs w:val="20"/>
          <w:color w:val="auto"/>
        </w:rPr>
      </w:pPr>
      <w:r>
        <w:rPr>
          <w:rFonts w:ascii="Courier New" w:cs="Courier New" w:eastAsia="Courier New" w:hAnsi="Courier New"/>
          <w:sz w:val="15"/>
          <w:szCs w:val="15"/>
          <w:color w:val="auto"/>
        </w:rPr>
        <w:t>REVENUE RECOGNITION. Sales are recorded by the Company when products are shipped to independent dealers. Interest income from dealer floor plan receivables are recorded on the accrual basis in accordance with the terms of the loan agreements.</w:t>
      </w:r>
    </w:p>
    <w:p>
      <w:pPr>
        <w:spacing w:after="0" w:line="60" w:lineRule="exact"/>
        <w:rPr>
          <w:sz w:val="20"/>
          <w:szCs w:val="20"/>
          <w:color w:val="auto"/>
        </w:rPr>
      </w:pPr>
    </w:p>
    <w:p>
      <w:pPr>
        <w:ind w:right="3279"/>
        <w:spacing w:after="0" w:line="305" w:lineRule="auto"/>
        <w:rPr>
          <w:sz w:val="20"/>
          <w:szCs w:val="20"/>
          <w:color w:val="auto"/>
        </w:rPr>
      </w:pPr>
      <w:r>
        <w:rPr>
          <w:rFonts w:ascii="Courier New" w:cs="Courier New" w:eastAsia="Courier New" w:hAnsi="Courier New"/>
          <w:sz w:val="15"/>
          <w:szCs w:val="15"/>
          <w:color w:val="auto"/>
        </w:rPr>
        <w:t>INVENTORIES. Inventories are valued at the lower of cost or market, with cost being determined by using the last-in, first-out (LIFO) method and market defined as net realizable value.</w:t>
      </w:r>
    </w:p>
    <w:p>
      <w:pPr>
        <w:spacing w:after="0" w:line="46" w:lineRule="exact"/>
        <w:rPr>
          <w:sz w:val="20"/>
          <w:szCs w:val="20"/>
          <w:color w:val="auto"/>
        </w:rPr>
      </w:pPr>
    </w:p>
    <w:p>
      <w:pPr>
        <w:ind w:right="3019"/>
        <w:spacing w:after="0" w:line="311" w:lineRule="auto"/>
        <w:rPr>
          <w:sz w:val="20"/>
          <w:szCs w:val="20"/>
          <w:color w:val="auto"/>
        </w:rPr>
      </w:pPr>
      <w:r>
        <w:rPr>
          <w:rFonts w:ascii="Courier New" w:cs="Courier New" w:eastAsia="Courier New" w:hAnsi="Courier New"/>
          <w:sz w:val="14"/>
          <w:szCs w:val="14"/>
          <w:color w:val="auto"/>
        </w:rPr>
        <w:t>PROPERTY AND EQUIPMENT. Depreciation of property and equipment is computed using the straight-line method on the cost of the assets, less allowance for salvage value where appropriate, at rates based upon their estimated service lives. Accelerated depreciation methods are used for tax purposes whenever permitted.</w:t>
      </w:r>
    </w:p>
    <w:p>
      <w:pPr>
        <w:spacing w:after="0" w:line="45" w:lineRule="exact"/>
        <w:rPr>
          <w:sz w:val="20"/>
          <w:szCs w:val="20"/>
          <w:color w:val="auto"/>
        </w:rPr>
      </w:pPr>
    </w:p>
    <w:p>
      <w:pPr>
        <w:ind w:right="3019"/>
        <w:spacing w:after="0" w:line="365" w:lineRule="auto"/>
        <w:rPr>
          <w:sz w:val="20"/>
          <w:szCs w:val="20"/>
          <w:color w:val="auto"/>
        </w:rPr>
      </w:pPr>
      <w:r>
        <w:rPr>
          <w:rFonts w:ascii="Courier New" w:cs="Courier New" w:eastAsia="Courier New" w:hAnsi="Courier New"/>
          <w:sz w:val="15"/>
          <w:szCs w:val="15"/>
          <w:color w:val="auto"/>
        </w:rPr>
        <w:t>PROVISION FOR WARRANTY CLAIMS. Estimated warranty costs are provided at the time of sale of the warranted products.</w:t>
      </w:r>
    </w:p>
    <w:p>
      <w:pPr>
        <w:spacing w:after="0" w:line="3" w:lineRule="exact"/>
        <w:rPr>
          <w:sz w:val="20"/>
          <w:szCs w:val="20"/>
          <w:color w:val="auto"/>
        </w:rPr>
      </w:pPr>
    </w:p>
    <w:p>
      <w:pPr>
        <w:ind w:right="3199"/>
        <w:spacing w:after="0" w:line="262" w:lineRule="auto"/>
        <w:rPr>
          <w:sz w:val="20"/>
          <w:szCs w:val="20"/>
          <w:color w:val="auto"/>
        </w:rPr>
      </w:pPr>
      <w:r>
        <w:rPr>
          <w:rFonts w:ascii="Courier New" w:cs="Courier New" w:eastAsia="Courier New" w:hAnsi="Courier New"/>
          <w:sz w:val="15"/>
          <w:szCs w:val="15"/>
          <w:color w:val="auto"/>
        </w:rPr>
        <w:t>INCOME TAXES. The Company accounts for income taxes under SFAS No. 109, "Accounting for Income Taxes". This Statement requires recognition of deferred assets and liabilities for the expected future tax consequences of events that have been included in the financial statements or tax returns. Under this method, deferred tax assets and liabilities are determined based on the differences between the financial statement and tax basis of assets and liabilities using enacted tax rates in effect for the years in which the differences are expected to reverse.</w:t>
      </w:r>
    </w:p>
    <w:p>
      <w:pPr>
        <w:spacing w:after="0" w:line="76" w:lineRule="exact"/>
        <w:rPr>
          <w:sz w:val="20"/>
          <w:szCs w:val="20"/>
          <w:color w:val="auto"/>
        </w:rPr>
      </w:pPr>
    </w:p>
    <w:p>
      <w:pPr>
        <w:ind w:right="3019"/>
        <w:spacing w:after="0" w:line="268" w:lineRule="auto"/>
        <w:rPr>
          <w:sz w:val="20"/>
          <w:szCs w:val="20"/>
          <w:color w:val="auto"/>
        </w:rPr>
      </w:pPr>
      <w:r>
        <w:rPr>
          <w:rFonts w:ascii="Courier New" w:cs="Courier New" w:eastAsia="Courier New" w:hAnsi="Courier New"/>
          <w:sz w:val="15"/>
          <w:szCs w:val="15"/>
          <w:color w:val="auto"/>
        </w:rPr>
        <w:t>ALLOWANCE FOR DOUBTFUL ACCOUNTS. Allowance for doubtful accounts are based on previous loss experience. Additional amounts are provided through charges to income as management believes necessary after evaluation of receivables and current economic conditions. Amounts which are considered to be uncollectible are charged off and recoveries of amounts previously charged off are credited to the allowance upon recovery.</w:t>
      </w:r>
    </w:p>
    <w:p>
      <w:pPr>
        <w:spacing w:after="0" w:line="24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13</w:t>
      </w:r>
    </w:p>
    <w:p>
      <w:pPr>
        <w:spacing w:after="0" w:line="350" w:lineRule="exact"/>
        <w:rPr>
          <w:sz w:val="20"/>
          <w:szCs w:val="20"/>
          <w:color w:val="auto"/>
        </w:rPr>
      </w:pPr>
    </w:p>
    <w:p>
      <w:pPr>
        <w:jc w:val="both"/>
        <w:ind w:right="3019"/>
        <w:spacing w:after="0" w:line="305" w:lineRule="auto"/>
        <w:rPr>
          <w:sz w:val="20"/>
          <w:szCs w:val="20"/>
          <w:color w:val="auto"/>
        </w:rPr>
      </w:pPr>
      <w:r>
        <w:rPr>
          <w:rFonts w:ascii="Courier New" w:cs="Courier New" w:eastAsia="Courier New" w:hAnsi="Courier New"/>
          <w:sz w:val="15"/>
          <w:szCs w:val="15"/>
          <w:color w:val="auto"/>
        </w:rPr>
        <w:t>FAIR VALUE DISCLOSURES OF FINANCIAL INVESTMENTS. Marketable securities are carried at fair value. All other financial instruments are carried at amounts believed to approximate fair value.</w:t>
      </w:r>
    </w:p>
    <w:p>
      <w:pPr>
        <w:spacing w:after="0" w:line="46" w:lineRule="exact"/>
        <w:rPr>
          <w:sz w:val="20"/>
          <w:szCs w:val="20"/>
          <w:color w:val="auto"/>
        </w:rPr>
      </w:pPr>
    </w:p>
    <w:p>
      <w:pPr>
        <w:ind w:right="3019"/>
        <w:spacing w:after="0" w:line="256" w:lineRule="auto"/>
        <w:rPr>
          <w:sz w:val="20"/>
          <w:szCs w:val="20"/>
          <w:color w:val="auto"/>
        </w:rPr>
      </w:pPr>
      <w:r>
        <w:rPr>
          <w:rFonts w:ascii="Courier New" w:cs="Courier New" w:eastAsia="Courier New" w:hAnsi="Courier New"/>
          <w:sz w:val="15"/>
          <w:szCs w:val="15"/>
          <w:color w:val="auto"/>
        </w:rPr>
        <w:t>ACCOUNTING CHANGES. In fiscal 1994, the Company was required to adopt SFAS No. 106, "Employers' Accounting for Postretirement Benefits Other Than Pensions" related to health care and other benefits. SFAS No. 106 requires the Company to accrue the estimated cost of retiree benefit payments during the years the employee provides services. SFAS No. 106 allows recognition of the cumulative effect of the liability in the year of adoption or the amortization of the obligation over a period of up to 20 years. The Company elected to recognize the cumulative effect of this obligation. The cumulative effect as of the beginning of fiscal 1994 for adopting SFAS No. 106 was an accrual of postretirement health care costs of $20,420,000 and a decrease in net earnings of $20,420,000 ($.81 per share).</w:t>
      </w:r>
    </w:p>
    <w:p>
      <w:pPr>
        <w:spacing w:after="0" w:line="87" w:lineRule="exact"/>
        <w:rPr>
          <w:sz w:val="20"/>
          <w:szCs w:val="20"/>
          <w:color w:val="auto"/>
        </w:rPr>
      </w:pPr>
    </w:p>
    <w:p>
      <w:pPr>
        <w:ind w:right="3199"/>
        <w:spacing w:after="0" w:line="291" w:lineRule="auto"/>
        <w:rPr>
          <w:sz w:val="20"/>
          <w:szCs w:val="20"/>
          <w:color w:val="auto"/>
        </w:rPr>
      </w:pPr>
      <w:r>
        <w:rPr>
          <w:rFonts w:ascii="Courier New" w:cs="Courier New" w:eastAsia="Courier New" w:hAnsi="Courier New"/>
          <w:sz w:val="14"/>
          <w:szCs w:val="14"/>
          <w:color w:val="auto"/>
        </w:rPr>
        <w:t>USE OF ESTIMATES.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0" w:lineRule="exact"/>
        <w:rPr>
          <w:sz w:val="20"/>
          <w:szCs w:val="20"/>
          <w:color w:val="auto"/>
        </w:rPr>
      </w:pPr>
    </w:p>
    <w:p>
      <w:pPr>
        <w:ind w:right="3019"/>
        <w:spacing w:after="0" w:line="365" w:lineRule="auto"/>
        <w:rPr>
          <w:sz w:val="20"/>
          <w:szCs w:val="20"/>
          <w:color w:val="auto"/>
        </w:rPr>
      </w:pPr>
      <w:r>
        <w:rPr>
          <w:rFonts w:ascii="Courier New" w:cs="Courier New" w:eastAsia="Courier New" w:hAnsi="Courier New"/>
          <w:sz w:val="15"/>
          <w:szCs w:val="15"/>
          <w:color w:val="auto"/>
        </w:rPr>
        <w:t>RECLASSIFICATIONS. Certain prior year information has been reclassified to conform to the current year presentation.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DISCONTINUED OPERATIONS - SALE OF CYCLE-SAT SUBSIDIARY</w:t>
      </w:r>
    </w:p>
    <w:p>
      <w:pPr>
        <w:spacing w:after="0" w:line="177" w:lineRule="exact"/>
        <w:rPr>
          <w:sz w:val="20"/>
          <w:szCs w:val="20"/>
          <w:color w:val="auto"/>
        </w:rPr>
      </w:pPr>
    </w:p>
    <w:p>
      <w:pPr>
        <w:ind w:right="3019"/>
        <w:spacing w:after="0" w:line="268" w:lineRule="auto"/>
        <w:rPr>
          <w:sz w:val="20"/>
          <w:szCs w:val="20"/>
          <w:color w:val="auto"/>
        </w:rPr>
      </w:pPr>
      <w:r>
        <w:rPr>
          <w:rFonts w:ascii="Courier New" w:cs="Courier New" w:eastAsia="Courier New" w:hAnsi="Courier New"/>
          <w:sz w:val="15"/>
          <w:szCs w:val="15"/>
          <w:color w:val="auto"/>
        </w:rPr>
        <w:t>The Company owns an 80% interest in Cycle-Sat, Inc. (Cycle-Sat), a telecommunications service firm that is a leading distributor of television and radio commercials using satellite, fiber-optic and digital technologies. On August 5, 1996 (the measurement date), the Company adopted a formal plan to sell its Cycle-Sat subsidiary. Accordingly, Cycle-Sat is accounted for as a discontinued operation in the accompanying consolidated financial statements.</w:t>
      </w:r>
    </w:p>
    <w:p>
      <w:pPr>
        <w:spacing w:after="0" w:line="75" w:lineRule="exact"/>
        <w:rPr>
          <w:sz w:val="20"/>
          <w:szCs w:val="20"/>
          <w:color w:val="auto"/>
        </w:rPr>
      </w:pPr>
    </w:p>
    <w:p>
      <w:pPr>
        <w:ind w:right="3099"/>
        <w:spacing w:after="0" w:line="285" w:lineRule="auto"/>
        <w:rPr>
          <w:sz w:val="20"/>
          <w:szCs w:val="20"/>
          <w:color w:val="auto"/>
        </w:rPr>
      </w:pPr>
      <w:r>
        <w:rPr>
          <w:rFonts w:ascii="Courier New" w:cs="Courier New" w:eastAsia="Courier New" w:hAnsi="Courier New"/>
          <w:sz w:val="15"/>
          <w:szCs w:val="15"/>
          <w:color w:val="auto"/>
        </w:rPr>
        <w:t>Cycle-Sat revenues were $30,327,000, $24,628,000 and $18,955,000 for the fiscal years ended 1996, 1995 and 1994, respectively. The net assets of Cycle-Sat included in the accompanying consolidated balance sheets as of August 31, 1996 and August 26, 1995 consisted of the following.</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2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14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Aug. 31,</w:t>
            </w:r>
          </w:p>
        </w:tc>
        <w:tc>
          <w:tcPr>
            <w:tcW w:w="10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Aug. 26,</w:t>
            </w:r>
          </w:p>
        </w:tc>
        <w:tc>
          <w:tcPr>
            <w:tcW w:w="0" w:type="dxa"/>
            <w:vAlign w:val="bottom"/>
          </w:tcPr>
          <w:p>
            <w:pPr>
              <w:spacing w:after="0"/>
              <w:rPr>
                <w:sz w:val="1"/>
                <w:szCs w:val="1"/>
                <w:color w:val="auto"/>
              </w:rPr>
            </w:pPr>
          </w:p>
        </w:tc>
      </w:tr>
      <w:tr>
        <w:trPr>
          <w:trHeight w:val="173"/>
        </w:trPr>
        <w:tc>
          <w:tcPr>
            <w:tcW w:w="252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173"/>
        </w:trPr>
        <w:tc>
          <w:tcPr>
            <w:tcW w:w="3920" w:type="dxa"/>
            <w:vAlign w:val="bottom"/>
            <w:gridSpan w:val="3"/>
          </w:tcPr>
          <w:p>
            <w:pPr>
              <w:spacing w:after="0"/>
              <w:rPr>
                <w:sz w:val="20"/>
                <w:szCs w:val="20"/>
                <w:color w:val="auto"/>
              </w:rPr>
            </w:pPr>
            <w:r>
              <w:rPr>
                <w:rFonts w:ascii="Courier New" w:cs="Courier New" w:eastAsia="Courier New" w:hAnsi="Courier New"/>
                <w:sz w:val="15"/>
                <w:szCs w:val="15"/>
                <w:color w:val="auto"/>
              </w:rPr>
              <w:t>- ---------------------------- ------------</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3"/>
        </w:trPr>
        <w:tc>
          <w:tcPr>
            <w:tcW w:w="2520" w:type="dxa"/>
            <w:vAlign w:val="bottom"/>
          </w:tcPr>
          <w:p>
            <w:pPr>
              <w:spacing w:after="0"/>
              <w:rPr>
                <w:sz w:val="20"/>
                <w:szCs w:val="20"/>
                <w:color w:val="auto"/>
              </w:rPr>
            </w:pPr>
            <w:r>
              <w:rPr>
                <w:rFonts w:ascii="Courier New" w:cs="Courier New" w:eastAsia="Courier New" w:hAnsi="Courier New"/>
                <w:sz w:val="15"/>
                <w:szCs w:val="15"/>
                <w:color w:val="auto"/>
              </w:rPr>
              <w:t>Receivables</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5,707</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6,169</w:t>
            </w:r>
          </w:p>
        </w:tc>
        <w:tc>
          <w:tcPr>
            <w:tcW w:w="0" w:type="dxa"/>
            <w:vAlign w:val="bottom"/>
          </w:tcPr>
          <w:p>
            <w:pPr>
              <w:spacing w:after="0"/>
              <w:rPr>
                <w:sz w:val="1"/>
                <w:szCs w:val="1"/>
                <w:color w:val="auto"/>
              </w:rPr>
            </w:pPr>
          </w:p>
        </w:tc>
      </w:tr>
      <w:tr>
        <w:trPr>
          <w:trHeight w:val="173"/>
        </w:trPr>
        <w:tc>
          <w:tcPr>
            <w:tcW w:w="252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5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1,578</w:t>
            </w:r>
          </w:p>
        </w:tc>
        <w:tc>
          <w:tcPr>
            <w:tcW w:w="22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514</w:t>
            </w:r>
          </w:p>
        </w:tc>
        <w:tc>
          <w:tcPr>
            <w:tcW w:w="0" w:type="dxa"/>
            <w:vAlign w:val="bottom"/>
          </w:tcPr>
          <w:p>
            <w:pPr>
              <w:spacing w:after="0"/>
              <w:rPr>
                <w:sz w:val="1"/>
                <w:szCs w:val="1"/>
                <w:color w:val="auto"/>
              </w:rPr>
            </w:pPr>
          </w:p>
        </w:tc>
      </w:tr>
      <w:tr>
        <w:trPr>
          <w:trHeight w:val="255"/>
        </w:trPr>
        <w:tc>
          <w:tcPr>
            <w:tcW w:w="25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Current assets of</w:t>
            </w:r>
          </w:p>
        </w:tc>
        <w:tc>
          <w:tcPr>
            <w:tcW w:w="2440" w:type="dxa"/>
            <w:vAlign w:val="bottom"/>
            <w:gridSpan w:val="4"/>
          </w:tcPr>
          <w:p>
            <w:pPr>
              <w:jc w:val="right"/>
              <w:ind w:right="105"/>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92"/>
        </w:trPr>
        <w:tc>
          <w:tcPr>
            <w:tcW w:w="2520" w:type="dxa"/>
            <w:vAlign w:val="bottom"/>
            <w:vMerge w:val="continue"/>
          </w:tcPr>
          <w:p>
            <w:pPr>
              <w:spacing w:after="0"/>
              <w:rPr>
                <w:sz w:val="7"/>
                <w:szCs w:val="7"/>
                <w:color w:val="auto"/>
              </w:rPr>
            </w:pPr>
          </w:p>
        </w:tc>
        <w:tc>
          <w:tcPr>
            <w:tcW w:w="54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7,285</w:t>
            </w:r>
          </w:p>
        </w:tc>
        <w:tc>
          <w:tcPr>
            <w:tcW w:w="2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6,683</w:t>
            </w:r>
          </w:p>
        </w:tc>
        <w:tc>
          <w:tcPr>
            <w:tcW w:w="0" w:type="dxa"/>
            <w:vAlign w:val="bottom"/>
          </w:tcPr>
          <w:p>
            <w:pPr>
              <w:spacing w:after="0"/>
              <w:rPr>
                <w:sz w:val="1"/>
                <w:szCs w:val="1"/>
                <w:color w:val="auto"/>
              </w:rPr>
            </w:pPr>
          </w:p>
        </w:tc>
      </w:tr>
      <w:tr>
        <w:trPr>
          <w:trHeight w:val="173"/>
        </w:trPr>
        <w:tc>
          <w:tcPr>
            <w:tcW w:w="2520" w:type="dxa"/>
            <w:vAlign w:val="bottom"/>
          </w:tcPr>
          <w:p>
            <w:pPr>
              <w:ind w:left="360"/>
              <w:spacing w:after="0"/>
              <w:rPr>
                <w:sz w:val="20"/>
                <w:szCs w:val="20"/>
                <w:color w:val="auto"/>
              </w:rPr>
            </w:pPr>
            <w:r>
              <w:rPr>
                <w:rFonts w:ascii="Courier New" w:cs="Courier New" w:eastAsia="Courier New" w:hAnsi="Courier New"/>
                <w:sz w:val="15"/>
                <w:szCs w:val="15"/>
                <w:color w:val="auto"/>
              </w:rPr>
              <w:t>discontinued operations</w:t>
            </w:r>
          </w:p>
        </w:tc>
        <w:tc>
          <w:tcPr>
            <w:tcW w:w="5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20" w:type="dxa"/>
            <w:vAlign w:val="bottom"/>
            <w:vMerge w:val="restart"/>
          </w:tcPr>
          <w:p>
            <w:pPr>
              <w:spacing w:after="0"/>
              <w:rPr>
                <w:sz w:val="20"/>
                <w:szCs w:val="20"/>
                <w:color w:val="auto"/>
              </w:rPr>
            </w:pPr>
            <w:r>
              <w:rPr>
                <w:rFonts w:ascii="Courier New" w:cs="Courier New" w:eastAsia="Courier New" w:hAnsi="Courier New"/>
                <w:sz w:val="15"/>
                <w:szCs w:val="15"/>
                <w:color w:val="auto"/>
              </w:rPr>
              <w:t>Property and equipment</w:t>
            </w:r>
          </w:p>
        </w:tc>
        <w:tc>
          <w:tcPr>
            <w:tcW w:w="2440" w:type="dxa"/>
            <w:vAlign w:val="bottom"/>
            <w:gridSpan w:val="4"/>
          </w:tcPr>
          <w:p>
            <w:pPr>
              <w:jc w:val="right"/>
              <w:ind w:right="105"/>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73"/>
        </w:trPr>
        <w:tc>
          <w:tcPr>
            <w:tcW w:w="2520" w:type="dxa"/>
            <w:vAlign w:val="bottom"/>
            <w:vMerge w:val="continue"/>
          </w:tcPr>
          <w:p>
            <w:pPr>
              <w:spacing w:after="0"/>
              <w:rPr>
                <w:sz w:val="15"/>
                <w:szCs w:val="15"/>
                <w:color w:val="auto"/>
              </w:rPr>
            </w:pP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4,858</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3,721</w:t>
            </w:r>
          </w:p>
        </w:tc>
        <w:tc>
          <w:tcPr>
            <w:tcW w:w="0" w:type="dxa"/>
            <w:vAlign w:val="bottom"/>
          </w:tcPr>
          <w:p>
            <w:pPr>
              <w:spacing w:after="0"/>
              <w:rPr>
                <w:sz w:val="1"/>
                <w:szCs w:val="1"/>
                <w:color w:val="auto"/>
              </w:rPr>
            </w:pPr>
          </w:p>
        </w:tc>
      </w:tr>
      <w:tr>
        <w:trPr>
          <w:trHeight w:val="255"/>
        </w:trPr>
        <w:tc>
          <w:tcPr>
            <w:tcW w:w="2520" w:type="dxa"/>
            <w:vAlign w:val="bottom"/>
          </w:tcPr>
          <w:p>
            <w:pPr>
              <w:spacing w:after="0"/>
              <w:rPr>
                <w:sz w:val="20"/>
                <w:szCs w:val="20"/>
                <w:color w:val="auto"/>
              </w:rPr>
            </w:pPr>
            <w:r>
              <w:rPr>
                <w:rFonts w:ascii="Courier New" w:cs="Courier New" w:eastAsia="Courier New" w:hAnsi="Courier New"/>
                <w:sz w:val="15"/>
                <w:szCs w:val="15"/>
                <w:color w:val="auto"/>
              </w:rPr>
              <w:t>Intangible and other</w:t>
            </w: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67" w:orient="portrait"/>
          <w:cols w:equalWidth="0" w:num="1">
            <w:col w:w="10219"/>
          </w:cols>
          <w:pgMar w:left="240" w:top="113" w:right="1440" w:bottom="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assets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9,999</w:t>
            </w:r>
          </w:p>
        </w:tc>
        <w:tc>
          <w:tcPr>
            <w:tcW w:w="36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10,350</w:t>
            </w:r>
          </w:p>
        </w:tc>
        <w:tc>
          <w:tcPr>
            <w:tcW w:w="0" w:type="dxa"/>
            <w:vAlign w:val="bottom"/>
          </w:tcPr>
          <w:p>
            <w:pPr>
              <w:spacing w:after="0"/>
              <w:rPr>
                <w:sz w:val="1"/>
                <w:szCs w:val="1"/>
                <w:color w:val="auto"/>
              </w:rPr>
            </w:pPr>
          </w:p>
        </w:tc>
      </w:tr>
      <w:tr>
        <w:trPr>
          <w:trHeight w:val="255"/>
        </w:trPr>
        <w:tc>
          <w:tcPr>
            <w:tcW w:w="25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Long-term assets of</w:t>
            </w:r>
          </w:p>
        </w:tc>
        <w:tc>
          <w:tcPr>
            <w:tcW w:w="2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92"/>
        </w:trPr>
        <w:tc>
          <w:tcPr>
            <w:tcW w:w="2520" w:type="dxa"/>
            <w:vAlign w:val="bottom"/>
            <w:vMerge w:val="continue"/>
          </w:tcPr>
          <w:p>
            <w:pPr>
              <w:spacing w:after="0"/>
              <w:rPr>
                <w:sz w:val="7"/>
                <w:szCs w:val="7"/>
                <w:color w:val="auto"/>
              </w:rPr>
            </w:pPr>
          </w:p>
        </w:tc>
        <w:tc>
          <w:tcPr>
            <w:tcW w:w="12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$14,857</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6"/>
              </w:rPr>
              <w:t>14,071</w:t>
            </w:r>
          </w:p>
        </w:tc>
        <w:tc>
          <w:tcPr>
            <w:tcW w:w="0" w:type="dxa"/>
            <w:vAlign w:val="bottom"/>
          </w:tcPr>
          <w:p>
            <w:pPr>
              <w:spacing w:after="0"/>
              <w:rPr>
                <w:sz w:val="1"/>
                <w:szCs w:val="1"/>
                <w:color w:val="auto"/>
              </w:rPr>
            </w:pPr>
          </w:p>
        </w:tc>
      </w:tr>
      <w:tr>
        <w:trPr>
          <w:trHeight w:val="173"/>
        </w:trPr>
        <w:tc>
          <w:tcPr>
            <w:tcW w:w="2520" w:type="dxa"/>
            <w:vAlign w:val="bottom"/>
          </w:tcPr>
          <w:p>
            <w:pPr>
              <w:ind w:left="360"/>
              <w:spacing w:after="0"/>
              <w:rPr>
                <w:sz w:val="20"/>
                <w:szCs w:val="20"/>
                <w:color w:val="auto"/>
              </w:rPr>
            </w:pPr>
            <w:r>
              <w:rPr>
                <w:rFonts w:ascii="Courier New" w:cs="Courier New" w:eastAsia="Courier New" w:hAnsi="Courier New"/>
                <w:sz w:val="15"/>
                <w:szCs w:val="15"/>
                <w:color w:val="auto"/>
              </w:rPr>
              <w:t>discontinued operations</w:t>
            </w:r>
          </w:p>
        </w:tc>
        <w:tc>
          <w:tcPr>
            <w:tcW w:w="12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520" w:type="dxa"/>
            <w:vAlign w:val="bottom"/>
            <w:vMerge w:val="restart"/>
          </w:tcPr>
          <w:p>
            <w:pPr>
              <w:spacing w:after="0"/>
              <w:rPr>
                <w:sz w:val="20"/>
                <w:szCs w:val="20"/>
                <w:color w:val="auto"/>
              </w:rPr>
            </w:pPr>
            <w:r>
              <w:rPr>
                <w:rFonts w:ascii="Courier New" w:cs="Courier New" w:eastAsia="Courier New" w:hAnsi="Courier New"/>
                <w:sz w:val="15"/>
                <w:szCs w:val="15"/>
                <w:color w:val="auto"/>
              </w:rPr>
              <w:t>Current maturities of</w:t>
            </w:r>
          </w:p>
        </w:tc>
        <w:tc>
          <w:tcPr>
            <w:tcW w:w="2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92"/>
        </w:trPr>
        <w:tc>
          <w:tcPr>
            <w:tcW w:w="2520" w:type="dxa"/>
            <w:vAlign w:val="bottom"/>
            <w:vMerge w:val="continue"/>
          </w:tcPr>
          <w:p>
            <w:pPr>
              <w:spacing w:after="0"/>
              <w:rPr>
                <w:sz w:val="7"/>
                <w:szCs w:val="7"/>
                <w:color w:val="auto"/>
              </w:rPr>
            </w:pPr>
          </w:p>
        </w:tc>
        <w:tc>
          <w:tcPr>
            <w:tcW w:w="12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$10,134</w:t>
            </w:r>
          </w:p>
        </w:tc>
        <w:tc>
          <w:tcPr>
            <w:tcW w:w="3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2,844</w:t>
            </w:r>
          </w:p>
        </w:tc>
        <w:tc>
          <w:tcPr>
            <w:tcW w:w="0" w:type="dxa"/>
            <w:vAlign w:val="bottom"/>
          </w:tcPr>
          <w:p>
            <w:pPr>
              <w:spacing w:after="0"/>
              <w:rPr>
                <w:sz w:val="1"/>
                <w:szCs w:val="1"/>
                <w:color w:val="auto"/>
              </w:rPr>
            </w:pPr>
          </w:p>
        </w:tc>
      </w:tr>
      <w:tr>
        <w:trPr>
          <w:trHeight w:val="173"/>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long-term debt</w:t>
            </w:r>
          </w:p>
        </w:tc>
        <w:tc>
          <w:tcPr>
            <w:tcW w:w="12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20" w:type="dxa"/>
            <w:vAlign w:val="bottom"/>
          </w:tcPr>
          <w:p>
            <w:pPr>
              <w:spacing w:after="0"/>
              <w:rPr>
                <w:sz w:val="20"/>
                <w:szCs w:val="20"/>
                <w:color w:val="auto"/>
              </w:rPr>
            </w:pPr>
            <w:r>
              <w:rPr>
                <w:rFonts w:ascii="Courier New" w:cs="Courier New" w:eastAsia="Courier New" w:hAnsi="Courier New"/>
                <w:sz w:val="15"/>
                <w:szCs w:val="15"/>
                <w:color w:val="auto"/>
              </w:rPr>
              <w:t>Notes payable</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4,215</w:t>
            </w:r>
          </w:p>
        </w:tc>
        <w:tc>
          <w:tcPr>
            <w:tcW w:w="36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4,000</w:t>
            </w:r>
          </w:p>
        </w:tc>
        <w:tc>
          <w:tcPr>
            <w:tcW w:w="0" w:type="dxa"/>
            <w:vAlign w:val="bottom"/>
          </w:tcPr>
          <w:p>
            <w:pPr>
              <w:spacing w:after="0"/>
              <w:rPr>
                <w:sz w:val="1"/>
                <w:szCs w:val="1"/>
                <w:color w:val="auto"/>
              </w:rPr>
            </w:pPr>
          </w:p>
        </w:tc>
      </w:tr>
      <w:tr>
        <w:trPr>
          <w:trHeight w:val="173"/>
        </w:trPr>
        <w:tc>
          <w:tcPr>
            <w:tcW w:w="2520" w:type="dxa"/>
            <w:vAlign w:val="bottom"/>
          </w:tcPr>
          <w:p>
            <w:pPr>
              <w:spacing w:after="0"/>
              <w:rPr>
                <w:sz w:val="20"/>
                <w:szCs w:val="20"/>
                <w:color w:val="auto"/>
              </w:rPr>
            </w:pPr>
            <w:r>
              <w:rPr>
                <w:rFonts w:ascii="Courier New" w:cs="Courier New" w:eastAsia="Courier New" w:hAnsi="Courier New"/>
                <w:sz w:val="15"/>
                <w:szCs w:val="15"/>
                <w:color w:val="auto"/>
              </w:rPr>
              <w:t>Accounts payable and</w:t>
            </w:r>
          </w:p>
        </w:tc>
        <w:tc>
          <w:tcPr>
            <w:tcW w:w="12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3,183</w:t>
            </w:r>
          </w:p>
        </w:tc>
        <w:tc>
          <w:tcPr>
            <w:tcW w:w="360" w:type="dxa"/>
            <w:vAlign w:val="bottom"/>
          </w:tcPr>
          <w:p>
            <w:pPr>
              <w:spacing w:after="0"/>
              <w:rPr>
                <w:sz w:val="15"/>
                <w:szCs w:val="15"/>
                <w:color w:val="auto"/>
              </w:rPr>
            </w:pPr>
          </w:p>
        </w:tc>
        <w:tc>
          <w:tcPr>
            <w:tcW w:w="6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3,115</w:t>
            </w:r>
          </w:p>
        </w:tc>
        <w:tc>
          <w:tcPr>
            <w:tcW w:w="0" w:type="dxa"/>
            <w:vAlign w:val="bottom"/>
          </w:tcPr>
          <w:p>
            <w:pPr>
              <w:spacing w:after="0"/>
              <w:rPr>
                <w:sz w:val="1"/>
                <w:szCs w:val="1"/>
                <w:color w:val="auto"/>
              </w:rPr>
            </w:pPr>
          </w:p>
        </w:tc>
      </w:tr>
      <w:tr>
        <w:trPr>
          <w:trHeight w:val="173"/>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other current liabilities</w:t>
            </w:r>
          </w:p>
        </w:tc>
        <w:tc>
          <w:tcPr>
            <w:tcW w:w="12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5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Current liabilities of</w:t>
            </w:r>
          </w:p>
        </w:tc>
        <w:tc>
          <w:tcPr>
            <w:tcW w:w="2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92"/>
        </w:trPr>
        <w:tc>
          <w:tcPr>
            <w:tcW w:w="2520" w:type="dxa"/>
            <w:vAlign w:val="bottom"/>
            <w:vMerge w:val="continue"/>
          </w:tcPr>
          <w:p>
            <w:pPr>
              <w:spacing w:after="0"/>
              <w:rPr>
                <w:sz w:val="7"/>
                <w:szCs w:val="7"/>
                <w:color w:val="auto"/>
              </w:rPr>
            </w:pPr>
          </w:p>
        </w:tc>
        <w:tc>
          <w:tcPr>
            <w:tcW w:w="12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$17,532</w:t>
            </w:r>
          </w:p>
        </w:tc>
        <w:tc>
          <w:tcPr>
            <w:tcW w:w="3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9,959</w:t>
            </w:r>
          </w:p>
        </w:tc>
        <w:tc>
          <w:tcPr>
            <w:tcW w:w="0" w:type="dxa"/>
            <w:vAlign w:val="bottom"/>
          </w:tcPr>
          <w:p>
            <w:pPr>
              <w:spacing w:after="0"/>
              <w:rPr>
                <w:sz w:val="1"/>
                <w:szCs w:val="1"/>
                <w:color w:val="auto"/>
              </w:rPr>
            </w:pPr>
          </w:p>
        </w:tc>
      </w:tr>
      <w:tr>
        <w:trPr>
          <w:trHeight w:val="173"/>
        </w:trPr>
        <w:tc>
          <w:tcPr>
            <w:tcW w:w="2520" w:type="dxa"/>
            <w:vAlign w:val="bottom"/>
          </w:tcPr>
          <w:p>
            <w:pPr>
              <w:ind w:left="360"/>
              <w:spacing w:after="0"/>
              <w:rPr>
                <w:sz w:val="20"/>
                <w:szCs w:val="20"/>
                <w:color w:val="auto"/>
              </w:rPr>
            </w:pPr>
            <w:r>
              <w:rPr>
                <w:rFonts w:ascii="Courier New" w:cs="Courier New" w:eastAsia="Courier New" w:hAnsi="Courier New"/>
                <w:sz w:val="15"/>
                <w:szCs w:val="15"/>
                <w:color w:val="auto"/>
              </w:rPr>
              <w:t>discontinued operations</w:t>
            </w:r>
          </w:p>
        </w:tc>
        <w:tc>
          <w:tcPr>
            <w:tcW w:w="12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20" w:type="dxa"/>
            <w:vAlign w:val="bottom"/>
            <w:vMerge w:val="restart"/>
          </w:tcPr>
          <w:p>
            <w:pPr>
              <w:spacing w:after="0"/>
              <w:rPr>
                <w:sz w:val="20"/>
                <w:szCs w:val="20"/>
                <w:color w:val="auto"/>
              </w:rPr>
            </w:pPr>
            <w:r>
              <w:rPr>
                <w:rFonts w:ascii="Courier New" w:cs="Courier New" w:eastAsia="Courier New" w:hAnsi="Courier New"/>
                <w:sz w:val="15"/>
                <w:szCs w:val="15"/>
                <w:color w:val="auto"/>
              </w:rPr>
              <w:t>Long-term debt</w:t>
            </w:r>
          </w:p>
        </w:tc>
        <w:tc>
          <w:tcPr>
            <w:tcW w:w="2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73"/>
        </w:trPr>
        <w:tc>
          <w:tcPr>
            <w:tcW w:w="2520" w:type="dxa"/>
            <w:vAlign w:val="bottom"/>
            <w:vMerge w:val="continue"/>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8,868</w:t>
            </w:r>
          </w:p>
        </w:tc>
        <w:tc>
          <w:tcPr>
            <w:tcW w:w="0" w:type="dxa"/>
            <w:vAlign w:val="bottom"/>
          </w:tcPr>
          <w:p>
            <w:pPr>
              <w:spacing w:after="0"/>
              <w:rPr>
                <w:sz w:val="1"/>
                <w:szCs w:val="1"/>
                <w:color w:val="auto"/>
              </w:rPr>
            </w:pPr>
          </w:p>
        </w:tc>
      </w:tr>
      <w:tr>
        <w:trPr>
          <w:trHeight w:val="173"/>
        </w:trPr>
        <w:tc>
          <w:tcPr>
            <w:tcW w:w="2520" w:type="dxa"/>
            <w:vAlign w:val="bottom"/>
          </w:tcPr>
          <w:p>
            <w:pPr>
              <w:spacing w:after="0"/>
              <w:rPr>
                <w:sz w:val="20"/>
                <w:szCs w:val="20"/>
                <w:color w:val="auto"/>
              </w:rPr>
            </w:pPr>
            <w:r>
              <w:rPr>
                <w:rFonts w:ascii="Courier New" w:cs="Courier New" w:eastAsia="Courier New" w:hAnsi="Courier New"/>
                <w:sz w:val="15"/>
                <w:szCs w:val="15"/>
                <w:color w:val="auto"/>
              </w:rPr>
              <w:t>Other long-term</w:t>
            </w:r>
          </w:p>
        </w:tc>
        <w:tc>
          <w:tcPr>
            <w:tcW w:w="12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6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131</w:t>
            </w:r>
          </w:p>
        </w:tc>
        <w:tc>
          <w:tcPr>
            <w:tcW w:w="0" w:type="dxa"/>
            <w:vAlign w:val="bottom"/>
          </w:tcPr>
          <w:p>
            <w:pPr>
              <w:spacing w:after="0"/>
              <w:rPr>
                <w:sz w:val="1"/>
                <w:szCs w:val="1"/>
                <w:color w:val="auto"/>
              </w:rPr>
            </w:pPr>
          </w:p>
        </w:tc>
      </w:tr>
      <w:tr>
        <w:trPr>
          <w:trHeight w:val="173"/>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liabilities</w:t>
            </w:r>
          </w:p>
        </w:tc>
        <w:tc>
          <w:tcPr>
            <w:tcW w:w="12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5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Long-term liabilities of</w:t>
            </w:r>
          </w:p>
        </w:tc>
        <w:tc>
          <w:tcPr>
            <w:tcW w:w="2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92"/>
        </w:trPr>
        <w:tc>
          <w:tcPr>
            <w:tcW w:w="2520" w:type="dxa"/>
            <w:vAlign w:val="bottom"/>
            <w:vMerge w:val="continue"/>
          </w:tcPr>
          <w:p>
            <w:pPr>
              <w:spacing w:after="0"/>
              <w:rPr>
                <w:sz w:val="7"/>
                <w:szCs w:val="7"/>
                <w:color w:val="auto"/>
              </w:rPr>
            </w:pPr>
          </w:p>
        </w:tc>
        <w:tc>
          <w:tcPr>
            <w:tcW w:w="12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8,999</w:t>
            </w:r>
          </w:p>
        </w:tc>
        <w:tc>
          <w:tcPr>
            <w:tcW w:w="0" w:type="dxa"/>
            <w:vAlign w:val="bottom"/>
          </w:tcPr>
          <w:p>
            <w:pPr>
              <w:spacing w:after="0"/>
              <w:rPr>
                <w:sz w:val="1"/>
                <w:szCs w:val="1"/>
                <w:color w:val="auto"/>
              </w:rPr>
            </w:pPr>
          </w:p>
        </w:tc>
      </w:tr>
      <w:tr>
        <w:trPr>
          <w:trHeight w:val="173"/>
        </w:trPr>
        <w:tc>
          <w:tcPr>
            <w:tcW w:w="2520" w:type="dxa"/>
            <w:vAlign w:val="bottom"/>
          </w:tcPr>
          <w:p>
            <w:pPr>
              <w:ind w:left="360"/>
              <w:spacing w:after="0"/>
              <w:rPr>
                <w:sz w:val="20"/>
                <w:szCs w:val="20"/>
                <w:color w:val="auto"/>
              </w:rPr>
            </w:pPr>
            <w:r>
              <w:rPr>
                <w:rFonts w:ascii="Courier New" w:cs="Courier New" w:eastAsia="Courier New" w:hAnsi="Courier New"/>
                <w:sz w:val="15"/>
                <w:szCs w:val="15"/>
                <w:color w:val="auto"/>
              </w:rPr>
              <w:t>discontinued operations</w:t>
            </w:r>
          </w:p>
        </w:tc>
        <w:tc>
          <w:tcPr>
            <w:tcW w:w="12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520" w:type="dxa"/>
            <w:vAlign w:val="bottom"/>
            <w:vMerge w:val="restart"/>
          </w:tcPr>
          <w:p>
            <w:pPr>
              <w:spacing w:after="0"/>
              <w:rPr>
                <w:sz w:val="20"/>
                <w:szCs w:val="20"/>
                <w:color w:val="auto"/>
              </w:rPr>
            </w:pPr>
            <w:r>
              <w:rPr>
                <w:rFonts w:ascii="Courier New" w:cs="Courier New" w:eastAsia="Courier New" w:hAnsi="Courier New"/>
                <w:sz w:val="15"/>
                <w:szCs w:val="15"/>
                <w:color w:val="auto"/>
              </w:rPr>
              <w:t>Minority interest in</w:t>
            </w:r>
          </w:p>
        </w:tc>
        <w:tc>
          <w:tcPr>
            <w:tcW w:w="2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92"/>
        </w:trPr>
        <w:tc>
          <w:tcPr>
            <w:tcW w:w="252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discontinued</w:t>
            </w:r>
          </w:p>
        </w:tc>
        <w:tc>
          <w:tcPr>
            <w:tcW w:w="12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  2,194</w:t>
            </w:r>
          </w:p>
        </w:tc>
        <w:tc>
          <w:tcPr>
            <w:tcW w:w="3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2,071</w:t>
            </w:r>
          </w:p>
        </w:tc>
        <w:tc>
          <w:tcPr>
            <w:tcW w:w="0" w:type="dxa"/>
            <w:vAlign w:val="bottom"/>
          </w:tcPr>
          <w:p>
            <w:pPr>
              <w:spacing w:after="0"/>
              <w:rPr>
                <w:sz w:val="1"/>
                <w:szCs w:val="1"/>
                <w:color w:val="auto"/>
              </w:rPr>
            </w:pPr>
          </w:p>
        </w:tc>
      </w:tr>
      <w:tr>
        <w:trPr>
          <w:trHeight w:val="173"/>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12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520" w:type="dxa"/>
            <w:vAlign w:val="bottom"/>
          </w:tcPr>
          <w:p>
            <w:pPr>
              <w:spacing w:after="0"/>
              <w:rPr>
                <w:sz w:val="22"/>
                <w:szCs w:val="22"/>
                <w:color w:val="auto"/>
              </w:rPr>
            </w:pPr>
          </w:p>
        </w:tc>
        <w:tc>
          <w:tcPr>
            <w:tcW w:w="2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14</w:t>
      </w:r>
    </w:p>
    <w:p>
      <w:pPr>
        <w:spacing w:after="0" w:line="350" w:lineRule="exact"/>
        <w:rPr>
          <w:sz w:val="20"/>
          <w:szCs w:val="20"/>
          <w:color w:val="auto"/>
        </w:rPr>
      </w:pPr>
    </w:p>
    <w:p>
      <w:pPr>
        <w:ind w:right="3559"/>
        <w:spacing w:after="0" w:line="365" w:lineRule="auto"/>
        <w:rPr>
          <w:sz w:val="20"/>
          <w:szCs w:val="20"/>
          <w:color w:val="auto"/>
        </w:rPr>
      </w:pPr>
      <w:r>
        <w:rPr>
          <w:rFonts w:ascii="Courier New" w:cs="Courier New" w:eastAsia="Courier New" w:hAnsi="Courier New"/>
          <w:sz w:val="15"/>
          <w:szCs w:val="15"/>
          <w:color w:val="auto"/>
        </w:rPr>
        <w:t>The net operating activity of Cycle-Sat after the measurement date through August 31, 1996 was not significant.</w:t>
      </w:r>
    </w:p>
    <w:p>
      <w:pPr>
        <w:spacing w:after="0" w:line="3" w:lineRule="exact"/>
        <w:rPr>
          <w:sz w:val="20"/>
          <w:szCs w:val="20"/>
          <w:color w:val="auto"/>
        </w:rPr>
      </w:pPr>
    </w:p>
    <w:p>
      <w:pPr>
        <w:ind w:right="3099"/>
        <w:spacing w:after="0" w:line="285" w:lineRule="auto"/>
        <w:rPr>
          <w:sz w:val="20"/>
          <w:szCs w:val="20"/>
          <w:color w:val="auto"/>
        </w:rPr>
      </w:pPr>
      <w:r>
        <w:rPr>
          <w:rFonts w:ascii="Courier New" w:cs="Courier New" w:eastAsia="Courier New" w:hAnsi="Courier New"/>
          <w:sz w:val="15"/>
          <w:szCs w:val="15"/>
          <w:color w:val="auto"/>
        </w:rPr>
        <w:t>On September 9, 1996, a letter of understanding was reached to sell substantially all of the assets of Cycle-Sat to The WilTech Group, a subsidiary of The Williams Companies, Inc. The transaction is expected to close during the first quarter of fiscal 1997.</w:t>
      </w:r>
    </w:p>
    <w:p>
      <w:pPr>
        <w:spacing w:after="0" w:line="60" w:lineRule="exact"/>
        <w:rPr>
          <w:sz w:val="20"/>
          <w:szCs w:val="20"/>
          <w:color w:val="auto"/>
        </w:rPr>
      </w:pPr>
    </w:p>
    <w:p>
      <w:pPr>
        <w:ind w:left="720" w:right="4279" w:hanging="720"/>
        <w:spacing w:after="0" w:line="365" w:lineRule="auto"/>
        <w:rPr>
          <w:sz w:val="20"/>
          <w:szCs w:val="20"/>
          <w:color w:val="auto"/>
        </w:rPr>
      </w:pPr>
      <w:r>
        <w:rPr>
          <w:rFonts w:ascii="Courier New" w:cs="Courier New" w:eastAsia="Courier New" w:hAnsi="Courier New"/>
          <w:sz w:val="15"/>
          <w:szCs w:val="15"/>
          <w:color w:val="auto"/>
        </w:rPr>
        <w:t>NOTE 3: DISCONTINUED OPERATIONS - DISPOSAL OF ELECTRONIC COMPONENT ASSEMBLY SEGMENT</w:t>
      </w:r>
    </w:p>
    <w:p>
      <w:pPr>
        <w:spacing w:after="0" w:line="3" w:lineRule="exact"/>
        <w:rPr>
          <w:sz w:val="20"/>
          <w:szCs w:val="20"/>
          <w:color w:val="auto"/>
        </w:rPr>
      </w:pPr>
    </w:p>
    <w:p>
      <w:pPr>
        <w:ind w:right="3019"/>
        <w:spacing w:after="0" w:line="291" w:lineRule="auto"/>
        <w:rPr>
          <w:sz w:val="20"/>
          <w:szCs w:val="20"/>
          <w:color w:val="auto"/>
        </w:rPr>
      </w:pPr>
      <w:r>
        <w:rPr>
          <w:rFonts w:ascii="Courier New" w:cs="Courier New" w:eastAsia="Courier New" w:hAnsi="Courier New"/>
          <w:sz w:val="14"/>
          <w:szCs w:val="14"/>
          <w:color w:val="auto"/>
        </w:rPr>
        <w:t>In August 1993, the Company agreed to sell certain assets and liabilities of its electronic component assembly business, North Iowa Electronics, Inc. (NIE) to an unaffiliated third party (the buyer) for $100,000 in cash and a $1.6 million promissory note. The transaction was accounted for as a transfer of net assets with recognition of the gain ($285,000) deferred due to uncertainty surrounding the buyer's ability to generate sufficient cash flows to retire the note.</w:t>
      </w:r>
    </w:p>
    <w:p>
      <w:pPr>
        <w:spacing w:after="0" w:line="60"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5"/>
          <w:szCs w:val="15"/>
          <w:color w:val="auto"/>
        </w:rPr>
        <w:t>During fiscal 1995, the Company guaranteed certain debt obligations of the buyer totaling $4,500,000. The buyer is currently experiencing significant financial difficulties and the Company has decided to make no further financial accommodations and to exit ongoing involvement with this business. In the fourth quarter of fiscal 1996, the Company provided $4,074,000 for the anticipated loss related to the net cost of resolution of this matter. The Company expects to ultimately resolve this matter during fiscal 1997.</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TFI ACQUISITION</w:t>
      </w:r>
    </w:p>
    <w:p>
      <w:pPr>
        <w:spacing w:after="0" w:line="177" w:lineRule="exact"/>
        <w:rPr>
          <w:sz w:val="20"/>
          <w:szCs w:val="20"/>
          <w:color w:val="auto"/>
        </w:rPr>
      </w:pPr>
    </w:p>
    <w:p>
      <w:pPr>
        <w:ind w:right="3099"/>
        <w:spacing w:after="0" w:line="274" w:lineRule="auto"/>
        <w:rPr>
          <w:sz w:val="20"/>
          <w:szCs w:val="20"/>
          <w:color w:val="auto"/>
        </w:rPr>
      </w:pPr>
      <w:r>
        <w:rPr>
          <w:rFonts w:ascii="Courier New" w:cs="Courier New" w:eastAsia="Courier New" w:hAnsi="Courier New"/>
          <w:sz w:val="15"/>
          <w:szCs w:val="15"/>
          <w:color w:val="auto"/>
        </w:rPr>
        <w:t>On March 31, 1995, the Company's subsidiary, Cycle-Sat, finalized the purchase of a majority of the assets of the TFI division of MPO Videotronics (MPO), a private company headquartered in Newbury Park, California, for $10,100,000. The Company financed the acquisition through a term loan with Firstar Bank and through terms provided by MPO which aggregated $8,600,000.</w:t>
      </w:r>
    </w:p>
    <w:p>
      <w:pPr>
        <w:spacing w:after="0" w:line="70" w:lineRule="exact"/>
        <w:rPr>
          <w:sz w:val="20"/>
          <w:szCs w:val="20"/>
          <w:color w:val="auto"/>
        </w:rPr>
      </w:pPr>
    </w:p>
    <w:p>
      <w:pPr>
        <w:ind w:right="3019"/>
        <w:spacing w:after="0" w:line="274" w:lineRule="auto"/>
        <w:rPr>
          <w:sz w:val="20"/>
          <w:szCs w:val="20"/>
          <w:color w:val="auto"/>
        </w:rPr>
      </w:pPr>
      <w:r>
        <w:rPr>
          <w:rFonts w:ascii="Courier New" w:cs="Courier New" w:eastAsia="Courier New" w:hAnsi="Courier New"/>
          <w:sz w:val="15"/>
          <w:szCs w:val="15"/>
          <w:color w:val="auto"/>
        </w:rPr>
        <w:t>The acquisition was accounted for as a purchase business combination and the excess of the purchase price over the estimated fair value of the net assets acquired, in the amount of $8,000,000, was recorded as goodwill. The acquisition had no significant pro forma effect on the Company's operating revenues, net income, or earnings per share.</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operation is included with the Cycle-Sat operations being sold (Note 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DEALER FINANCING RECEIVABLES</w:t>
      </w:r>
    </w:p>
    <w:p>
      <w:pPr>
        <w:spacing w:after="0" w:line="177" w:lineRule="exact"/>
        <w:rPr>
          <w:sz w:val="20"/>
          <w:szCs w:val="20"/>
          <w:color w:val="auto"/>
        </w:rPr>
      </w:pPr>
    </w:p>
    <w:p>
      <w:pPr>
        <w:ind w:right="3019"/>
        <w:spacing w:after="0" w:line="274" w:lineRule="auto"/>
        <w:rPr>
          <w:sz w:val="20"/>
          <w:szCs w:val="20"/>
          <w:color w:val="auto"/>
        </w:rPr>
      </w:pPr>
      <w:r>
        <w:rPr>
          <w:rFonts w:ascii="Courier New" w:cs="Courier New" w:eastAsia="Courier New" w:hAnsi="Courier New"/>
          <w:sz w:val="15"/>
          <w:szCs w:val="15"/>
          <w:color w:val="auto"/>
        </w:rPr>
        <w:t>Dealer floor plan receivables are collateralized by recreation vehicles and are due upon the dealer's sale of the vehicle, with the entire balance generally due at the end of one year. At August 31, 1996, the Company had certain concentration of credit risks whereby $10,770,000 of dealer financing receivables were due from one dealer.</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INVENTORIES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consist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8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Aug. 31,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Aug. 26,</w:t>
            </w:r>
          </w:p>
        </w:tc>
        <w:tc>
          <w:tcPr>
            <w:tcW w:w="0" w:type="dxa"/>
            <w:vAlign w:val="bottom"/>
          </w:tcPr>
          <w:p>
            <w:pPr>
              <w:spacing w:after="0"/>
              <w:rPr>
                <w:sz w:val="1"/>
                <w:szCs w:val="1"/>
                <w:color w:val="auto"/>
              </w:rPr>
            </w:pPr>
          </w:p>
        </w:tc>
      </w:tr>
      <w:tr>
        <w:trPr>
          <w:trHeight w:val="201"/>
        </w:trPr>
        <w:tc>
          <w:tcPr>
            <w:tcW w:w="2380" w:type="dxa"/>
            <w:vAlign w:val="bottom"/>
            <w:vMerge w:val="continue"/>
          </w:tcPr>
          <w:p>
            <w:pPr>
              <w:spacing w:after="0"/>
              <w:rPr>
                <w:sz w:val="17"/>
                <w:szCs w:val="17"/>
                <w:color w:val="auto"/>
              </w:rPr>
            </w:pP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 ------------ ------------</w:t>
      </w:r>
    </w:p>
    <w:tbl>
      <w:tblPr>
        <w:tblLayout w:type="fixed"/>
        <w:tblInd w:w="0" w:type="dxa"/>
        <w:tblCellMar>
          <w:top w:w="0" w:type="dxa"/>
          <w:left w:w="0" w:type="dxa"/>
          <w:bottom w:w="0" w:type="dxa"/>
          <w:right w:w="0" w:type="dxa"/>
        </w:tblCellMar>
      </w:tblPr>
      <w:tr>
        <w:trPr>
          <w:trHeight w:val="149"/>
        </w:trPr>
        <w:tc>
          <w:tcPr>
            <w:tcW w:w="1940" w:type="dxa"/>
            <w:vAlign w:val="bottom"/>
          </w:tcPr>
          <w:p>
            <w:pPr>
              <w:spacing w:after="0" w:line="149" w:lineRule="exact"/>
              <w:rPr>
                <w:sz w:val="20"/>
                <w:szCs w:val="20"/>
                <w:color w:val="auto"/>
              </w:rPr>
            </w:pPr>
            <w:r>
              <w:rPr>
                <w:rFonts w:ascii="Courier New" w:cs="Courier New" w:eastAsia="Courier New" w:hAnsi="Courier New"/>
                <w:sz w:val="15"/>
                <w:szCs w:val="15"/>
                <w:color w:val="auto"/>
              </w:rPr>
              <w:t>Finished goods</w:t>
            </w:r>
          </w:p>
        </w:tc>
        <w:tc>
          <w:tcPr>
            <w:tcW w:w="1800" w:type="dxa"/>
            <w:vAlign w:val="bottom"/>
          </w:tcPr>
          <w:p>
            <w:pPr>
              <w:jc w:val="right"/>
              <w:ind w:right="165"/>
              <w:spacing w:after="0" w:line="149" w:lineRule="exact"/>
              <w:rPr>
                <w:sz w:val="20"/>
                <w:szCs w:val="20"/>
                <w:color w:val="auto"/>
              </w:rPr>
            </w:pPr>
            <w:r>
              <w:rPr>
                <w:rFonts w:ascii="Courier New" w:cs="Courier New" w:eastAsia="Courier New" w:hAnsi="Courier New"/>
                <w:sz w:val="15"/>
                <w:szCs w:val="15"/>
                <w:color w:val="auto"/>
              </w:rPr>
              <w:t>$ 28,228</w:t>
            </w:r>
          </w:p>
        </w:tc>
        <w:tc>
          <w:tcPr>
            <w:tcW w:w="360" w:type="dxa"/>
            <w:vAlign w:val="bottom"/>
          </w:tcPr>
          <w:p>
            <w:pPr>
              <w:jc w:val="right"/>
              <w:spacing w:after="0" w:line="149"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line="149" w:lineRule="exact"/>
              <w:rPr>
                <w:sz w:val="20"/>
                <w:szCs w:val="20"/>
                <w:color w:val="auto"/>
              </w:rPr>
            </w:pPr>
            <w:r>
              <w:rPr>
                <w:rFonts w:ascii="Courier New" w:cs="Courier New" w:eastAsia="Courier New" w:hAnsi="Courier New"/>
                <w:sz w:val="15"/>
                <w:szCs w:val="15"/>
                <w:color w:val="auto"/>
              </w:rPr>
              <w:t>19,855</w:t>
            </w:r>
          </w:p>
        </w:tc>
        <w:tc>
          <w:tcPr>
            <w:tcW w:w="0" w:type="dxa"/>
            <w:vAlign w:val="bottom"/>
          </w:tcPr>
          <w:p>
            <w:pPr>
              <w:spacing w:after="0"/>
              <w:rPr>
                <w:sz w:val="1"/>
                <w:szCs w:val="1"/>
                <w:color w:val="auto"/>
              </w:rPr>
            </w:pPr>
          </w:p>
        </w:tc>
      </w:tr>
      <w:tr>
        <w:trPr>
          <w:trHeight w:val="173"/>
        </w:trPr>
        <w:tc>
          <w:tcPr>
            <w:tcW w:w="194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18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13,915</w:t>
            </w:r>
          </w:p>
        </w:tc>
        <w:tc>
          <w:tcPr>
            <w:tcW w:w="36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14,223</w:t>
            </w:r>
          </w:p>
        </w:tc>
        <w:tc>
          <w:tcPr>
            <w:tcW w:w="0" w:type="dxa"/>
            <w:vAlign w:val="bottom"/>
          </w:tcPr>
          <w:p>
            <w:pPr>
              <w:spacing w:after="0"/>
              <w:rPr>
                <w:sz w:val="1"/>
                <w:szCs w:val="1"/>
                <w:color w:val="auto"/>
              </w:rPr>
            </w:pPr>
          </w:p>
        </w:tc>
      </w:tr>
      <w:tr>
        <w:trPr>
          <w:trHeight w:val="173"/>
        </w:trPr>
        <w:tc>
          <w:tcPr>
            <w:tcW w:w="194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8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37,537</w:t>
            </w:r>
          </w:p>
        </w:tc>
        <w:tc>
          <w:tcPr>
            <w:tcW w:w="36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34,623</w:t>
            </w: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73"/>
        </w:trPr>
        <w:tc>
          <w:tcPr>
            <w:tcW w:w="1940" w:type="dxa"/>
            <w:vAlign w:val="bottom"/>
            <w:vMerge w:val="restart"/>
          </w:tcPr>
          <w:p>
            <w:pPr>
              <w:spacing w:after="0"/>
              <w:rPr>
                <w:sz w:val="20"/>
                <w:szCs w:val="20"/>
                <w:color w:val="auto"/>
              </w:rPr>
            </w:pPr>
            <w:r>
              <w:rPr>
                <w:rFonts w:ascii="Courier New" w:cs="Courier New" w:eastAsia="Courier New" w:hAnsi="Courier New"/>
                <w:sz w:val="15"/>
                <w:szCs w:val="15"/>
                <w:color w:val="auto"/>
              </w:rPr>
              <w:t>LIFO reserve</w:t>
            </w:r>
          </w:p>
        </w:tc>
        <w:tc>
          <w:tcPr>
            <w:tcW w:w="18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79,680</w:t>
            </w:r>
          </w:p>
        </w:tc>
        <w:tc>
          <w:tcPr>
            <w:tcW w:w="36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68,701</w:t>
            </w:r>
          </w:p>
        </w:tc>
        <w:tc>
          <w:tcPr>
            <w:tcW w:w="0" w:type="dxa"/>
            <w:vAlign w:val="bottom"/>
          </w:tcPr>
          <w:p>
            <w:pPr>
              <w:spacing w:after="0"/>
              <w:rPr>
                <w:sz w:val="1"/>
                <w:szCs w:val="1"/>
                <w:color w:val="auto"/>
              </w:rPr>
            </w:pPr>
          </w:p>
        </w:tc>
      </w:tr>
      <w:tr>
        <w:trPr>
          <w:trHeight w:val="173"/>
        </w:trPr>
        <w:tc>
          <w:tcPr>
            <w:tcW w:w="1940" w:type="dxa"/>
            <w:vAlign w:val="bottom"/>
            <w:vMerge w:val="continue"/>
          </w:tcPr>
          <w:p>
            <w:pPr>
              <w:spacing w:after="0"/>
              <w:rPr>
                <w:sz w:val="15"/>
                <w:szCs w:val="15"/>
                <w:color w:val="auto"/>
              </w:rPr>
            </w:pPr>
          </w:p>
        </w:tc>
        <w:tc>
          <w:tcPr>
            <w:tcW w:w="18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16,577</w:t>
            </w:r>
          </w:p>
        </w:tc>
        <w:tc>
          <w:tcPr>
            <w:tcW w:w="36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15,621</w:t>
            </w: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55"/>
        </w:trPr>
        <w:tc>
          <w:tcPr>
            <w:tcW w:w="1940" w:type="dxa"/>
            <w:vAlign w:val="bottom"/>
          </w:tcPr>
          <w:p>
            <w:pPr>
              <w:spacing w:after="0"/>
              <w:rPr>
                <w:sz w:val="22"/>
                <w:szCs w:val="22"/>
                <w:color w:val="auto"/>
              </w:rPr>
            </w:pPr>
          </w:p>
        </w:tc>
        <w:tc>
          <w:tcPr>
            <w:tcW w:w="18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$ 63,103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53,080</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4" w:right="1440" w:bottom="0" w:gutter="0" w:footer="0" w:header="0"/>
        </w:sectPr>
      </w:pPr>
    </w:p>
    <w:bookmarkStart w:id="62" w:name="page63"/>
    <w:bookmarkEnd w:id="62"/>
    <w:p>
      <w:pPr>
        <w:ind w:right="4520"/>
        <w:spacing w:after="0" w:line="365" w:lineRule="auto"/>
        <w:rPr>
          <w:sz w:val="20"/>
          <w:szCs w:val="20"/>
          <w:color w:val="auto"/>
        </w:rPr>
      </w:pPr>
      <w:r>
        <w:rPr>
          <w:rFonts w:ascii="Courier New" w:cs="Courier New" w:eastAsia="Courier New" w:hAnsi="Courier New"/>
          <w:sz w:val="15"/>
          <w:szCs w:val="15"/>
          <w:color w:val="auto"/>
        </w:rPr>
        <w:t>The above value of inventories, before reduction for the LIFO reserve, approximates replacement cost at the respective dates.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OPERATING LEASES</w:t>
      </w:r>
    </w:p>
    <w:p>
      <w:pPr>
        <w:spacing w:after="0" w:line="177" w:lineRule="exact"/>
        <w:rPr>
          <w:sz w:val="20"/>
          <w:szCs w:val="20"/>
          <w:color w:val="auto"/>
        </w:rPr>
      </w:pPr>
    </w:p>
    <w:p>
      <w:pPr>
        <w:ind w:right="3620"/>
        <w:spacing w:after="0" w:line="274" w:lineRule="auto"/>
        <w:rPr>
          <w:sz w:val="20"/>
          <w:szCs w:val="20"/>
          <w:color w:val="auto"/>
        </w:rPr>
      </w:pPr>
      <w:r>
        <w:rPr>
          <w:rFonts w:ascii="Courier New" w:cs="Courier New" w:eastAsia="Courier New" w:hAnsi="Courier New"/>
          <w:sz w:val="15"/>
          <w:szCs w:val="15"/>
          <w:color w:val="auto"/>
        </w:rPr>
        <w:t>Cycle-Sat is a party to various non-cancelable operating leases. These leases expire through 2006. Rent expense was $3,251,000, $2,549,000, and $2,070,000 in fiscal 1996, 1995, and 1994, respectively. Future minimum lease payments under such leases are as follows (dollars in thousands); 1997 - $3,207, 1998 - $3,203, 1999 - $3,182, 2000 - $3,130, 2001 - $2,690, thereafter - $1,319.</w:t>
      </w:r>
    </w:p>
    <w:p>
      <w:pPr>
        <w:spacing w:after="0" w:line="24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15</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LONG-TERM NOTES RECEIVABLE</w:t>
      </w:r>
    </w:p>
    <w:p>
      <w:pPr>
        <w:spacing w:after="0" w:line="177" w:lineRule="exact"/>
        <w:rPr>
          <w:sz w:val="20"/>
          <w:szCs w:val="20"/>
          <w:color w:val="auto"/>
        </w:rPr>
      </w:pPr>
    </w:p>
    <w:p>
      <w:pPr>
        <w:ind w:right="3800"/>
        <w:spacing w:after="0" w:line="268" w:lineRule="auto"/>
        <w:rPr>
          <w:sz w:val="20"/>
          <w:szCs w:val="20"/>
          <w:color w:val="auto"/>
        </w:rPr>
      </w:pPr>
      <w:r>
        <w:rPr>
          <w:rFonts w:ascii="Courier New" w:cs="Courier New" w:eastAsia="Courier New" w:hAnsi="Courier New"/>
          <w:sz w:val="15"/>
          <w:szCs w:val="15"/>
          <w:color w:val="auto"/>
        </w:rPr>
        <w:t>Long-term notes receivable of $3,918,000 and $2,465,000 at August 31, 1996 and August 26, 1995, respectively, are primarily collateralized by dealer inventories and real estate. The notes had weighted average interest rates of 8.5 percent per annum and 8.1 percent per annum at August 31, 1996 and August 26, 1995, respectively, and have various maturity dates ranging through June 2001.</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NOTES PAYABLE</w:t>
      </w:r>
    </w:p>
    <w:p>
      <w:pPr>
        <w:spacing w:after="0" w:line="177" w:lineRule="exact"/>
        <w:rPr>
          <w:sz w:val="20"/>
          <w:szCs w:val="20"/>
          <w:color w:val="auto"/>
        </w:rPr>
      </w:pPr>
    </w:p>
    <w:p>
      <w:pPr>
        <w:ind w:right="3620"/>
        <w:spacing w:after="0" w:line="365" w:lineRule="auto"/>
        <w:rPr>
          <w:sz w:val="20"/>
          <w:szCs w:val="20"/>
          <w:color w:val="auto"/>
        </w:rPr>
      </w:pPr>
      <w:r>
        <w:rPr>
          <w:rFonts w:ascii="Courier New" w:cs="Courier New" w:eastAsia="Courier New" w:hAnsi="Courier New"/>
          <w:sz w:val="15"/>
          <w:szCs w:val="15"/>
          <w:color w:val="auto"/>
        </w:rPr>
        <w:t>Short-term lines of credit and related borrowings outstanding at fiscal year-end are as follows: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2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Available</w:t>
            </w:r>
          </w:p>
        </w:tc>
        <w:tc>
          <w:tcPr>
            <w:tcW w:w="980" w:type="dxa"/>
            <w:vAlign w:val="bottom"/>
          </w:tcPr>
          <w:p>
            <w:pPr>
              <w:spacing w:after="0"/>
              <w:rPr>
                <w:sz w:val="15"/>
                <w:szCs w:val="15"/>
                <w:color w:val="auto"/>
              </w:rPr>
            </w:pPr>
          </w:p>
        </w:tc>
        <w:tc>
          <w:tcPr>
            <w:tcW w:w="2440" w:type="dxa"/>
            <w:vAlign w:val="bottom"/>
            <w:gridSpan w:val="2"/>
            <w:vMerge w:val="restart"/>
          </w:tcPr>
          <w:p>
            <w:pPr>
              <w:ind w:left="640"/>
              <w:spacing w:after="0"/>
              <w:rPr>
                <w:sz w:val="20"/>
                <w:szCs w:val="20"/>
                <w:color w:val="auto"/>
              </w:rPr>
            </w:pPr>
            <w:r>
              <w:rPr>
                <w:rFonts w:ascii="Courier New" w:cs="Courier New" w:eastAsia="Courier New" w:hAnsi="Courier New"/>
                <w:sz w:val="15"/>
                <w:szCs w:val="15"/>
                <w:color w:val="auto"/>
              </w:rPr>
              <w:t>Outstanding</w:t>
            </w:r>
          </w:p>
        </w:tc>
        <w:tc>
          <w:tcPr>
            <w:tcW w:w="2520" w:type="dxa"/>
            <w:vAlign w:val="bottom"/>
            <w:gridSpan w:val="2"/>
            <w:vMerge w:val="restart"/>
          </w:tcPr>
          <w:p>
            <w:pPr>
              <w:jc w:val="right"/>
              <w:ind w:right="645"/>
              <w:spacing w:after="0"/>
              <w:rPr>
                <w:sz w:val="20"/>
                <w:szCs w:val="20"/>
                <w:color w:val="auto"/>
              </w:rPr>
            </w:pPr>
            <w:r>
              <w:rPr>
                <w:rFonts w:ascii="Courier New" w:cs="Courier New" w:eastAsia="Courier New" w:hAnsi="Courier New"/>
                <w:sz w:val="15"/>
                <w:szCs w:val="15"/>
                <w:color w:val="auto"/>
              </w:rPr>
              <w:t>Interest Rate</w:t>
            </w:r>
          </w:p>
        </w:tc>
        <w:tc>
          <w:tcPr>
            <w:tcW w:w="0" w:type="dxa"/>
            <w:vAlign w:val="bottom"/>
          </w:tcPr>
          <w:p>
            <w:pPr>
              <w:spacing w:after="0"/>
              <w:rPr>
                <w:sz w:val="1"/>
                <w:szCs w:val="1"/>
                <w:color w:val="auto"/>
              </w:rPr>
            </w:pPr>
          </w:p>
        </w:tc>
      </w:tr>
      <w:tr>
        <w:trPr>
          <w:trHeight w:val="173"/>
        </w:trPr>
        <w:tc>
          <w:tcPr>
            <w:tcW w:w="2520" w:type="dxa"/>
            <w:vAlign w:val="bottom"/>
          </w:tcPr>
          <w:p>
            <w:pPr>
              <w:spacing w:after="0"/>
              <w:rPr>
                <w:sz w:val="15"/>
                <w:szCs w:val="15"/>
                <w:color w:val="auto"/>
              </w:rPr>
            </w:pPr>
          </w:p>
        </w:tc>
        <w:tc>
          <w:tcPr>
            <w:tcW w:w="3060" w:type="dxa"/>
            <w:vAlign w:val="bottom"/>
            <w:gridSpan w:val="2"/>
          </w:tcPr>
          <w:p>
            <w:pPr>
              <w:ind w:left="1160"/>
              <w:spacing w:after="0"/>
              <w:rPr>
                <w:sz w:val="20"/>
                <w:szCs w:val="20"/>
                <w:color w:val="auto"/>
              </w:rPr>
            </w:pPr>
            <w:r>
              <w:rPr>
                <w:rFonts w:ascii="Courier New" w:cs="Courier New" w:eastAsia="Courier New" w:hAnsi="Courier New"/>
                <w:sz w:val="15"/>
                <w:szCs w:val="15"/>
                <w:color w:val="auto"/>
              </w:rPr>
              <w:t>Credit Lines</w:t>
            </w:r>
          </w:p>
        </w:tc>
        <w:tc>
          <w:tcPr>
            <w:tcW w:w="2440" w:type="dxa"/>
            <w:vAlign w:val="bottom"/>
            <w:gridSpan w:val="2"/>
            <w:vMerge w:val="continue"/>
          </w:tcPr>
          <w:p>
            <w:pPr>
              <w:spacing w:after="0"/>
              <w:rPr>
                <w:sz w:val="15"/>
                <w:szCs w:val="15"/>
                <w:color w:val="auto"/>
              </w:rPr>
            </w:pPr>
          </w:p>
        </w:tc>
        <w:tc>
          <w:tcPr>
            <w:tcW w:w="2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20" w:type="dxa"/>
            <w:vAlign w:val="bottom"/>
          </w:tcPr>
          <w:p>
            <w:pPr>
              <w:spacing w:after="0"/>
              <w:rPr>
                <w:sz w:val="15"/>
                <w:szCs w:val="15"/>
                <w:color w:val="auto"/>
              </w:rPr>
            </w:pPr>
          </w:p>
        </w:tc>
        <w:tc>
          <w:tcPr>
            <w:tcW w:w="80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w:t>
            </w:r>
          </w:p>
        </w:tc>
        <w:tc>
          <w:tcPr>
            <w:tcW w:w="0" w:type="dxa"/>
            <w:vAlign w:val="bottom"/>
          </w:tcPr>
          <w:p>
            <w:pPr>
              <w:spacing w:after="0"/>
              <w:rPr>
                <w:sz w:val="1"/>
                <w:szCs w:val="1"/>
                <w:color w:val="auto"/>
              </w:rPr>
            </w:pPr>
          </w:p>
        </w:tc>
      </w:tr>
      <w:tr>
        <w:trPr>
          <w:trHeight w:val="173"/>
        </w:trPr>
        <w:tc>
          <w:tcPr>
            <w:tcW w:w="252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208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Aug. 31,</w:t>
            </w:r>
          </w:p>
        </w:tc>
        <w:tc>
          <w:tcPr>
            <w:tcW w:w="98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Aug. 26,</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9"/>
              </w:rPr>
              <w:t>Aug. 31,</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9"/>
              </w:rPr>
              <w:t>Aug. 26,</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Aug. 31,</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rPr>
              <w:t>Aug. 26,</w:t>
            </w:r>
          </w:p>
        </w:tc>
        <w:tc>
          <w:tcPr>
            <w:tcW w:w="0" w:type="dxa"/>
            <w:vAlign w:val="bottom"/>
          </w:tcPr>
          <w:p>
            <w:pPr>
              <w:spacing w:after="0"/>
              <w:rPr>
                <w:sz w:val="1"/>
                <w:szCs w:val="1"/>
                <w:color w:val="auto"/>
              </w:rPr>
            </w:pPr>
          </w:p>
        </w:tc>
      </w:tr>
      <w:tr>
        <w:trPr>
          <w:trHeight w:val="201"/>
        </w:trPr>
        <w:tc>
          <w:tcPr>
            <w:tcW w:w="2520" w:type="dxa"/>
            <w:vAlign w:val="bottom"/>
            <w:vMerge w:val="continue"/>
          </w:tcPr>
          <w:p>
            <w:pPr>
              <w:spacing w:after="0"/>
              <w:rPr>
                <w:sz w:val="17"/>
                <w:szCs w:val="17"/>
                <w:color w:val="auto"/>
              </w:rPr>
            </w:pPr>
          </w:p>
        </w:tc>
        <w:tc>
          <w:tcPr>
            <w:tcW w:w="208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1996</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Notes payable:</w:t>
            </w:r>
          </w:p>
        </w:tc>
        <w:tc>
          <w:tcPr>
            <w:tcW w:w="800" w:type="dxa"/>
            <w:vAlign w:val="bottom"/>
          </w:tcPr>
          <w:p>
            <w:pPr>
              <w:spacing w:after="0"/>
              <w:rPr>
                <w:sz w:val="15"/>
                <w:szCs w:val="15"/>
                <w:color w:val="auto"/>
              </w:rPr>
            </w:pPr>
          </w:p>
        </w:tc>
        <w:tc>
          <w:tcPr>
            <w:tcW w:w="10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$30,000</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$30,000</w:t>
            </w: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86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Continuing operations</w:t>
            </w:r>
          </w:p>
        </w:tc>
        <w:tc>
          <w:tcPr>
            <w:tcW w:w="8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Discontinued operations</w:t>
            </w:r>
          </w:p>
        </w:tc>
        <w:tc>
          <w:tcPr>
            <w:tcW w:w="800" w:type="dxa"/>
            <w:vAlign w:val="bottom"/>
          </w:tcPr>
          <w:p>
            <w:pPr>
              <w:spacing w:after="0"/>
              <w:rPr>
                <w:sz w:val="22"/>
                <w:szCs w:val="22"/>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4,215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4,300</w:t>
            </w:r>
          </w:p>
        </w:tc>
        <w:tc>
          <w:tcPr>
            <w:tcW w:w="820" w:type="dxa"/>
            <w:vAlign w:val="bottom"/>
          </w:tcPr>
          <w:p>
            <w:pPr>
              <w:spacing w:after="0"/>
              <w:rPr>
                <w:sz w:val="22"/>
                <w:szCs w:val="22"/>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3"/>
              </w:rPr>
              <w:t>4,215</w:t>
            </w:r>
          </w:p>
        </w:tc>
        <w:tc>
          <w:tcPr>
            <w:tcW w:w="140" w:type="dxa"/>
            <w:vAlign w:val="bottom"/>
          </w:tcPr>
          <w:p>
            <w:pPr>
              <w:spacing w:after="0"/>
              <w:rPr>
                <w:sz w:val="22"/>
                <w:szCs w:val="22"/>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900" w:type="dxa"/>
            <w:vAlign w:val="bottom"/>
          </w:tcPr>
          <w:p>
            <w:pPr>
              <w:spacing w:after="0"/>
              <w:rPr>
                <w:sz w:val="22"/>
                <w:szCs w:val="22"/>
                <w:color w:val="auto"/>
              </w:rPr>
            </w:pPr>
          </w:p>
        </w:tc>
        <w:tc>
          <w:tcPr>
            <w:tcW w:w="8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7.4%</w:t>
            </w:r>
          </w:p>
        </w:tc>
        <w:tc>
          <w:tcPr>
            <w:tcW w:w="0" w:type="dxa"/>
            <w:vAlign w:val="bottom"/>
          </w:tcPr>
          <w:p>
            <w:pPr>
              <w:spacing w:after="0"/>
              <w:rPr>
                <w:sz w:val="1"/>
                <w:szCs w:val="1"/>
                <w:color w:val="auto"/>
              </w:rPr>
            </w:pPr>
          </w:p>
        </w:tc>
      </w:tr>
      <w:tr>
        <w:trPr>
          <w:trHeight w:val="785"/>
        </w:trPr>
        <w:tc>
          <w:tcPr>
            <w:tcW w:w="2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Maximum</w:t>
            </w: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Average</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Weighted</w:t>
            </w:r>
          </w:p>
        </w:tc>
        <w:tc>
          <w:tcPr>
            <w:tcW w:w="1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Average Interest</w:t>
            </w:r>
          </w:p>
        </w:tc>
        <w:tc>
          <w:tcPr>
            <w:tcW w:w="0" w:type="dxa"/>
            <w:vAlign w:val="bottom"/>
          </w:tcPr>
          <w:p>
            <w:pPr>
              <w:spacing w:after="0"/>
              <w:rPr>
                <w:sz w:val="1"/>
                <w:szCs w:val="1"/>
                <w:color w:val="auto"/>
              </w:rPr>
            </w:pPr>
          </w:p>
        </w:tc>
      </w:tr>
      <w:tr>
        <w:trPr>
          <w:trHeight w:val="173"/>
        </w:trPr>
        <w:tc>
          <w:tcPr>
            <w:tcW w:w="2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Outstanding</w:t>
            </w:r>
          </w:p>
        </w:tc>
        <w:tc>
          <w:tcPr>
            <w:tcW w:w="1040" w:type="dxa"/>
            <w:vAlign w:val="bottom"/>
          </w:tcPr>
          <w:p>
            <w:pPr>
              <w:spacing w:after="0"/>
              <w:rPr>
                <w:sz w:val="15"/>
                <w:szCs w:val="15"/>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Outstanding</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Rate</w:t>
            </w:r>
          </w:p>
        </w:tc>
        <w:tc>
          <w:tcPr>
            <w:tcW w:w="1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During Year*</w:t>
            </w:r>
          </w:p>
        </w:tc>
        <w:tc>
          <w:tcPr>
            <w:tcW w:w="0" w:type="dxa"/>
            <w:vAlign w:val="bottom"/>
          </w:tcPr>
          <w:p>
            <w:pPr>
              <w:spacing w:after="0"/>
              <w:rPr>
                <w:sz w:val="1"/>
                <w:szCs w:val="1"/>
                <w:color w:val="auto"/>
              </w:rPr>
            </w:pPr>
          </w:p>
        </w:tc>
      </w:tr>
      <w:tr>
        <w:trPr>
          <w:trHeight w:val="173"/>
        </w:trPr>
        <w:tc>
          <w:tcPr>
            <w:tcW w:w="2340" w:type="dxa"/>
            <w:vAlign w:val="bottom"/>
          </w:tcPr>
          <w:p>
            <w:pPr>
              <w:spacing w:after="0"/>
              <w:rPr>
                <w:sz w:val="15"/>
                <w:szCs w:val="15"/>
                <w:color w:val="auto"/>
              </w:rPr>
            </w:pPr>
          </w:p>
        </w:tc>
        <w:tc>
          <w:tcPr>
            <w:tcW w:w="1840" w:type="dxa"/>
            <w:vAlign w:val="bottom"/>
            <w:gridSpan w:val="2"/>
            <w:vMerge w:val="restart"/>
          </w:tcPr>
          <w:p>
            <w:pPr>
              <w:jc w:val="right"/>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5"/>
                <w:szCs w:val="15"/>
                <w:color w:val="auto"/>
                <w:w w:val="70"/>
                <w:vertAlign w:val="subscript"/>
              </w:rPr>
              <w:t>Aug.31,Aug.26,</w:t>
            </w:r>
          </w:p>
        </w:tc>
        <w:tc>
          <w:tcPr>
            <w:tcW w:w="104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Aug. 27,</w:t>
            </w:r>
          </w:p>
        </w:tc>
        <w:tc>
          <w:tcPr>
            <w:tcW w:w="270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2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234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184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8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Aug. 31,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Aug. 26,</w:t>
            </w:r>
          </w:p>
        </w:tc>
        <w:tc>
          <w:tcPr>
            <w:tcW w:w="14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Aug. 27,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Aug. 31,</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Aug. 26,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Aug. 27,</w:t>
            </w:r>
          </w:p>
        </w:tc>
        <w:tc>
          <w:tcPr>
            <w:tcW w:w="0" w:type="dxa"/>
            <w:vAlign w:val="bottom"/>
          </w:tcPr>
          <w:p>
            <w:pPr>
              <w:spacing w:after="0"/>
              <w:rPr>
                <w:sz w:val="1"/>
                <w:szCs w:val="1"/>
                <w:color w:val="auto"/>
              </w:rPr>
            </w:pPr>
          </w:p>
        </w:tc>
      </w:tr>
      <w:tr>
        <w:trPr>
          <w:trHeight w:val="201"/>
        </w:trPr>
        <w:tc>
          <w:tcPr>
            <w:tcW w:w="2340" w:type="dxa"/>
            <w:vAlign w:val="bottom"/>
            <w:vMerge w:val="continue"/>
          </w:tcPr>
          <w:p>
            <w:pPr>
              <w:spacing w:after="0"/>
              <w:rPr>
                <w:sz w:val="17"/>
                <w:szCs w:val="17"/>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1994</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7"/>
                <w:szCs w:val="17"/>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1994</w:t>
            </w: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1996</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1995</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w w:val="98"/>
              </w:rPr>
              <w:t>Notes payable:</w:t>
            </w:r>
          </w:p>
        </w:tc>
        <w:tc>
          <w:tcPr>
            <w:tcW w:w="108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$ 2,000</w:t>
            </w:r>
          </w:p>
        </w:tc>
        <w:tc>
          <w:tcPr>
            <w:tcW w:w="9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$ 7,000</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58</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951</w:t>
            </w:r>
          </w:p>
        </w:tc>
        <w:tc>
          <w:tcPr>
            <w:tcW w:w="900" w:type="dxa"/>
            <w:vAlign w:val="bottom"/>
            <w:vMerge w:val="restart"/>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9.6%</w:t>
            </w: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6.1%</w:t>
            </w:r>
          </w:p>
        </w:tc>
        <w:tc>
          <w:tcPr>
            <w:tcW w:w="0" w:type="dxa"/>
            <w:vAlign w:val="bottom"/>
          </w:tcPr>
          <w:p>
            <w:pPr>
              <w:spacing w:after="0"/>
              <w:rPr>
                <w:sz w:val="1"/>
                <w:szCs w:val="1"/>
                <w:color w:val="auto"/>
              </w:rPr>
            </w:pPr>
          </w:p>
        </w:tc>
      </w:tr>
      <w:tr>
        <w:trPr>
          <w:trHeight w:val="173"/>
        </w:trPr>
        <w:tc>
          <w:tcPr>
            <w:tcW w:w="2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Continuing operations</w:t>
            </w:r>
          </w:p>
        </w:tc>
        <w:tc>
          <w:tcPr>
            <w:tcW w:w="28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Discontinued</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operations</w:t>
            </w:r>
          </w:p>
        </w:tc>
        <w:tc>
          <w:tcPr>
            <w:tcW w:w="280" w:type="dxa"/>
            <w:vAlign w:val="bottom"/>
          </w:tcPr>
          <w:p>
            <w:pPr>
              <w:spacing w:after="0"/>
              <w:rPr>
                <w:sz w:val="17"/>
                <w:szCs w:val="17"/>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4,500</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4,000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2,300</w:t>
            </w:r>
          </w:p>
        </w:tc>
        <w:tc>
          <w:tcPr>
            <w:tcW w:w="360" w:type="dxa"/>
            <w:vAlign w:val="bottom"/>
          </w:tcPr>
          <w:p>
            <w:pPr>
              <w:spacing w:after="0"/>
              <w:rPr>
                <w:sz w:val="17"/>
                <w:szCs w:val="17"/>
                <w:color w:val="auto"/>
              </w:rPr>
            </w:pP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4,274</w:t>
            </w:r>
          </w:p>
        </w:tc>
        <w:tc>
          <w:tcPr>
            <w:tcW w:w="260" w:type="dxa"/>
            <w:vAlign w:val="bottom"/>
          </w:tcPr>
          <w:p>
            <w:pPr>
              <w:spacing w:after="0"/>
              <w:rPr>
                <w:sz w:val="17"/>
                <w:szCs w:val="17"/>
                <w:color w:val="auto"/>
              </w:rPr>
            </w:pP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2,711</w:t>
            </w:r>
          </w:p>
        </w:tc>
        <w:tc>
          <w:tcPr>
            <w:tcW w:w="280" w:type="dxa"/>
            <w:vAlign w:val="bottom"/>
          </w:tcPr>
          <w:p>
            <w:pPr>
              <w:spacing w:after="0"/>
              <w:rPr>
                <w:sz w:val="17"/>
                <w:szCs w:val="17"/>
                <w:color w:val="auto"/>
              </w:rPr>
            </w:pPr>
          </w:p>
        </w:tc>
        <w:tc>
          <w:tcPr>
            <w:tcW w:w="7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1,030</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7.4%</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c>
          <w:tcPr>
            <w:tcW w:w="0" w:type="dxa"/>
            <w:vAlign w:val="bottom"/>
          </w:tcPr>
          <w:p>
            <w:pPr>
              <w:spacing w:after="0"/>
              <w:rPr>
                <w:sz w:val="1"/>
                <w:szCs w:val="1"/>
                <w:color w:val="auto"/>
              </w:rPr>
            </w:pPr>
          </w:p>
        </w:tc>
      </w:tr>
    </w:tbl>
    <w:p>
      <w:pPr>
        <w:ind w:left="80" w:right="3800" w:hanging="89"/>
        <w:spacing w:after="0" w:line="325" w:lineRule="auto"/>
        <w:rPr>
          <w:sz w:val="20"/>
          <w:szCs w:val="20"/>
          <w:color w:val="auto"/>
        </w:rPr>
      </w:pPr>
      <w:r>
        <w:rPr>
          <w:rFonts w:ascii="Courier New" w:cs="Courier New" w:eastAsia="Courier New" w:hAnsi="Courier New"/>
          <w:sz w:val="15"/>
          <w:szCs w:val="15"/>
          <w:color w:val="auto"/>
        </w:rPr>
        <w:t>*Based on the approximate average aggregate amount outstanding during the year and the interest rate.</w:t>
      </w:r>
    </w:p>
    <w:p>
      <w:pPr>
        <w:spacing w:after="0" w:line="205" w:lineRule="exact"/>
        <w:rPr>
          <w:sz w:val="20"/>
          <w:szCs w:val="20"/>
          <w:color w:val="auto"/>
        </w:rPr>
      </w:pPr>
    </w:p>
    <w:p>
      <w:pPr>
        <w:ind w:right="3620"/>
        <w:spacing w:after="0" w:line="254" w:lineRule="auto"/>
        <w:rPr>
          <w:sz w:val="20"/>
          <w:szCs w:val="20"/>
          <w:color w:val="auto"/>
        </w:rPr>
      </w:pPr>
      <w:r>
        <w:rPr>
          <w:rFonts w:ascii="Courier New" w:cs="Courier New" w:eastAsia="Courier New" w:hAnsi="Courier New"/>
          <w:sz w:val="15"/>
          <w:szCs w:val="15"/>
          <w:color w:val="auto"/>
        </w:rPr>
        <w:t>Since March 1992, the Company has had a financing and security agreement with Nations Credit Corporation (NationsCredit). Terms of the agreement limit borrowings to the lesser of $30,000,000 or 75 percent of eligible inventory (fully manufactured recreation vehicles and motor home chassis and related components). Borrowings are secured by the Company's receivables and inventory. Borrowings under the agreement bear interest at the prime rate, as defined in the agreement, plus 50 basis points. The line of credit is available through March 31, 1997, and continues during successive one-year periods unless either party provides at least 90-days' notice prior to the end of the one-year period to the other party that they wish to terminate the line of credit. The agreement also contains certain restrictive covenants including maintenance of minimum net worth, working capital and current ratio. As of August 31, 1996, the Company was in compliance with these covenants. There were no outstanding borrowings under the line of credit at August 31, 1996 or August 26, 1995.</w:t>
      </w:r>
    </w:p>
    <w:p>
      <w:pPr>
        <w:spacing w:after="0" w:line="83" w:lineRule="exact"/>
        <w:rPr>
          <w:sz w:val="20"/>
          <w:szCs w:val="20"/>
          <w:color w:val="auto"/>
        </w:rPr>
      </w:pPr>
    </w:p>
    <w:p>
      <w:pPr>
        <w:ind w:right="3700"/>
        <w:spacing w:after="0" w:line="255" w:lineRule="auto"/>
        <w:rPr>
          <w:sz w:val="20"/>
          <w:szCs w:val="20"/>
          <w:color w:val="auto"/>
        </w:rPr>
      </w:pPr>
      <w:r>
        <w:rPr>
          <w:rFonts w:ascii="Courier New" w:cs="Courier New" w:eastAsia="Courier New" w:hAnsi="Courier New"/>
          <w:sz w:val="15"/>
          <w:szCs w:val="15"/>
          <w:color w:val="auto"/>
        </w:rPr>
        <w:t>The Company and Cycle-Sat maintain a line of credit with Firstar Bank Cedar Rapids. Terms of the agreement limit the amount advanced to the lesser of $4,500,000 or the borrowing base (defined as the sum of 80 percent of Cycle-Sat's eligible accounts receivable and 50 percent of its inventory). Borrowings under the agreement bear interest at the 90 day LIBOR rate, plus 150 basis points (7.2 percent per annum at August 31, 1996). The agreement contains certain restrictive covenants as described in the agreement. Borrowings under the line of credit are secured by Cycle-Sat's accounts receivable and inventories and have been guaranteed by the Company. The line of credit expires February 1, 1997. The oustanding balance under the line of credit at August 31, 1996 was $4,215,000. As of August 31, 1996, Cycle-Sat had no unused borrowings available.</w:t>
      </w:r>
    </w:p>
    <w:p>
      <w:pPr>
        <w:spacing w:after="0" w:line="26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16</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LONG-TERM DEBT</w:t>
      </w:r>
    </w:p>
    <w:p>
      <w:pPr>
        <w:sectPr>
          <w:pgSz w:w="11900" w:h="16838" w:orient="portrait"/>
          <w:cols w:equalWidth="0" w:num="1">
            <w:col w:w="10820"/>
          </w:cols>
          <w:pgMar w:left="240" w:top="113" w:right="839" w:bottom="212"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73"/>
        </w:trPr>
        <w:tc>
          <w:tcPr>
            <w:tcW w:w="2660" w:type="dxa"/>
            <w:vAlign w:val="bottom"/>
          </w:tcPr>
          <w:p>
            <w:pPr>
              <w:spacing w:after="0"/>
              <w:rPr>
                <w:sz w:val="15"/>
                <w:szCs w:val="15"/>
                <w:color w:val="auto"/>
              </w:rPr>
            </w:pPr>
          </w:p>
        </w:tc>
        <w:tc>
          <w:tcPr>
            <w:tcW w:w="4140" w:type="dxa"/>
            <w:vAlign w:val="bottom"/>
            <w:gridSpan w:val="3"/>
          </w:tcPr>
          <w:p>
            <w:pPr>
              <w:ind w:left="1120"/>
              <w:spacing w:after="0"/>
              <w:rPr>
                <w:sz w:val="20"/>
                <w:szCs w:val="20"/>
                <w:color w:val="auto"/>
              </w:rPr>
            </w:pPr>
            <w:r>
              <w:rPr>
                <w:rFonts w:ascii="Courier New" w:cs="Courier New" w:eastAsia="Courier New" w:hAnsi="Courier New"/>
                <w:sz w:val="15"/>
                <w:szCs w:val="15"/>
                <w:color w:val="auto"/>
              </w:rPr>
              <w:t>Outstanding August 31, 1996</w:t>
            </w:r>
          </w:p>
        </w:tc>
        <w:tc>
          <w:tcPr>
            <w:tcW w:w="1540" w:type="dxa"/>
            <w:vAlign w:val="bottom"/>
          </w:tcPr>
          <w:p>
            <w:pPr>
              <w:ind w:left="500"/>
              <w:spacing w:after="0"/>
              <w:rPr>
                <w:sz w:val="20"/>
                <w:szCs w:val="20"/>
                <w:color w:val="auto"/>
              </w:rPr>
            </w:pPr>
            <w:r>
              <w:rPr>
                <w:rFonts w:ascii="Courier New" w:cs="Courier New" w:eastAsia="Courier New" w:hAnsi="Courier New"/>
                <w:sz w:val="15"/>
                <w:szCs w:val="15"/>
                <w:color w:val="auto"/>
              </w:rPr>
              <w:t>Outstanding</w:t>
            </w:r>
          </w:p>
        </w:tc>
        <w:tc>
          <w:tcPr>
            <w:tcW w:w="1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August 26, 1995</w:t>
            </w:r>
          </w:p>
        </w:tc>
        <w:tc>
          <w:tcPr>
            <w:tcW w:w="0" w:type="dxa"/>
            <w:vAlign w:val="bottom"/>
          </w:tcPr>
          <w:p>
            <w:pPr>
              <w:spacing w:after="0"/>
              <w:rPr>
                <w:sz w:val="1"/>
                <w:szCs w:val="1"/>
                <w:color w:val="auto"/>
              </w:rPr>
            </w:pPr>
          </w:p>
        </w:tc>
      </w:tr>
      <w:tr>
        <w:trPr>
          <w:trHeight w:val="173"/>
        </w:trPr>
        <w:tc>
          <w:tcPr>
            <w:tcW w:w="266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1840" w:type="dxa"/>
            <w:vAlign w:val="bottom"/>
          </w:tcPr>
          <w:p>
            <w:pPr>
              <w:ind w:left="760"/>
              <w:spacing w:after="0"/>
              <w:rPr>
                <w:sz w:val="20"/>
                <w:szCs w:val="20"/>
                <w:color w:val="auto"/>
              </w:rPr>
            </w:pPr>
            <w:r>
              <w:rPr>
                <w:rFonts w:ascii="Courier New" w:cs="Courier New" w:eastAsia="Courier New" w:hAnsi="Courier New"/>
                <w:sz w:val="15"/>
                <w:szCs w:val="15"/>
                <w:color w:val="auto"/>
              </w:rPr>
              <w:t>Current</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Long</w:t>
            </w: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Interest</w:t>
            </w:r>
          </w:p>
        </w:tc>
        <w:tc>
          <w:tcPr>
            <w:tcW w:w="1540" w:type="dxa"/>
            <w:vAlign w:val="bottom"/>
          </w:tcPr>
          <w:p>
            <w:pPr>
              <w:ind w:left="320"/>
              <w:spacing w:after="0"/>
              <w:rPr>
                <w:sz w:val="20"/>
                <w:szCs w:val="20"/>
                <w:color w:val="auto"/>
              </w:rPr>
            </w:pPr>
            <w:r>
              <w:rPr>
                <w:rFonts w:ascii="Courier New" w:cs="Courier New" w:eastAsia="Courier New" w:hAnsi="Courier New"/>
                <w:sz w:val="15"/>
                <w:szCs w:val="15"/>
                <w:color w:val="auto"/>
              </w:rPr>
              <w:t>Current</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Long</w:t>
            </w:r>
          </w:p>
        </w:tc>
        <w:tc>
          <w:tcPr>
            <w:tcW w:w="100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Interest</w:t>
            </w:r>
          </w:p>
        </w:tc>
        <w:tc>
          <w:tcPr>
            <w:tcW w:w="0" w:type="dxa"/>
            <w:vAlign w:val="bottom"/>
          </w:tcPr>
          <w:p>
            <w:pPr>
              <w:spacing w:after="0"/>
              <w:rPr>
                <w:sz w:val="1"/>
                <w:szCs w:val="1"/>
                <w:color w:val="auto"/>
              </w:rPr>
            </w:pPr>
          </w:p>
        </w:tc>
      </w:tr>
      <w:tr>
        <w:trPr>
          <w:trHeight w:val="201"/>
        </w:trPr>
        <w:tc>
          <w:tcPr>
            <w:tcW w:w="2660" w:type="dxa"/>
            <w:vAlign w:val="bottom"/>
            <w:vMerge w:val="continue"/>
          </w:tcPr>
          <w:p>
            <w:pPr>
              <w:spacing w:after="0"/>
              <w:rPr>
                <w:sz w:val="17"/>
                <w:szCs w:val="17"/>
                <w:color w:val="auto"/>
              </w:rPr>
            </w:pPr>
          </w:p>
        </w:tc>
        <w:tc>
          <w:tcPr>
            <w:tcW w:w="1840" w:type="dxa"/>
            <w:vAlign w:val="bottom"/>
          </w:tcPr>
          <w:p>
            <w:pPr>
              <w:ind w:left="660"/>
              <w:spacing w:after="0"/>
              <w:rPr>
                <w:sz w:val="20"/>
                <w:szCs w:val="20"/>
                <w:color w:val="auto"/>
              </w:rPr>
            </w:pPr>
            <w:r>
              <w:rPr>
                <w:rFonts w:ascii="Courier New" w:cs="Courier New" w:eastAsia="Courier New" w:hAnsi="Courier New"/>
                <w:sz w:val="15"/>
                <w:szCs w:val="15"/>
                <w:color w:val="auto"/>
              </w:rPr>
              <w:t>Maturities</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Term</w:t>
            </w: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Rate</w:t>
            </w: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rPr>
              <w:t>Maturities</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Term</w:t>
            </w:r>
          </w:p>
        </w:tc>
        <w:tc>
          <w:tcPr>
            <w:tcW w:w="100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Rate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Long-term</w:t>
            </w:r>
          </w:p>
        </w:tc>
        <w:tc>
          <w:tcPr>
            <w:tcW w:w="2400" w:type="dxa"/>
            <w:vAlign w:val="bottom"/>
          </w:tcPr>
          <w:p>
            <w:pPr>
              <w:ind w:left="60"/>
              <w:spacing w:after="0"/>
              <w:rPr>
                <w:sz w:val="20"/>
                <w:szCs w:val="20"/>
                <w:color w:val="auto"/>
              </w:rPr>
            </w:pPr>
            <w:r>
              <w:rPr>
                <w:rFonts w:ascii="Courier New" w:cs="Courier New" w:eastAsia="Courier New" w:hAnsi="Courier New"/>
                <w:sz w:val="15"/>
                <w:szCs w:val="15"/>
                <w:color w:val="auto"/>
              </w:rPr>
              <w:t>borrowings, continuing</w:t>
            </w:r>
          </w:p>
        </w:tc>
        <w:tc>
          <w:tcPr>
            <w:tcW w:w="10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$ 1,866</w:t>
            </w:r>
          </w:p>
        </w:tc>
        <w:tc>
          <w:tcPr>
            <w:tcW w:w="122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$ 1,692</w:t>
            </w:r>
          </w:p>
        </w:tc>
        <w:tc>
          <w:tcPr>
            <w:tcW w:w="144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5.5-7.95%</w:t>
            </w:r>
          </w:p>
        </w:tc>
        <w:tc>
          <w:tcPr>
            <w:tcW w:w="104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  720</w:t>
            </w:r>
          </w:p>
        </w:tc>
        <w:tc>
          <w:tcPr>
            <w:tcW w:w="10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$ 3,810</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5.5 - 8.75%</w:t>
            </w:r>
          </w:p>
        </w:tc>
        <w:tc>
          <w:tcPr>
            <w:tcW w:w="0" w:type="dxa"/>
            <w:vAlign w:val="bottom"/>
          </w:tcPr>
          <w:p>
            <w:pPr>
              <w:spacing w:after="0"/>
              <w:rPr>
                <w:sz w:val="1"/>
                <w:szCs w:val="1"/>
                <w:color w:val="auto"/>
              </w:rPr>
            </w:pPr>
          </w:p>
        </w:tc>
      </w:tr>
      <w:tr>
        <w:trPr>
          <w:trHeight w:val="255"/>
        </w:trPr>
        <w:tc>
          <w:tcPr>
            <w:tcW w:w="3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operations</w:t>
            </w:r>
          </w:p>
        </w:tc>
        <w:tc>
          <w:tcPr>
            <w:tcW w:w="1040" w:type="dxa"/>
            <w:vAlign w:val="bottom"/>
            <w:vMerge w:val="continue"/>
          </w:tcPr>
          <w:p>
            <w:pPr>
              <w:spacing w:after="0"/>
              <w:rPr>
                <w:sz w:val="22"/>
                <w:szCs w:val="22"/>
                <w:color w:val="auto"/>
              </w:rPr>
            </w:pPr>
          </w:p>
        </w:tc>
        <w:tc>
          <w:tcPr>
            <w:tcW w:w="1220" w:type="dxa"/>
            <w:vAlign w:val="bottom"/>
            <w:vMerge w:val="continue"/>
          </w:tcPr>
          <w:p>
            <w:pPr>
              <w:spacing w:after="0"/>
              <w:rPr>
                <w:sz w:val="22"/>
                <w:szCs w:val="22"/>
                <w:color w:val="auto"/>
              </w:rPr>
            </w:pPr>
          </w:p>
        </w:tc>
        <w:tc>
          <w:tcPr>
            <w:tcW w:w="144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1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40" w:type="dxa"/>
            <w:vAlign w:val="bottom"/>
          </w:tcPr>
          <w:p>
            <w:pPr>
              <w:spacing w:after="0"/>
              <w:rPr>
                <w:sz w:val="20"/>
                <w:szCs w:val="20"/>
                <w:color w:val="auto"/>
              </w:rPr>
            </w:pPr>
            <w:r>
              <w:rPr>
                <w:rFonts w:ascii="Courier New" w:cs="Courier New" w:eastAsia="Courier New" w:hAnsi="Courier New"/>
                <w:sz w:val="15"/>
                <w:szCs w:val="15"/>
                <w:color w:val="auto"/>
              </w:rPr>
              <w:t>Long-term</w:t>
            </w:r>
          </w:p>
        </w:tc>
        <w:tc>
          <w:tcPr>
            <w:tcW w:w="2400" w:type="dxa"/>
            <w:vAlign w:val="bottom"/>
          </w:tcPr>
          <w:p>
            <w:pPr>
              <w:ind w:left="60"/>
              <w:spacing w:after="0"/>
              <w:rPr>
                <w:sz w:val="20"/>
                <w:szCs w:val="20"/>
                <w:color w:val="auto"/>
              </w:rPr>
            </w:pPr>
            <w:r>
              <w:rPr>
                <w:rFonts w:ascii="Courier New" w:cs="Courier New" w:eastAsia="Courier New" w:hAnsi="Courier New"/>
                <w:sz w:val="15"/>
                <w:szCs w:val="15"/>
                <w:color w:val="auto"/>
              </w:rPr>
              <w:t>obligations, discontinued</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10,134</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8.0-15.15%</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2,844</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8,868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8.0-13.7%</w:t>
            </w:r>
          </w:p>
        </w:tc>
        <w:tc>
          <w:tcPr>
            <w:tcW w:w="0" w:type="dxa"/>
            <w:vAlign w:val="bottom"/>
          </w:tcPr>
          <w:p>
            <w:pPr>
              <w:spacing w:after="0"/>
              <w:rPr>
                <w:sz w:val="1"/>
                <w:szCs w:val="1"/>
                <w:color w:val="auto"/>
              </w:rPr>
            </w:pPr>
          </w:p>
        </w:tc>
      </w:tr>
      <w:tr>
        <w:trPr>
          <w:trHeight w:val="255"/>
        </w:trPr>
        <w:tc>
          <w:tcPr>
            <w:tcW w:w="3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operations</w:t>
            </w:r>
          </w:p>
        </w:tc>
        <w:tc>
          <w:tcPr>
            <w:tcW w:w="10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right="3260"/>
        <w:spacing w:after="0" w:line="262" w:lineRule="auto"/>
        <w:rPr>
          <w:sz w:val="20"/>
          <w:szCs w:val="20"/>
          <w:color w:val="auto"/>
        </w:rPr>
      </w:pPr>
      <w:r>
        <w:rPr>
          <w:rFonts w:ascii="Courier New" w:cs="Courier New" w:eastAsia="Courier New" w:hAnsi="Courier New"/>
          <w:sz w:val="15"/>
          <w:szCs w:val="15"/>
          <w:color w:val="auto"/>
        </w:rPr>
        <w:t>During fiscal 1994, the Company and Winnebago RV, Inc. entered into a $2,001,000 financing agreement with 1st Source Bank for the purchase of a 1990 King Air 350 airplane. Terms of the agreement call for 35 monthly installment payments beginning August 28, 1994, and a 36th payment to pay off the remaining principal and interest balance under the agreement. Borrowings under the agreement are secured by the airplane. The outstanding balance under this agreement at August 31, 1996 and August 26, 1995 was $1,709,000 and $1,855,000, respectively, with an interest rate of 7.95 percent per annum.</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fiscal year 1993, the Company and Winnebago Industries Europe GmbH (WIE),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wholly owned subsidiary of the Company, entered into a financing arrangement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Volksbank Saarbrucken-St. Ingebert eG to finance the acquisition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renovation of a new facility in Kirkel, Saarland, Germany. The financing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arrangement includes four loans with interest rates ranging from 5.5 percent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8.75 percent per annum. As of August 31, 1996 only two of the loans were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which had interest rates of 5.5 percent and 5.75 percent per annum.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of the loans have been advanced to WIE in the aggregate amount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$2,039,000. Borrowings under these agreements at August 31, 1996 were $1,262,000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require various repayment terms through 2008. The loans are guaranteed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and are secured by real estate and improvements to the new facility.</w:t>
      </w:r>
    </w:p>
    <w:p>
      <w:pPr>
        <w:spacing w:after="0" w:line="149" w:lineRule="exact"/>
        <w:rPr>
          <w:sz w:val="20"/>
          <w:szCs w:val="20"/>
          <w:color w:val="auto"/>
        </w:rPr>
      </w:pPr>
    </w:p>
    <w:p>
      <w:pPr>
        <w:ind w:right="3260"/>
        <w:spacing w:after="0" w:line="264" w:lineRule="auto"/>
        <w:rPr>
          <w:sz w:val="20"/>
          <w:szCs w:val="20"/>
          <w:color w:val="auto"/>
        </w:rPr>
      </w:pPr>
      <w:r>
        <w:rPr>
          <w:rFonts w:ascii="Courier New" w:cs="Courier New" w:eastAsia="Courier New" w:hAnsi="Courier New"/>
          <w:sz w:val="15"/>
          <w:szCs w:val="15"/>
          <w:color w:val="auto"/>
        </w:rPr>
        <w:t>In fiscal 1995, Cycle-Sat entered into a series of long-term borrowings aggregating $10,025,000 to finance the acquisition of a majority of the assets of the TFI division of MPO. The interest rates on these borrowings ranged from 8 percent to 8.2 percent and from 8 percent to 8.4 percent as of August 31, 1996 and August 26, 1995, respectively. The outstanding balance of these obligations as of August 31, 1996 and August 26, 1995 aggregated $8,893,000 and $9,605,000, respectively. These borrowings have been guaranteed by the Company.</w:t>
      </w:r>
    </w:p>
    <w:p>
      <w:pPr>
        <w:spacing w:after="0" w:line="79" w:lineRule="exact"/>
        <w:rPr>
          <w:sz w:val="20"/>
          <w:szCs w:val="20"/>
          <w:color w:val="auto"/>
        </w:rPr>
      </w:pPr>
    </w:p>
    <w:p>
      <w:pPr>
        <w:ind w:right="3340"/>
        <w:spacing w:after="0" w:line="274" w:lineRule="auto"/>
        <w:rPr>
          <w:sz w:val="20"/>
          <w:szCs w:val="20"/>
          <w:color w:val="auto"/>
        </w:rPr>
      </w:pPr>
      <w:r>
        <w:rPr>
          <w:rFonts w:ascii="Courier New" w:cs="Courier New" w:eastAsia="Courier New" w:hAnsi="Courier New"/>
          <w:sz w:val="15"/>
          <w:szCs w:val="15"/>
          <w:color w:val="auto"/>
        </w:rPr>
        <w:t>Cycle-Sat is also obligated under capital lease agreements aggregating $1,241,000 and $1,905,000 as of August 31, 1996 and August 26, 1995, respectively. Interest rates on capital leases ranged from 8.2 percent to 15.15 percent as of August 31, 1996 and from 8.7 percent to 13.7 percent as of August 26, 1995, respectively.</w:t>
      </w:r>
    </w:p>
    <w:p>
      <w:pPr>
        <w:spacing w:after="0" w:line="70" w:lineRule="exact"/>
        <w:rPr>
          <w:sz w:val="20"/>
          <w:szCs w:val="20"/>
          <w:color w:val="auto"/>
        </w:rPr>
      </w:pPr>
    </w:p>
    <w:p>
      <w:pPr>
        <w:ind w:right="3260"/>
        <w:spacing w:after="0" w:line="305" w:lineRule="auto"/>
        <w:rPr>
          <w:sz w:val="20"/>
          <w:szCs w:val="20"/>
          <w:color w:val="auto"/>
        </w:rPr>
      </w:pPr>
      <w:r>
        <w:rPr>
          <w:rFonts w:ascii="Courier New" w:cs="Courier New" w:eastAsia="Courier New" w:hAnsi="Courier New"/>
          <w:sz w:val="15"/>
          <w:szCs w:val="15"/>
          <w:color w:val="auto"/>
        </w:rPr>
        <w:t>Assets and accumulated amortization related to capital leases were approximately $1,202,000 and $399,000 at August 31, 1996 and $7,368,000 and $5,013,000 at August 26, 1995, respectively.</w:t>
      </w:r>
    </w:p>
    <w:p>
      <w:pPr>
        <w:spacing w:after="0" w:line="46" w:lineRule="exact"/>
        <w:rPr>
          <w:sz w:val="20"/>
          <w:szCs w:val="20"/>
          <w:color w:val="auto"/>
        </w:rPr>
      </w:pPr>
    </w:p>
    <w:p>
      <w:pPr>
        <w:ind w:right="3440"/>
        <w:spacing w:after="0" w:line="365" w:lineRule="auto"/>
        <w:rPr>
          <w:sz w:val="20"/>
          <w:szCs w:val="20"/>
          <w:color w:val="auto"/>
        </w:rPr>
      </w:pPr>
      <w:r>
        <w:rPr>
          <w:rFonts w:ascii="Courier New" w:cs="Courier New" w:eastAsia="Courier New" w:hAnsi="Courier New"/>
          <w:sz w:val="15"/>
          <w:szCs w:val="15"/>
          <w:color w:val="auto"/>
        </w:rPr>
        <w:t>The Company intends to repay these Cycle-Sat obligations during fiscal 1997 in conjunction with the sale of Cycle-Sat discussed in Note 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Maturities of long-term debt for the next five years are as follows: 1997 -</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$12,000,000; 1998 - $168,000; 1999 - $179,000; 2000 - $191,000; 2001 - $204,000.</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EMPLOYEE RETIREMENT PLANS</w:t>
      </w:r>
    </w:p>
    <w:p>
      <w:pPr>
        <w:spacing w:after="0" w:line="177" w:lineRule="exact"/>
        <w:rPr>
          <w:sz w:val="20"/>
          <w:szCs w:val="20"/>
          <w:color w:val="auto"/>
        </w:rPr>
      </w:pPr>
    </w:p>
    <w:p>
      <w:pPr>
        <w:ind w:right="3340"/>
        <w:spacing w:after="0" w:line="268" w:lineRule="auto"/>
        <w:rPr>
          <w:sz w:val="20"/>
          <w:szCs w:val="20"/>
          <w:color w:val="auto"/>
        </w:rPr>
      </w:pPr>
      <w:r>
        <w:rPr>
          <w:rFonts w:ascii="Courier New" w:cs="Courier New" w:eastAsia="Courier New" w:hAnsi="Courier New"/>
          <w:sz w:val="15"/>
          <w:szCs w:val="15"/>
          <w:color w:val="auto"/>
        </w:rPr>
        <w:t>The Company has a qualified profit sharing and contributory 401(k) plan and a stock bonus retirement plan for eligible employees. The plans provide for contributions by the Company in such amounts as the Board of Directors may determine. Contributions to the plans in cash and common stock valued at market for fiscal years 1996, 1995 and 1994 were $2,099,000, $2,106,000, and $1,444,000, respectively.</w:t>
      </w:r>
    </w:p>
    <w:p>
      <w:pPr>
        <w:spacing w:after="0" w:line="24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17</w:t>
      </w:r>
    </w:p>
    <w:p>
      <w:pPr>
        <w:spacing w:after="0" w:line="350" w:lineRule="exact"/>
        <w:rPr>
          <w:sz w:val="20"/>
          <w:szCs w:val="20"/>
          <w:color w:val="auto"/>
        </w:rPr>
      </w:pPr>
    </w:p>
    <w:p>
      <w:pPr>
        <w:ind w:right="3520"/>
        <w:spacing w:after="0" w:line="274" w:lineRule="auto"/>
        <w:rPr>
          <w:sz w:val="20"/>
          <w:szCs w:val="20"/>
          <w:color w:val="auto"/>
        </w:rPr>
      </w:pPr>
      <w:r>
        <w:rPr>
          <w:rFonts w:ascii="Courier New" w:cs="Courier New" w:eastAsia="Courier New" w:hAnsi="Courier New"/>
          <w:sz w:val="15"/>
          <w:szCs w:val="15"/>
          <w:color w:val="auto"/>
        </w:rPr>
        <w:t>The Company has an Executive Split Dollar Life Insurance Plan. Investments in the plan consist of life insurance premium receivables recorded in the accompanying balance sheets. Upon the termination or death of a participating executive, the Company receives its cash investment in the policy, with any excess proceeds remitted directly to the policy beneficiary.</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also has a nonqualified deferred compensation program which permits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 employees and directors to annually elect (via individual contracts)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 a portion of their compensation until their retirement. The retirement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benefit to be provided is fixed based upon the amount of compensation deferred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age of the individual at the time of the contracted deferral. 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individual generally vests at the age of 55, with five years of service since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deferral was made. For deferrals prior to December 1992, vesting also occurs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after 20 years of service. Deferred compensation expense was $1,556,000,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$1,629,000, and $2,056,000 in fiscal 1996, 1995 and 1994, respectively. Total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compensation liabilities were $21,025,000, and $20,542,000, at August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1996 and August 26, 1995, respectively.</w:t>
      </w:r>
    </w:p>
    <w:p>
      <w:pPr>
        <w:spacing w:after="0" w:line="149" w:lineRule="exact"/>
        <w:rPr>
          <w:sz w:val="20"/>
          <w:szCs w:val="20"/>
          <w:color w:val="auto"/>
        </w:rPr>
      </w:pPr>
    </w:p>
    <w:p>
      <w:pPr>
        <w:ind w:right="3260"/>
        <w:spacing w:after="0" w:line="274" w:lineRule="auto"/>
        <w:rPr>
          <w:sz w:val="20"/>
          <w:szCs w:val="20"/>
          <w:color w:val="auto"/>
        </w:rPr>
      </w:pPr>
      <w:r>
        <w:rPr>
          <w:rFonts w:ascii="Courier New" w:cs="Courier New" w:eastAsia="Courier New" w:hAnsi="Courier New"/>
          <w:sz w:val="15"/>
          <w:szCs w:val="15"/>
          <w:color w:val="auto"/>
        </w:rPr>
        <w:t>To assist in funding the deferred compensation liability, the Company has invested in corporate-owned life insurance policies. The cash surrender value of these policies (net of borrowings of $10,499,000 and $7,054,000, at August 31, 1996 and August 26, 1995, respectively) are presented as assets of the Company in the accompanying balance sheets.</w:t>
      </w:r>
    </w:p>
    <w:p>
      <w:pPr>
        <w:sectPr>
          <w:pgSz w:w="11900" w:h="16838" w:orient="portrait"/>
          <w:cols w:equalWidth="0" w:num="1">
            <w:col w:w="10460"/>
          </w:cols>
          <w:pgMar w:left="240" w:top="113" w:right="1199" w:bottom="0" w:gutter="0" w:footer="0" w:header="0"/>
        </w:sectPr>
      </w:pPr>
    </w:p>
    <w:bookmarkStart w:id="64" w:name="page65"/>
    <w:bookmarkEnd w:id="64"/>
    <w:p>
      <w:pPr>
        <w:spacing w:after="0" w:line="33" w:lineRule="exact"/>
        <w:rPr>
          <w:sz w:val="20"/>
          <w:szCs w:val="20"/>
          <w:color w:val="auto"/>
        </w:rPr>
      </w:pPr>
    </w:p>
    <w:p>
      <w:pPr>
        <w:ind w:left="8" w:right="3019"/>
        <w:spacing w:after="0" w:line="264" w:lineRule="auto"/>
        <w:rPr>
          <w:sz w:val="20"/>
          <w:szCs w:val="20"/>
          <w:color w:val="auto"/>
        </w:rPr>
      </w:pPr>
      <w:r>
        <w:rPr>
          <w:rFonts w:ascii="Courier New" w:cs="Courier New" w:eastAsia="Courier New" w:hAnsi="Courier New"/>
          <w:sz w:val="15"/>
          <w:szCs w:val="15"/>
          <w:color w:val="auto"/>
        </w:rPr>
        <w:t>The Company provides certain health care and other benefits for retired employees who have fulfilled eligibility requirements at age 55 with 15 years of continuous service. Retirees are required to pay a monthly premium for medical coverage based on years of service at retirement and current age. As discussed in Note 1, the Company implemented SFAS No. 106 as of August 29, 1993 on the immediate recognition basis. The Company's postretirement health care plan currently is not funded. The status of the plan is as follows:</w:t>
      </w:r>
    </w:p>
    <w:p>
      <w:pPr>
        <w:spacing w:after="0" w:line="79" w:lineRule="exact"/>
        <w:rPr>
          <w:sz w:val="20"/>
          <w:szCs w:val="20"/>
          <w:color w:val="auto"/>
        </w:rPr>
      </w:pPr>
    </w:p>
    <w:p>
      <w:pPr>
        <w:ind w:left="8" w:right="3099"/>
        <w:spacing w:after="0" w:line="365" w:lineRule="auto"/>
        <w:rPr>
          <w:sz w:val="20"/>
          <w:szCs w:val="20"/>
          <w:color w:val="auto"/>
        </w:rPr>
      </w:pPr>
      <w:r>
        <w:rPr>
          <w:rFonts w:ascii="Courier New" w:cs="Courier New" w:eastAsia="Courier New" w:hAnsi="Courier New"/>
          <w:sz w:val="15"/>
          <w:szCs w:val="15"/>
          <w:color w:val="auto"/>
        </w:rPr>
        <w:t>Accumulated postretirement benefit obligation at August 31, 1996 and August 26, 1995:</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274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Aug. 31,</w:t>
            </w:r>
          </w:p>
        </w:tc>
        <w:tc>
          <w:tcPr>
            <w:tcW w:w="10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Aug. 26,</w:t>
            </w:r>
          </w:p>
        </w:tc>
        <w:tc>
          <w:tcPr>
            <w:tcW w:w="0" w:type="dxa"/>
            <w:vAlign w:val="bottom"/>
          </w:tcPr>
          <w:p>
            <w:pPr>
              <w:spacing w:after="0"/>
              <w:rPr>
                <w:sz w:val="1"/>
                <w:szCs w:val="1"/>
                <w:color w:val="auto"/>
              </w:rPr>
            </w:pPr>
          </w:p>
        </w:tc>
      </w:tr>
      <w:tr>
        <w:trPr>
          <w:trHeight w:val="173"/>
        </w:trPr>
        <w:tc>
          <w:tcPr>
            <w:tcW w:w="2740" w:type="dxa"/>
            <w:vAlign w:val="bottom"/>
            <w:vMerge w:val="continue"/>
          </w:tcPr>
          <w:p>
            <w:pPr>
              <w:spacing w:after="0"/>
              <w:rPr>
                <w:sz w:val="15"/>
                <w:szCs w:val="15"/>
                <w:color w:val="auto"/>
              </w:rPr>
            </w:pPr>
          </w:p>
        </w:tc>
        <w:tc>
          <w:tcPr>
            <w:tcW w:w="11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1996</w:t>
            </w:r>
          </w:p>
        </w:tc>
        <w:tc>
          <w:tcPr>
            <w:tcW w:w="120" w:type="dxa"/>
            <w:vAlign w:val="bottom"/>
          </w:tcPr>
          <w:p>
            <w:pPr>
              <w:spacing w:after="0"/>
              <w:rPr>
                <w:sz w:val="15"/>
                <w:szCs w:val="15"/>
                <w:color w:val="auto"/>
              </w:rPr>
            </w:pPr>
          </w:p>
        </w:tc>
        <w:tc>
          <w:tcPr>
            <w:tcW w:w="9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173"/>
        </w:trPr>
        <w:tc>
          <w:tcPr>
            <w:tcW w:w="27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3"/>
        </w:trPr>
        <w:tc>
          <w:tcPr>
            <w:tcW w:w="2740" w:type="dxa"/>
            <w:vAlign w:val="bottom"/>
          </w:tcPr>
          <w:p>
            <w:pPr>
              <w:spacing w:after="0"/>
              <w:rPr>
                <w:sz w:val="20"/>
                <w:szCs w:val="20"/>
                <w:color w:val="auto"/>
              </w:rPr>
            </w:pPr>
            <w:r>
              <w:rPr>
                <w:rFonts w:ascii="Courier New" w:cs="Courier New" w:eastAsia="Courier New" w:hAnsi="Courier New"/>
                <w:sz w:val="15"/>
                <w:szCs w:val="15"/>
                <w:color w:val="auto"/>
              </w:rPr>
              <w:t>Retirees</w:t>
            </w: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$ 2,042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2,212</w:t>
            </w:r>
          </w:p>
        </w:tc>
        <w:tc>
          <w:tcPr>
            <w:tcW w:w="0" w:type="dxa"/>
            <w:vAlign w:val="bottom"/>
          </w:tcPr>
          <w:p>
            <w:pPr>
              <w:spacing w:after="0"/>
              <w:rPr>
                <w:sz w:val="1"/>
                <w:szCs w:val="1"/>
                <w:color w:val="auto"/>
              </w:rPr>
            </w:pPr>
          </w:p>
        </w:tc>
      </w:tr>
      <w:tr>
        <w:trPr>
          <w:trHeight w:val="173"/>
        </w:trPr>
        <w:tc>
          <w:tcPr>
            <w:tcW w:w="2740" w:type="dxa"/>
            <w:vAlign w:val="bottom"/>
          </w:tcPr>
          <w:p>
            <w:pPr>
              <w:spacing w:after="0"/>
              <w:rPr>
                <w:sz w:val="20"/>
                <w:szCs w:val="20"/>
                <w:color w:val="auto"/>
              </w:rPr>
            </w:pPr>
            <w:r>
              <w:rPr>
                <w:rFonts w:ascii="Courier New" w:cs="Courier New" w:eastAsia="Courier New" w:hAnsi="Courier New"/>
                <w:sz w:val="15"/>
                <w:szCs w:val="15"/>
                <w:color w:val="auto"/>
              </w:rPr>
              <w:t>Fully eligible active plan</w:t>
            </w:r>
          </w:p>
        </w:tc>
        <w:tc>
          <w:tcPr>
            <w:tcW w:w="118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2,852</w:t>
            </w:r>
          </w:p>
        </w:tc>
        <w:tc>
          <w:tcPr>
            <w:tcW w:w="120" w:type="dxa"/>
            <w:vAlign w:val="bottom"/>
          </w:tcPr>
          <w:p>
            <w:pPr>
              <w:spacing w:after="0"/>
              <w:rPr>
                <w:sz w:val="15"/>
                <w:szCs w:val="15"/>
                <w:color w:val="auto"/>
              </w:rPr>
            </w:pPr>
          </w:p>
        </w:tc>
        <w:tc>
          <w:tcPr>
            <w:tcW w:w="92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2,838</w:t>
            </w:r>
          </w:p>
        </w:tc>
        <w:tc>
          <w:tcPr>
            <w:tcW w:w="0" w:type="dxa"/>
            <w:vAlign w:val="bottom"/>
          </w:tcPr>
          <w:p>
            <w:pPr>
              <w:spacing w:after="0"/>
              <w:rPr>
                <w:sz w:val="1"/>
                <w:szCs w:val="1"/>
                <w:color w:val="auto"/>
              </w:rPr>
            </w:pPr>
          </w:p>
        </w:tc>
      </w:tr>
      <w:tr>
        <w:trPr>
          <w:trHeight w:val="173"/>
        </w:trPr>
        <w:tc>
          <w:tcPr>
            <w:tcW w:w="2740" w:type="dxa"/>
            <w:vAlign w:val="bottom"/>
          </w:tcPr>
          <w:p>
            <w:pPr>
              <w:ind w:left="180"/>
              <w:spacing w:after="0"/>
              <w:rPr>
                <w:sz w:val="20"/>
                <w:szCs w:val="20"/>
                <w:color w:val="auto"/>
              </w:rPr>
            </w:pPr>
            <w:r>
              <w:rPr>
                <w:rFonts w:ascii="Courier New" w:cs="Courier New" w:eastAsia="Courier New" w:hAnsi="Courier New"/>
                <w:sz w:val="15"/>
                <w:szCs w:val="15"/>
                <w:color w:val="auto"/>
              </w:rPr>
              <w:t>participants</w:t>
            </w: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40" w:type="dxa"/>
            <w:vAlign w:val="bottom"/>
          </w:tcPr>
          <w:p>
            <w:pPr>
              <w:spacing w:after="0"/>
              <w:rPr>
                <w:sz w:val="20"/>
                <w:szCs w:val="20"/>
                <w:color w:val="auto"/>
              </w:rPr>
            </w:pPr>
            <w:r>
              <w:rPr>
                <w:rFonts w:ascii="Courier New" w:cs="Courier New" w:eastAsia="Courier New" w:hAnsi="Courier New"/>
                <w:sz w:val="15"/>
                <w:szCs w:val="15"/>
                <w:color w:val="auto"/>
              </w:rPr>
              <w:t>Other active plan</w:t>
            </w:r>
          </w:p>
        </w:tc>
        <w:tc>
          <w:tcPr>
            <w:tcW w:w="118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10,005</w:t>
            </w:r>
          </w:p>
        </w:tc>
        <w:tc>
          <w:tcPr>
            <w:tcW w:w="120" w:type="dxa"/>
            <w:vAlign w:val="bottom"/>
          </w:tcPr>
          <w:p>
            <w:pPr>
              <w:spacing w:after="0"/>
              <w:rPr>
                <w:sz w:val="15"/>
                <w:szCs w:val="15"/>
                <w:color w:val="auto"/>
              </w:rPr>
            </w:pPr>
          </w:p>
        </w:tc>
        <w:tc>
          <w:tcPr>
            <w:tcW w:w="92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w w:val="99"/>
              </w:rPr>
              <w:t>10,696</w:t>
            </w:r>
          </w:p>
        </w:tc>
        <w:tc>
          <w:tcPr>
            <w:tcW w:w="0" w:type="dxa"/>
            <w:vAlign w:val="bottom"/>
          </w:tcPr>
          <w:p>
            <w:pPr>
              <w:spacing w:after="0"/>
              <w:rPr>
                <w:sz w:val="1"/>
                <w:szCs w:val="1"/>
                <w:color w:val="auto"/>
              </w:rPr>
            </w:pPr>
          </w:p>
        </w:tc>
      </w:tr>
      <w:tr>
        <w:trPr>
          <w:trHeight w:val="173"/>
        </w:trPr>
        <w:tc>
          <w:tcPr>
            <w:tcW w:w="2740" w:type="dxa"/>
            <w:vAlign w:val="bottom"/>
          </w:tcPr>
          <w:p>
            <w:pPr>
              <w:ind w:left="180"/>
              <w:spacing w:after="0"/>
              <w:rPr>
                <w:sz w:val="20"/>
                <w:szCs w:val="20"/>
                <w:color w:val="auto"/>
              </w:rPr>
            </w:pPr>
            <w:r>
              <w:rPr>
                <w:rFonts w:ascii="Courier New" w:cs="Courier New" w:eastAsia="Courier New" w:hAnsi="Courier New"/>
                <w:sz w:val="15"/>
                <w:szCs w:val="15"/>
                <w:color w:val="auto"/>
              </w:rPr>
              <w:t>participants</w:t>
            </w: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960" w:type="dxa"/>
            <w:vAlign w:val="bottom"/>
            <w:gridSpan w:val="4"/>
          </w:tcPr>
          <w:p>
            <w:pPr>
              <w:ind w:left="2600"/>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55"/>
        </w:trPr>
        <w:tc>
          <w:tcPr>
            <w:tcW w:w="2740" w:type="dxa"/>
            <w:vAlign w:val="bottom"/>
          </w:tcPr>
          <w:p>
            <w:pPr>
              <w:spacing w:after="0"/>
              <w:rPr>
                <w:sz w:val="22"/>
                <w:szCs w:val="22"/>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14,899</w:t>
            </w:r>
          </w:p>
        </w:tc>
        <w:tc>
          <w:tcPr>
            <w:tcW w:w="120" w:type="dxa"/>
            <w:vAlign w:val="bottom"/>
          </w:tcPr>
          <w:p>
            <w:pPr>
              <w:spacing w:after="0"/>
              <w:rPr>
                <w:sz w:val="22"/>
                <w:szCs w:val="22"/>
                <w:color w:val="auto"/>
              </w:rPr>
            </w:pPr>
          </w:p>
        </w:tc>
        <w:tc>
          <w:tcPr>
            <w:tcW w:w="9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9"/>
              </w:rPr>
              <w:t>15,746</w:t>
            </w:r>
          </w:p>
        </w:tc>
        <w:tc>
          <w:tcPr>
            <w:tcW w:w="0" w:type="dxa"/>
            <w:vAlign w:val="bottom"/>
          </w:tcPr>
          <w:p>
            <w:pPr>
              <w:spacing w:after="0"/>
              <w:rPr>
                <w:sz w:val="1"/>
                <w:szCs w:val="1"/>
                <w:color w:val="auto"/>
              </w:rPr>
            </w:pPr>
          </w:p>
        </w:tc>
      </w:tr>
      <w:tr>
        <w:trPr>
          <w:trHeight w:val="265"/>
        </w:trPr>
        <w:tc>
          <w:tcPr>
            <w:tcW w:w="2740" w:type="dxa"/>
            <w:vAlign w:val="bottom"/>
          </w:tcPr>
          <w:p>
            <w:pPr>
              <w:spacing w:after="0"/>
              <w:rPr>
                <w:sz w:val="20"/>
                <w:szCs w:val="20"/>
                <w:color w:val="auto"/>
              </w:rPr>
            </w:pPr>
            <w:r>
              <w:rPr>
                <w:rFonts w:ascii="Courier New" w:cs="Courier New" w:eastAsia="Courier New" w:hAnsi="Courier New"/>
                <w:sz w:val="15"/>
                <w:szCs w:val="15"/>
                <w:color w:val="auto"/>
              </w:rPr>
              <w:t>Unrecognized prior</w:t>
            </w:r>
          </w:p>
        </w:tc>
        <w:tc>
          <w:tcPr>
            <w:tcW w:w="118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558</w:t>
            </w:r>
          </w:p>
        </w:tc>
        <w:tc>
          <w:tcPr>
            <w:tcW w:w="120" w:type="dxa"/>
            <w:vAlign w:val="bottom"/>
          </w:tcPr>
          <w:p>
            <w:pPr>
              <w:spacing w:after="0"/>
              <w:rPr>
                <w:sz w:val="23"/>
                <w:szCs w:val="23"/>
                <w:color w:val="auto"/>
              </w:rPr>
            </w:pPr>
          </w:p>
        </w:tc>
        <w:tc>
          <w:tcPr>
            <w:tcW w:w="92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608</w:t>
            </w:r>
          </w:p>
        </w:tc>
        <w:tc>
          <w:tcPr>
            <w:tcW w:w="0" w:type="dxa"/>
            <w:vAlign w:val="bottom"/>
          </w:tcPr>
          <w:p>
            <w:pPr>
              <w:spacing w:after="0"/>
              <w:rPr>
                <w:sz w:val="1"/>
                <w:szCs w:val="1"/>
                <w:color w:val="auto"/>
              </w:rPr>
            </w:pPr>
          </w:p>
        </w:tc>
      </w:tr>
      <w:tr>
        <w:trPr>
          <w:trHeight w:val="173"/>
        </w:trPr>
        <w:tc>
          <w:tcPr>
            <w:tcW w:w="2740" w:type="dxa"/>
            <w:vAlign w:val="bottom"/>
          </w:tcPr>
          <w:p>
            <w:pPr>
              <w:ind w:left="180"/>
              <w:spacing w:after="0"/>
              <w:rPr>
                <w:sz w:val="20"/>
                <w:szCs w:val="20"/>
                <w:color w:val="auto"/>
              </w:rPr>
            </w:pPr>
            <w:r>
              <w:rPr>
                <w:rFonts w:ascii="Courier New" w:cs="Courier New" w:eastAsia="Courier New" w:hAnsi="Courier New"/>
                <w:sz w:val="15"/>
                <w:szCs w:val="15"/>
                <w:color w:val="auto"/>
              </w:rPr>
              <w:t>service cost</w:t>
            </w: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40" w:type="dxa"/>
            <w:vAlign w:val="bottom"/>
          </w:tcPr>
          <w:p>
            <w:pPr>
              <w:spacing w:after="0"/>
              <w:rPr>
                <w:sz w:val="20"/>
                <w:szCs w:val="20"/>
                <w:color w:val="auto"/>
              </w:rPr>
            </w:pPr>
            <w:r>
              <w:rPr>
                <w:rFonts w:ascii="Courier New" w:cs="Courier New" w:eastAsia="Courier New" w:hAnsi="Courier New"/>
                <w:sz w:val="15"/>
                <w:szCs w:val="15"/>
                <w:color w:val="auto"/>
              </w:rPr>
              <w:t>Unrecognized net gain</w:t>
            </w: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10,455</w:t>
            </w:r>
          </w:p>
        </w:tc>
        <w:tc>
          <w:tcPr>
            <w:tcW w:w="120" w:type="dxa"/>
            <w:vAlign w:val="bottom"/>
          </w:tcPr>
          <w:p>
            <w:pPr>
              <w:spacing w:after="0"/>
              <w:rPr>
                <w:sz w:val="15"/>
                <w:szCs w:val="15"/>
                <w:color w:val="auto"/>
              </w:rPr>
            </w:pPr>
          </w:p>
        </w:tc>
        <w:tc>
          <w:tcPr>
            <w:tcW w:w="9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8,196</w:t>
            </w:r>
          </w:p>
        </w:tc>
        <w:tc>
          <w:tcPr>
            <w:tcW w:w="0" w:type="dxa"/>
            <w:vAlign w:val="bottom"/>
          </w:tcPr>
          <w:p>
            <w:pPr>
              <w:spacing w:after="0"/>
              <w:rPr>
                <w:sz w:val="1"/>
                <w:szCs w:val="1"/>
                <w:color w:val="auto"/>
              </w:rPr>
            </w:pPr>
          </w:p>
        </w:tc>
      </w:tr>
      <w:tr>
        <w:trPr>
          <w:trHeight w:val="173"/>
        </w:trPr>
        <w:tc>
          <w:tcPr>
            <w:tcW w:w="4960" w:type="dxa"/>
            <w:vAlign w:val="bottom"/>
            <w:gridSpan w:val="4"/>
          </w:tcPr>
          <w:p>
            <w:pPr>
              <w:ind w:left="2600"/>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73"/>
        </w:trPr>
        <w:tc>
          <w:tcPr>
            <w:tcW w:w="2740" w:type="dxa"/>
            <w:vAlign w:val="bottom"/>
          </w:tcPr>
          <w:p>
            <w:pPr>
              <w:spacing w:after="0"/>
              <w:rPr>
                <w:sz w:val="20"/>
                <w:szCs w:val="20"/>
                <w:color w:val="auto"/>
              </w:rPr>
            </w:pPr>
            <w:r>
              <w:rPr>
                <w:rFonts w:ascii="Courier New" w:cs="Courier New" w:eastAsia="Courier New" w:hAnsi="Courier New"/>
                <w:sz w:val="15"/>
                <w:szCs w:val="15"/>
                <w:color w:val="auto"/>
              </w:rPr>
              <w:t>Accrued postretirement</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40" w:type="dxa"/>
            <w:vAlign w:val="bottom"/>
          </w:tcPr>
          <w:p>
            <w:pPr>
              <w:ind w:left="180"/>
              <w:spacing w:after="0"/>
              <w:rPr>
                <w:sz w:val="20"/>
                <w:szCs w:val="20"/>
                <w:color w:val="auto"/>
              </w:rPr>
            </w:pPr>
            <w:r>
              <w:rPr>
                <w:rFonts w:ascii="Courier New" w:cs="Courier New" w:eastAsia="Courier New" w:hAnsi="Courier New"/>
                <w:sz w:val="15"/>
                <w:szCs w:val="15"/>
                <w:color w:val="auto"/>
              </w:rPr>
              <w:t>benefit liability</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40" w:type="dxa"/>
            <w:vAlign w:val="bottom"/>
          </w:tcPr>
          <w:p>
            <w:pPr>
              <w:ind w:left="180"/>
              <w:spacing w:after="0"/>
              <w:rPr>
                <w:sz w:val="20"/>
                <w:szCs w:val="20"/>
                <w:color w:val="auto"/>
              </w:rPr>
            </w:pPr>
            <w:r>
              <w:rPr>
                <w:rFonts w:ascii="Courier New" w:cs="Courier New" w:eastAsia="Courier New" w:hAnsi="Courier New"/>
                <w:sz w:val="15"/>
                <w:szCs w:val="15"/>
                <w:color w:val="auto"/>
              </w:rPr>
              <w:t>recognized in financial</w:t>
            </w:r>
          </w:p>
        </w:tc>
        <w:tc>
          <w:tcPr>
            <w:tcW w:w="118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$25,912</w:t>
            </w: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w w:val="99"/>
              </w:rPr>
              <w:t>24,550</w:t>
            </w:r>
          </w:p>
        </w:tc>
        <w:tc>
          <w:tcPr>
            <w:tcW w:w="0" w:type="dxa"/>
            <w:vAlign w:val="bottom"/>
          </w:tcPr>
          <w:p>
            <w:pPr>
              <w:spacing w:after="0"/>
              <w:rPr>
                <w:sz w:val="1"/>
                <w:szCs w:val="1"/>
                <w:color w:val="auto"/>
              </w:rPr>
            </w:pPr>
          </w:p>
        </w:tc>
      </w:tr>
      <w:tr>
        <w:trPr>
          <w:trHeight w:val="201"/>
        </w:trPr>
        <w:tc>
          <w:tcPr>
            <w:tcW w:w="2740" w:type="dxa"/>
            <w:vAlign w:val="bottom"/>
          </w:tcPr>
          <w:p>
            <w:pPr>
              <w:ind w:left="180"/>
              <w:spacing w:after="0"/>
              <w:rPr>
                <w:sz w:val="20"/>
                <w:szCs w:val="20"/>
                <w:color w:val="auto"/>
              </w:rPr>
            </w:pPr>
            <w:r>
              <w:rPr>
                <w:rFonts w:ascii="Courier New" w:cs="Courier New" w:eastAsia="Courier New" w:hAnsi="Courier New"/>
                <w:sz w:val="15"/>
                <w:szCs w:val="15"/>
                <w:color w:val="auto"/>
              </w:rPr>
              <w:t>statements</w:t>
            </w:r>
          </w:p>
        </w:tc>
        <w:tc>
          <w:tcPr>
            <w:tcW w:w="11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2608"/>
        <w:spacing w:after="0"/>
        <w:rPr>
          <w:sz w:val="20"/>
          <w:szCs w:val="20"/>
          <w:color w:val="auto"/>
        </w:rPr>
      </w:pPr>
      <w:r>
        <w:rPr>
          <w:rFonts w:ascii="Courier New" w:cs="Courier New" w:eastAsia="Courier New" w:hAnsi="Courier New"/>
          <w:sz w:val="15"/>
          <w:szCs w:val="15"/>
          <w:color w:val="auto"/>
        </w:rPr>
        <w:t>------------ -----------</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Net postretirement benefit expense for the fiscal years ended August 31, 1996,</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August 26, 1995 and August 27, 1994 consisted of the following components:</w:t>
      </w:r>
    </w:p>
    <w:p>
      <w:pPr>
        <w:spacing w:after="0" w:line="149"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206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9"/>
              </w:rPr>
              <w:t>Aug. 31,</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Aug. 26,</w:t>
            </w:r>
          </w:p>
        </w:tc>
        <w:tc>
          <w:tcPr>
            <w:tcW w:w="820" w:type="dxa"/>
            <w:vAlign w:val="bottom"/>
          </w:tcPr>
          <w:p>
            <w:pPr>
              <w:jc w:val="center"/>
              <w:ind w:left="5"/>
              <w:spacing w:after="0"/>
              <w:rPr>
                <w:sz w:val="20"/>
                <w:szCs w:val="20"/>
                <w:color w:val="auto"/>
              </w:rPr>
            </w:pPr>
            <w:r>
              <w:rPr>
                <w:rFonts w:ascii="Courier New" w:cs="Courier New" w:eastAsia="Courier New" w:hAnsi="Courier New"/>
                <w:sz w:val="15"/>
                <w:szCs w:val="15"/>
                <w:color w:val="auto"/>
              </w:rPr>
              <w:t>Aug. 27,</w:t>
            </w:r>
          </w:p>
        </w:tc>
        <w:tc>
          <w:tcPr>
            <w:tcW w:w="0" w:type="dxa"/>
            <w:vAlign w:val="bottom"/>
          </w:tcPr>
          <w:p>
            <w:pPr>
              <w:spacing w:after="0"/>
              <w:rPr>
                <w:sz w:val="1"/>
                <w:szCs w:val="1"/>
                <w:color w:val="auto"/>
              </w:rPr>
            </w:pPr>
          </w:p>
        </w:tc>
      </w:tr>
      <w:tr>
        <w:trPr>
          <w:trHeight w:val="201"/>
        </w:trPr>
        <w:tc>
          <w:tcPr>
            <w:tcW w:w="2060" w:type="dxa"/>
            <w:vAlign w:val="bottom"/>
            <w:vMerge w:val="continue"/>
          </w:tcPr>
          <w:p>
            <w:pPr>
              <w:spacing w:after="0"/>
              <w:rPr>
                <w:sz w:val="17"/>
                <w:szCs w:val="17"/>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1995</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bl>
    <w:p>
      <w:pPr>
        <w:ind w:left="188" w:hanging="188"/>
        <w:spacing w:after="0"/>
        <w:tabs>
          <w:tab w:leader="none" w:pos="188"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3" w:lineRule="exact"/>
        <w:rPr>
          <w:rFonts w:ascii="Courier New" w:cs="Courier New" w:eastAsia="Courier New" w:hAnsi="Courier New"/>
          <w:sz w:val="15"/>
          <w:szCs w:val="15"/>
          <w:color w:val="auto"/>
        </w:rPr>
      </w:pPr>
    </w:p>
    <w:p>
      <w:pPr>
        <w:ind w:left="188" w:right="8699" w:hanging="180"/>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Service cost-benefits earned</w:t>
      </w:r>
    </w:p>
    <w:tbl>
      <w:tblPr>
        <w:tblLayout w:type="fixed"/>
        <w:tblInd w:w="8" w:type="dxa"/>
        <w:tblCellMar>
          <w:top w:w="0" w:type="dxa"/>
          <w:left w:w="0" w:type="dxa"/>
          <w:bottom w:w="0" w:type="dxa"/>
          <w:right w:w="0" w:type="dxa"/>
        </w:tblCellMar>
      </w:tblPr>
      <w:tr>
        <w:trPr>
          <w:trHeight w:val="146"/>
        </w:trPr>
        <w:tc>
          <w:tcPr>
            <w:tcW w:w="1840" w:type="dxa"/>
            <w:vAlign w:val="bottom"/>
          </w:tcPr>
          <w:p>
            <w:pPr>
              <w:ind w:left="180"/>
              <w:spacing w:after="0" w:line="146" w:lineRule="exact"/>
              <w:rPr>
                <w:sz w:val="20"/>
                <w:szCs w:val="20"/>
                <w:color w:val="auto"/>
              </w:rPr>
            </w:pPr>
            <w:r>
              <w:rPr>
                <w:rFonts w:ascii="Courier New" w:cs="Courier New" w:eastAsia="Courier New" w:hAnsi="Courier New"/>
                <w:sz w:val="15"/>
                <w:szCs w:val="15"/>
                <w:color w:val="auto"/>
              </w:rPr>
              <w:t>during the year</w:t>
            </w:r>
          </w:p>
        </w:tc>
        <w:tc>
          <w:tcPr>
            <w:tcW w:w="1180" w:type="dxa"/>
            <w:vAlign w:val="bottom"/>
          </w:tcPr>
          <w:p>
            <w:pPr>
              <w:jc w:val="right"/>
              <w:ind w:right="245"/>
              <w:spacing w:after="0" w:line="146" w:lineRule="exact"/>
              <w:rPr>
                <w:sz w:val="20"/>
                <w:szCs w:val="20"/>
                <w:color w:val="auto"/>
              </w:rPr>
            </w:pPr>
            <w:r>
              <w:rPr>
                <w:rFonts w:ascii="Courier New" w:cs="Courier New" w:eastAsia="Courier New" w:hAnsi="Courier New"/>
                <w:sz w:val="15"/>
                <w:szCs w:val="15"/>
                <w:color w:val="auto"/>
              </w:rPr>
              <w:t>$  947</w:t>
            </w:r>
          </w:p>
        </w:tc>
        <w:tc>
          <w:tcPr>
            <w:tcW w:w="980" w:type="dxa"/>
            <w:vAlign w:val="bottom"/>
          </w:tcPr>
          <w:p>
            <w:pPr>
              <w:jc w:val="right"/>
              <w:ind w:right="145"/>
              <w:spacing w:after="0" w:line="146" w:lineRule="exact"/>
              <w:rPr>
                <w:sz w:val="20"/>
                <w:szCs w:val="20"/>
                <w:color w:val="auto"/>
              </w:rPr>
            </w:pPr>
            <w:r>
              <w:rPr>
                <w:rFonts w:ascii="Courier New" w:cs="Courier New" w:eastAsia="Courier New" w:hAnsi="Courier New"/>
                <w:sz w:val="15"/>
                <w:szCs w:val="15"/>
                <w:color w:val="auto"/>
              </w:rPr>
              <w:t>$1,047</w:t>
            </w:r>
          </w:p>
        </w:tc>
        <w:tc>
          <w:tcPr>
            <w:tcW w:w="860" w:type="dxa"/>
            <w:vAlign w:val="bottom"/>
          </w:tcPr>
          <w:p>
            <w:pPr>
              <w:jc w:val="right"/>
              <w:ind w:right="5"/>
              <w:spacing w:after="0" w:line="146" w:lineRule="exact"/>
              <w:rPr>
                <w:sz w:val="20"/>
                <w:szCs w:val="20"/>
                <w:color w:val="auto"/>
              </w:rPr>
            </w:pPr>
            <w:r>
              <w:rPr>
                <w:rFonts w:ascii="Courier New" w:cs="Courier New" w:eastAsia="Courier New" w:hAnsi="Courier New"/>
                <w:sz w:val="15"/>
                <w:szCs w:val="15"/>
                <w:color w:val="auto"/>
              </w:rPr>
              <w:t>$1,624</w:t>
            </w:r>
          </w:p>
        </w:tc>
        <w:tc>
          <w:tcPr>
            <w:tcW w:w="0" w:type="dxa"/>
            <w:vAlign w:val="bottom"/>
          </w:tcPr>
          <w:p>
            <w:pPr>
              <w:spacing w:after="0"/>
              <w:rPr>
                <w:sz w:val="1"/>
                <w:szCs w:val="1"/>
                <w:color w:val="auto"/>
              </w:rPr>
            </w:pP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Interest cost on</w:t>
            </w:r>
          </w:p>
        </w:tc>
        <w:tc>
          <w:tcPr>
            <w:tcW w:w="1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40" w:type="dxa"/>
            <w:vAlign w:val="bottom"/>
          </w:tcPr>
          <w:p>
            <w:pPr>
              <w:ind w:left="180"/>
              <w:spacing w:after="0"/>
              <w:rPr>
                <w:sz w:val="20"/>
                <w:szCs w:val="20"/>
                <w:color w:val="auto"/>
              </w:rPr>
            </w:pPr>
            <w:r>
              <w:rPr>
                <w:rFonts w:ascii="Courier New" w:cs="Courier New" w:eastAsia="Courier New" w:hAnsi="Courier New"/>
                <w:sz w:val="15"/>
                <w:szCs w:val="15"/>
                <w:color w:val="auto"/>
              </w:rPr>
              <w:t>accumulated</w:t>
            </w:r>
          </w:p>
        </w:tc>
        <w:tc>
          <w:tcPr>
            <w:tcW w:w="1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40" w:type="dxa"/>
            <w:vAlign w:val="bottom"/>
          </w:tcPr>
          <w:p>
            <w:pPr>
              <w:ind w:left="180"/>
              <w:spacing w:after="0"/>
              <w:rPr>
                <w:sz w:val="20"/>
                <w:szCs w:val="20"/>
                <w:color w:val="auto"/>
              </w:rPr>
            </w:pPr>
            <w:r>
              <w:rPr>
                <w:rFonts w:ascii="Courier New" w:cs="Courier New" w:eastAsia="Courier New" w:hAnsi="Courier New"/>
                <w:sz w:val="15"/>
                <w:szCs w:val="15"/>
                <w:color w:val="auto"/>
              </w:rPr>
              <w:t>postretirement</w:t>
            </w:r>
          </w:p>
        </w:tc>
        <w:tc>
          <w:tcPr>
            <w:tcW w:w="118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1,133</w:t>
            </w:r>
          </w:p>
        </w:tc>
        <w:tc>
          <w:tcPr>
            <w:tcW w:w="9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1,171</w:t>
            </w:r>
          </w:p>
        </w:tc>
        <w:tc>
          <w:tcPr>
            <w:tcW w:w="8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1,319</w:t>
            </w:r>
          </w:p>
        </w:tc>
        <w:tc>
          <w:tcPr>
            <w:tcW w:w="0" w:type="dxa"/>
            <w:vAlign w:val="bottom"/>
          </w:tcPr>
          <w:p>
            <w:pPr>
              <w:spacing w:after="0"/>
              <w:rPr>
                <w:sz w:val="1"/>
                <w:szCs w:val="1"/>
                <w:color w:val="auto"/>
              </w:rPr>
            </w:pPr>
          </w:p>
        </w:tc>
      </w:tr>
      <w:tr>
        <w:trPr>
          <w:trHeight w:val="173"/>
        </w:trPr>
        <w:tc>
          <w:tcPr>
            <w:tcW w:w="1840" w:type="dxa"/>
            <w:vAlign w:val="bottom"/>
          </w:tcPr>
          <w:p>
            <w:pPr>
              <w:ind w:left="180"/>
              <w:spacing w:after="0"/>
              <w:rPr>
                <w:sz w:val="20"/>
                <w:szCs w:val="20"/>
                <w:color w:val="auto"/>
              </w:rPr>
            </w:pPr>
            <w:r>
              <w:rPr>
                <w:rFonts w:ascii="Courier New" w:cs="Courier New" w:eastAsia="Courier New" w:hAnsi="Courier New"/>
                <w:sz w:val="15"/>
                <w:szCs w:val="15"/>
                <w:color w:val="auto"/>
              </w:rPr>
              <w:t>obligation</w:t>
            </w:r>
          </w:p>
        </w:tc>
        <w:tc>
          <w:tcPr>
            <w:tcW w:w="118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Net amortization</w:t>
            </w:r>
          </w:p>
        </w:tc>
        <w:tc>
          <w:tcPr>
            <w:tcW w:w="118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(416)</w:t>
            </w:r>
          </w:p>
        </w:tc>
        <w:tc>
          <w:tcPr>
            <w:tcW w:w="9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(379)</w:t>
            </w:r>
          </w:p>
        </w:tc>
        <w:tc>
          <w:tcPr>
            <w:tcW w:w="8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840" w:type="dxa"/>
            <w:vAlign w:val="bottom"/>
          </w:tcPr>
          <w:p>
            <w:pPr>
              <w:ind w:left="180"/>
              <w:spacing w:after="0"/>
              <w:rPr>
                <w:sz w:val="20"/>
                <w:szCs w:val="20"/>
                <w:color w:val="auto"/>
              </w:rPr>
            </w:pPr>
            <w:r>
              <w:rPr>
                <w:rFonts w:ascii="Courier New" w:cs="Courier New" w:eastAsia="Courier New" w:hAnsi="Courier New"/>
                <w:sz w:val="15"/>
                <w:szCs w:val="15"/>
                <w:color w:val="auto"/>
              </w:rPr>
              <w:t>and deferral</w:t>
            </w:r>
          </w:p>
        </w:tc>
        <w:tc>
          <w:tcPr>
            <w:tcW w:w="118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840" w:type="dxa"/>
            <w:vAlign w:val="bottom"/>
          </w:tcPr>
          <w:p>
            <w:pPr>
              <w:spacing w:after="0"/>
              <w:rPr>
                <w:sz w:val="22"/>
                <w:szCs w:val="22"/>
                <w:color w:val="auto"/>
              </w:rPr>
            </w:pPr>
          </w:p>
        </w:tc>
        <w:tc>
          <w:tcPr>
            <w:tcW w:w="3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c>
          <w:tcPr>
            <w:tcW w:w="0" w:type="dxa"/>
            <w:vAlign w:val="bottom"/>
          </w:tcPr>
          <w:p>
            <w:pPr>
              <w:spacing w:after="0"/>
              <w:rPr>
                <w:sz w:val="1"/>
                <w:szCs w:val="1"/>
                <w:color w:val="auto"/>
              </w:rPr>
            </w:pPr>
          </w:p>
        </w:tc>
      </w:tr>
      <w:tr>
        <w:trPr>
          <w:trHeight w:val="265"/>
        </w:trPr>
        <w:tc>
          <w:tcPr>
            <w:tcW w:w="1840" w:type="dxa"/>
            <w:vAlign w:val="bottom"/>
          </w:tcPr>
          <w:p>
            <w:pPr>
              <w:spacing w:after="0"/>
              <w:rPr>
                <w:sz w:val="23"/>
                <w:szCs w:val="23"/>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$1,664</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$1,839</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$2,943</w:t>
            </w:r>
          </w:p>
        </w:tc>
        <w:tc>
          <w:tcPr>
            <w:tcW w:w="0" w:type="dxa"/>
            <w:vAlign w:val="bottom"/>
          </w:tcPr>
          <w:p>
            <w:pPr>
              <w:spacing w:after="0"/>
              <w:rPr>
                <w:sz w:val="1"/>
                <w:szCs w:val="1"/>
                <w:color w:val="auto"/>
              </w:rPr>
            </w:pPr>
          </w:p>
        </w:tc>
      </w:tr>
      <w:tr>
        <w:trPr>
          <w:trHeight w:val="255"/>
        </w:trPr>
        <w:tc>
          <w:tcPr>
            <w:tcW w:w="1840" w:type="dxa"/>
            <w:vAlign w:val="bottom"/>
          </w:tcPr>
          <w:p>
            <w:pPr>
              <w:spacing w:after="0"/>
              <w:rPr>
                <w:sz w:val="22"/>
                <w:szCs w:val="22"/>
                <w:color w:val="auto"/>
              </w:rPr>
            </w:pPr>
          </w:p>
        </w:tc>
        <w:tc>
          <w:tcPr>
            <w:tcW w:w="3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8" w:right="3019"/>
        <w:spacing w:after="0" w:line="259" w:lineRule="auto"/>
        <w:rPr>
          <w:sz w:val="20"/>
          <w:szCs w:val="20"/>
          <w:color w:val="auto"/>
        </w:rPr>
      </w:pPr>
      <w:r>
        <w:rPr>
          <w:rFonts w:ascii="Courier New" w:cs="Courier New" w:eastAsia="Courier New" w:hAnsi="Courier New"/>
          <w:sz w:val="15"/>
          <w:szCs w:val="15"/>
          <w:color w:val="auto"/>
        </w:rPr>
        <w:t>The assumed pre-65 and post-65 health care cost trend rates used in measuring the accumulated postretirement benefit obligation as of August 31, 1996 was 9.38 percent and 8.38 percent, respectively, decreasing each successive year until it reaches 5.50 percent in 2016 after which it remains constant. A one-percentage point increase in the assumed health care cost trend rate for each year would increase the accumulated postretirement benefit obligation as of August 31, 1996 by approximately $3,621,000. The effect of this change on the net postretirement health care cost for fiscal 1996 would be to increase it by approximately $615,000.</w:t>
      </w:r>
    </w:p>
    <w:p>
      <w:pPr>
        <w:spacing w:after="0" w:line="83" w:lineRule="exact"/>
        <w:rPr>
          <w:sz w:val="20"/>
          <w:szCs w:val="20"/>
          <w:color w:val="auto"/>
        </w:rPr>
      </w:pPr>
    </w:p>
    <w:p>
      <w:pPr>
        <w:ind w:left="8" w:right="3379"/>
        <w:spacing w:after="0" w:line="274" w:lineRule="auto"/>
        <w:rPr>
          <w:sz w:val="20"/>
          <w:szCs w:val="20"/>
          <w:color w:val="auto"/>
        </w:rPr>
      </w:pPr>
      <w:r>
        <w:rPr>
          <w:rFonts w:ascii="Courier New" w:cs="Courier New" w:eastAsia="Courier New" w:hAnsi="Courier New"/>
          <w:sz w:val="15"/>
          <w:szCs w:val="15"/>
          <w:color w:val="auto"/>
        </w:rPr>
        <w:t>The discount rate used in determining the accumulated postretirement benefit obligation was 7.5 percent at August 31, 1996 and 7.25 percent at August 26, 1995. During fiscal 1996, the Company revised certain provisions of its postretirement health care plan to offer different medical plan options and revised the</w:t>
      </w:r>
    </w:p>
    <w:p>
      <w:pPr>
        <w:spacing w:after="0" w:line="244"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PAGE 18</w:t>
      </w:r>
    </w:p>
    <w:p>
      <w:pPr>
        <w:spacing w:after="0" w:line="350" w:lineRule="exact"/>
        <w:rPr>
          <w:sz w:val="20"/>
          <w:szCs w:val="20"/>
          <w:color w:val="auto"/>
        </w:rPr>
      </w:pPr>
    </w:p>
    <w:p>
      <w:pPr>
        <w:ind w:left="8" w:right="3019"/>
        <w:spacing w:after="0" w:line="259" w:lineRule="auto"/>
        <w:rPr>
          <w:sz w:val="20"/>
          <w:szCs w:val="20"/>
          <w:color w:val="auto"/>
        </w:rPr>
      </w:pPr>
      <w:r>
        <w:rPr>
          <w:rFonts w:ascii="Courier New" w:cs="Courier New" w:eastAsia="Courier New" w:hAnsi="Courier New"/>
          <w:sz w:val="15"/>
          <w:szCs w:val="15"/>
          <w:color w:val="auto"/>
        </w:rPr>
        <w:t>monthly contribution rate for retirees. The impact of these revisions resulted in a decrease in the accumulated postretirement benefit obligation of approximately $5,695,000 and a decrease in the previously estimated net postretirement benefit expense for fiscal year 1996 of approximately $1,249,000. The unrecognized net gain as of August 31, 1996 will be amortized over the average remaining service period of active plan participants, estimated to be 18 years. The unrecognized prior service cost as of August 31, 1996 will be amortized over the average remaining years to full eligibility for benefits of active plan participants, estimated to be 12 years.</w:t>
      </w:r>
    </w:p>
    <w:p>
      <w:pPr>
        <w:spacing w:after="0" w:line="8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12: CONTINGENT LIABILITIES AND COMMITMENTS</w:t>
      </w:r>
    </w:p>
    <w:p>
      <w:pPr>
        <w:spacing w:after="0" w:line="177" w:lineRule="exact"/>
        <w:rPr>
          <w:sz w:val="20"/>
          <w:szCs w:val="20"/>
          <w:color w:val="auto"/>
        </w:rPr>
      </w:pPr>
    </w:p>
    <w:p>
      <w:pPr>
        <w:ind w:left="8" w:right="3099"/>
        <w:spacing w:after="0" w:line="256" w:lineRule="auto"/>
        <w:rPr>
          <w:sz w:val="20"/>
          <w:szCs w:val="20"/>
          <w:color w:val="auto"/>
        </w:rPr>
      </w:pPr>
      <w:r>
        <w:rPr>
          <w:rFonts w:ascii="Courier New" w:cs="Courier New" w:eastAsia="Courier New" w:hAnsi="Courier New"/>
          <w:sz w:val="15"/>
          <w:szCs w:val="15"/>
          <w:color w:val="auto"/>
        </w:rPr>
        <w:t>It is customary practice for companies in the recreation vehicle industry to enter into repurchase agreements with lending institutions which have provided wholesale floor plan financing to dealers. Most dealers are financing on a "floor plan" basis under which a bank or finance company lends the dealer all, or substantially all, of the purchase price, collateralized by a lien upon, or title to, the merchandise purchased. Upon request of a lending institution financing a dealer's purchases of the Company's products, and after completion of a credit investigation of the dealer involved, the Company will execute a repurchase agreement. These agreements provide that, in the event of default by the dealer on his agreement to pay the lending institution, the Company will repurchase the financed merchandise. The agreements provide that the Company's</w:t>
      </w:r>
    </w:p>
    <w:p>
      <w:pPr>
        <w:sectPr>
          <w:pgSz w:w="11900" w:h="16872" w:orient="portrait"/>
          <w:cols w:equalWidth="0" w:num="1">
            <w:col w:w="10227"/>
          </w:cols>
          <w:pgMar w:left="232" w:top="113" w:right="1440" w:bottom="0" w:gutter="0" w:footer="0" w:header="0"/>
        </w:sectPr>
      </w:pPr>
    </w:p>
    <w:bookmarkStart w:id="65" w:name="page66"/>
    <w:bookmarkEnd w:id="65"/>
    <w:p>
      <w:pPr>
        <w:ind w:left="8" w:right="3279"/>
        <w:spacing w:after="0" w:line="274" w:lineRule="auto"/>
        <w:rPr>
          <w:sz w:val="20"/>
          <w:szCs w:val="20"/>
          <w:color w:val="auto"/>
        </w:rPr>
      </w:pPr>
      <w:r>
        <w:rPr>
          <w:rFonts w:ascii="Courier New" w:cs="Courier New" w:eastAsia="Courier New" w:hAnsi="Courier New"/>
          <w:sz w:val="15"/>
          <w:szCs w:val="15"/>
          <w:color w:val="auto"/>
        </w:rPr>
        <w:t>liability will not exceed 100 percent of the dealer invoice and provide for periodic liability reduction based on the time since the date of the original invoice. The Company's contingent liability on all repurchase agreements was approximately $129,135,000 and $120,487,000 at August 31, 1996 and August 26, 1995, respectively.</w:t>
      </w:r>
    </w:p>
    <w:p>
      <w:pPr>
        <w:spacing w:after="0" w:line="70" w:lineRule="exact"/>
        <w:rPr>
          <w:sz w:val="20"/>
          <w:szCs w:val="20"/>
          <w:color w:val="auto"/>
        </w:rPr>
      </w:pPr>
    </w:p>
    <w:p>
      <w:pPr>
        <w:jc w:val="both"/>
        <w:ind w:left="8" w:right="3019"/>
        <w:spacing w:after="0" w:line="270" w:lineRule="auto"/>
        <w:rPr>
          <w:sz w:val="20"/>
          <w:szCs w:val="20"/>
          <w:color w:val="auto"/>
        </w:rPr>
      </w:pPr>
      <w:r>
        <w:rPr>
          <w:rFonts w:ascii="Courier New" w:cs="Courier New" w:eastAsia="Courier New" w:hAnsi="Courier New"/>
          <w:sz w:val="14"/>
          <w:szCs w:val="14"/>
          <w:color w:val="auto"/>
        </w:rPr>
        <w:t>Included in these contingent liabilities as of August 31, 1996 are approximately $33,216,000 and $37,616,000, respectively, of certain dealer receivables subject to recourse agreements with NationsCredit and Green Tree Financial. The Company had reserves of $590,000 and $1,086,000 at August 31, 1996 and August 26, 1995, respectively, for sales subject to repurchase and recourse provisions.</w:t>
      </w:r>
    </w:p>
    <w:p>
      <w:pPr>
        <w:spacing w:after="0" w:line="3" w:lineRule="exact"/>
        <w:rPr>
          <w:sz w:val="20"/>
          <w:szCs w:val="20"/>
          <w:color w:val="auto"/>
        </w:rPr>
      </w:pPr>
    </w:p>
    <w:p>
      <w:pPr>
        <w:ind w:left="8" w:right="3639"/>
        <w:spacing w:after="0" w:line="285" w:lineRule="auto"/>
        <w:rPr>
          <w:sz w:val="20"/>
          <w:szCs w:val="20"/>
          <w:color w:val="auto"/>
        </w:rPr>
      </w:pPr>
      <w:r>
        <w:rPr>
          <w:rFonts w:ascii="Courier New" w:cs="Courier New" w:eastAsia="Courier New" w:hAnsi="Courier New"/>
          <w:sz w:val="15"/>
          <w:szCs w:val="15"/>
          <w:color w:val="auto"/>
        </w:rPr>
        <w:t>Historically, the Company's repurchases under these agreements have been immaterial with losses of approximately $222,000, $212,000, and $101,000, recorded during fiscal years 1996, 1995 and 1994, respectively.</w:t>
      </w:r>
    </w:p>
    <w:p>
      <w:pPr>
        <w:spacing w:after="0" w:line="60" w:lineRule="exact"/>
        <w:rPr>
          <w:sz w:val="20"/>
          <w:szCs w:val="20"/>
          <w:color w:val="auto"/>
        </w:rPr>
      </w:pPr>
    </w:p>
    <w:p>
      <w:pPr>
        <w:ind w:left="8" w:right="3279"/>
        <w:spacing w:after="0" w:line="274" w:lineRule="auto"/>
        <w:rPr>
          <w:sz w:val="20"/>
          <w:szCs w:val="20"/>
          <w:color w:val="auto"/>
        </w:rPr>
      </w:pPr>
      <w:r>
        <w:rPr>
          <w:rFonts w:ascii="Courier New" w:cs="Courier New" w:eastAsia="Courier New" w:hAnsi="Courier New"/>
          <w:sz w:val="15"/>
          <w:szCs w:val="15"/>
          <w:color w:val="auto"/>
        </w:rPr>
        <w:t>The Company self-insures for a portion of product liability claims. Self-insurance retention liability varies annually based on market conditions and ranges from $2,500,000 to $5,000,000 per occurrence and $8,500,000 to $12,000,000 in aggregate per policy year (fiscal 1988 to fiscal 1996). Liabilities in excess of these amounts are the responsibility of the insurer.</w:t>
      </w:r>
    </w:p>
    <w:p>
      <w:pPr>
        <w:spacing w:after="0" w:line="70" w:lineRule="exact"/>
        <w:rPr>
          <w:sz w:val="20"/>
          <w:szCs w:val="20"/>
          <w:color w:val="auto"/>
        </w:rPr>
      </w:pPr>
    </w:p>
    <w:p>
      <w:pPr>
        <w:ind w:left="8" w:right="3019"/>
        <w:spacing w:after="0" w:line="258" w:lineRule="auto"/>
        <w:rPr>
          <w:sz w:val="20"/>
          <w:szCs w:val="20"/>
          <w:color w:val="auto"/>
        </w:rPr>
      </w:pPr>
      <w:r>
        <w:rPr>
          <w:rFonts w:ascii="Courier New" w:cs="Courier New" w:eastAsia="Courier New" w:hAnsi="Courier New"/>
          <w:sz w:val="15"/>
          <w:szCs w:val="15"/>
          <w:color w:val="auto"/>
        </w:rPr>
        <w:t>From time to time, the Company is involved in various legal proceedings which occur in the ordinary course of its business, some of which are covered in whole or in part by insurance. Counsel for the Company, has advised management that, while the outcome of litigation is uncertain, he is of the opinion based on his present knowledge of pending legal proceedings and after consultation with trial counsel, that it is unlikely that these proceedings will result in any recovery which will materially exceed the Company's reserve for estimated losses. On the basis of such advice, management is of the opinion that the pending legal proceedings will not have any material adverse effect on the Company's financial position, results of operations or liquidity.</w:t>
      </w:r>
    </w:p>
    <w:p>
      <w:pPr>
        <w:spacing w:after="0" w:line="8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13: INCOME TAXES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components of the provision (credit) for income taxes are as follows:</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130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w:t>
            </w: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August</w:t>
            </w:r>
          </w:p>
        </w:tc>
        <w:tc>
          <w:tcPr>
            <w:tcW w:w="4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31,</w:t>
            </w:r>
          </w:p>
        </w:tc>
        <w:tc>
          <w:tcPr>
            <w:tcW w:w="1220" w:type="dxa"/>
            <w:vAlign w:val="bottom"/>
          </w:tcPr>
          <w:p>
            <w:pPr>
              <w:ind w:left="100"/>
              <w:spacing w:after="0"/>
              <w:rPr>
                <w:sz w:val="20"/>
                <w:szCs w:val="20"/>
                <w:color w:val="auto"/>
              </w:rPr>
            </w:pPr>
            <w:r>
              <w:rPr>
                <w:rFonts w:ascii="Courier New" w:cs="Courier New" w:eastAsia="Courier New" w:hAnsi="Courier New"/>
                <w:sz w:val="15"/>
                <w:szCs w:val="15"/>
                <w:color w:val="auto"/>
              </w:rPr>
              <w:t>Year Ended</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August 27,</w:t>
            </w:r>
          </w:p>
        </w:tc>
        <w:tc>
          <w:tcPr>
            <w:tcW w:w="0" w:type="dxa"/>
            <w:vAlign w:val="bottom"/>
          </w:tcPr>
          <w:p>
            <w:pPr>
              <w:spacing w:after="0"/>
              <w:rPr>
                <w:sz w:val="1"/>
                <w:szCs w:val="1"/>
                <w:color w:val="auto"/>
              </w:rPr>
            </w:pPr>
          </w:p>
        </w:tc>
      </w:tr>
      <w:tr>
        <w:trPr>
          <w:trHeight w:val="173"/>
        </w:trPr>
        <w:tc>
          <w:tcPr>
            <w:tcW w:w="13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9"/>
              </w:rPr>
              <w:t>August 26,</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20"/>
                <w:szCs w:val="20"/>
                <w:color w:val="auto"/>
              </w:rPr>
            </w:pPr>
            <w:r>
              <w:rPr>
                <w:rFonts w:ascii="Courier New" w:cs="Courier New" w:eastAsia="Courier New" w:hAnsi="Courier New"/>
                <w:sz w:val="15"/>
                <w:szCs w:val="15"/>
                <w:color w:val="auto"/>
              </w:rPr>
              <w:t>thousands)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7"/>
                <w:szCs w:val="17"/>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bl>
    <w:p>
      <w:pPr>
        <w:ind w:left="188" w:hanging="188"/>
        <w:spacing w:after="0"/>
        <w:tabs>
          <w:tab w:leader="none" w:pos="188"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3" w:lineRule="exact"/>
        <w:rPr>
          <w:rFonts w:ascii="Courier New" w:cs="Courier New" w:eastAsia="Courier New" w:hAnsi="Courier New"/>
          <w:sz w:val="15"/>
          <w:szCs w:val="15"/>
          <w:color w:val="auto"/>
        </w:rPr>
      </w:pPr>
    </w:p>
    <w:p>
      <w:pPr>
        <w:ind w:left="188" w:right="9139" w:hanging="180"/>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operations</w:t>
      </w:r>
    </w:p>
    <w:tbl>
      <w:tblPr>
        <w:tblLayout w:type="fixed"/>
        <w:tblInd w:w="8" w:type="dxa"/>
        <w:tblCellMar>
          <w:top w:w="0" w:type="dxa"/>
          <w:left w:w="0" w:type="dxa"/>
          <w:bottom w:w="0" w:type="dxa"/>
          <w:right w:w="0" w:type="dxa"/>
        </w:tblCellMar>
      </w:tblPr>
      <w:tr>
        <w:trPr>
          <w:trHeight w:val="147"/>
        </w:trPr>
        <w:tc>
          <w:tcPr>
            <w:tcW w:w="1160" w:type="dxa"/>
            <w:vAlign w:val="bottom"/>
          </w:tcPr>
          <w:p>
            <w:pPr>
              <w:spacing w:after="0" w:line="147" w:lineRule="exact"/>
              <w:rPr>
                <w:sz w:val="20"/>
                <w:szCs w:val="20"/>
                <w:color w:val="auto"/>
              </w:rPr>
            </w:pPr>
            <w:r>
              <w:rPr>
                <w:rFonts w:ascii="Courier New" w:cs="Courier New" w:eastAsia="Courier New" w:hAnsi="Courier New"/>
                <w:sz w:val="15"/>
                <w:szCs w:val="15"/>
                <w:color w:val="auto"/>
              </w:rPr>
              <w:t>Current</w:t>
            </w:r>
          </w:p>
        </w:tc>
        <w:tc>
          <w:tcPr>
            <w:tcW w:w="1360" w:type="dxa"/>
            <w:vAlign w:val="bottom"/>
          </w:tcPr>
          <w:p>
            <w:pPr>
              <w:jc w:val="right"/>
              <w:ind w:right="205"/>
              <w:spacing w:after="0" w:line="147" w:lineRule="exact"/>
              <w:rPr>
                <w:sz w:val="20"/>
                <w:szCs w:val="20"/>
                <w:color w:val="auto"/>
              </w:rPr>
            </w:pPr>
            <w:r>
              <w:rPr>
                <w:rFonts w:ascii="Courier New" w:cs="Courier New" w:eastAsia="Courier New" w:hAnsi="Courier New"/>
                <w:sz w:val="15"/>
                <w:szCs w:val="15"/>
                <w:color w:val="auto"/>
              </w:rPr>
              <w:t>$ 5,707</w:t>
            </w:r>
          </w:p>
        </w:tc>
        <w:tc>
          <w:tcPr>
            <w:tcW w:w="1260" w:type="dxa"/>
            <w:vAlign w:val="bottom"/>
          </w:tcPr>
          <w:p>
            <w:pPr>
              <w:jc w:val="right"/>
              <w:ind w:right="205"/>
              <w:spacing w:after="0" w:line="147" w:lineRule="exact"/>
              <w:rPr>
                <w:sz w:val="20"/>
                <w:szCs w:val="20"/>
                <w:color w:val="auto"/>
              </w:rPr>
            </w:pPr>
            <w:r>
              <w:rPr>
                <w:rFonts w:ascii="Courier New" w:cs="Courier New" w:eastAsia="Courier New" w:hAnsi="Courier New"/>
                <w:sz w:val="15"/>
                <w:szCs w:val="15"/>
                <w:color w:val="auto"/>
              </w:rPr>
              <w:t>$  5,599</w:t>
            </w:r>
          </w:p>
        </w:tc>
        <w:tc>
          <w:tcPr>
            <w:tcW w:w="1000" w:type="dxa"/>
            <w:vAlign w:val="bottom"/>
          </w:tcPr>
          <w:p>
            <w:pPr>
              <w:jc w:val="right"/>
              <w:ind w:right="25"/>
              <w:spacing w:after="0" w:line="147" w:lineRule="exact"/>
              <w:rPr>
                <w:sz w:val="20"/>
                <w:szCs w:val="20"/>
                <w:color w:val="auto"/>
              </w:rPr>
            </w:pPr>
            <w:r>
              <w:rPr>
                <w:rFonts w:ascii="Courier New" w:cs="Courier New" w:eastAsia="Courier New" w:hAnsi="Courier New"/>
                <w:sz w:val="15"/>
                <w:szCs w:val="15"/>
                <w:color w:val="auto"/>
              </w:rPr>
              <w:t>$  3,649</w:t>
            </w:r>
          </w:p>
        </w:tc>
      </w:tr>
      <w:tr>
        <w:trPr>
          <w:trHeight w:val="201"/>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932</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(13,511)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(4,961)</w:t>
            </w:r>
          </w:p>
        </w:tc>
      </w:tr>
    </w:tbl>
    <w:p>
      <w:pPr>
        <w:ind w:left="8"/>
        <w:spacing w:after="0"/>
        <w:rPr>
          <w:sz w:val="20"/>
          <w:szCs w:val="20"/>
          <w:color w:val="auto"/>
        </w:rPr>
      </w:pPr>
      <w:r>
        <w:rPr>
          <w:rFonts w:ascii="Courier New" w:cs="Courier New" w:eastAsia="Courier New" w:hAnsi="Courier New"/>
          <w:sz w:val="15"/>
          <w:szCs w:val="15"/>
          <w:color w:val="auto"/>
        </w:rPr>
        <w:t>- ---------------- ------------ ------------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255"/>
        </w:trPr>
        <w:tc>
          <w:tcPr>
            <w:tcW w:w="1480" w:type="dxa"/>
            <w:vAlign w:val="bottom"/>
            <w:vMerge w:val="restart"/>
          </w:tcPr>
          <w:p>
            <w:pPr>
              <w:spacing w:after="0"/>
              <w:rPr>
                <w:sz w:val="20"/>
                <w:szCs w:val="20"/>
                <w:color w:val="auto"/>
              </w:rPr>
            </w:pPr>
            <w:r>
              <w:rPr>
                <w:rFonts w:ascii="Courier New" w:cs="Courier New" w:eastAsia="Courier New" w:hAnsi="Courier New"/>
                <w:sz w:val="15"/>
                <w:szCs w:val="15"/>
                <w:color w:val="auto"/>
              </w:rPr>
              <w:t>Discontinued</w:t>
            </w: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6,639</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(7,912)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(1,312)</w:t>
            </w:r>
          </w:p>
        </w:tc>
        <w:tc>
          <w:tcPr>
            <w:tcW w:w="0" w:type="dxa"/>
            <w:vAlign w:val="bottom"/>
          </w:tcPr>
          <w:p>
            <w:pPr>
              <w:spacing w:after="0"/>
              <w:rPr>
                <w:sz w:val="1"/>
                <w:szCs w:val="1"/>
                <w:color w:val="auto"/>
              </w:rPr>
            </w:pPr>
          </w:p>
        </w:tc>
      </w:tr>
      <w:tr>
        <w:trPr>
          <w:trHeight w:val="64"/>
        </w:trPr>
        <w:tc>
          <w:tcPr>
            <w:tcW w:w="148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primarily</w:t>
            </w:r>
          </w:p>
        </w:tc>
        <w:tc>
          <w:tcPr>
            <w:tcW w:w="118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(896)</w:t>
            </w:r>
          </w:p>
        </w:tc>
        <w:tc>
          <w:tcPr>
            <w:tcW w:w="120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(88)</w:t>
            </w:r>
          </w:p>
        </w:tc>
        <w:tc>
          <w:tcPr>
            <w:tcW w:w="9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01"/>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deferred</w:t>
            </w:r>
          </w:p>
        </w:tc>
        <w:tc>
          <w:tcPr>
            <w:tcW w:w="11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188" w:hanging="188"/>
        <w:spacing w:after="0"/>
        <w:tabs>
          <w:tab w:leader="none" w:pos="188"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Total</w:t>
      </w:r>
    </w:p>
    <w:tbl>
      <w:tblPr>
        <w:tblLayout w:type="fixed"/>
        <w:tblInd w:w="188" w:type="dxa"/>
        <w:tblCellMar>
          <w:top w:w="0" w:type="dxa"/>
          <w:left w:w="0" w:type="dxa"/>
          <w:bottom w:w="0" w:type="dxa"/>
          <w:right w:w="0" w:type="dxa"/>
        </w:tblCellMar>
      </w:tblPr>
      <w:tr>
        <w:trPr>
          <w:trHeight w:val="149"/>
        </w:trPr>
        <w:tc>
          <w:tcPr>
            <w:tcW w:w="1120" w:type="dxa"/>
            <w:vAlign w:val="bottom"/>
          </w:tcPr>
          <w:p>
            <w:pPr>
              <w:spacing w:after="0" w:line="149" w:lineRule="exact"/>
              <w:rPr>
                <w:sz w:val="20"/>
                <w:szCs w:val="20"/>
                <w:color w:val="auto"/>
              </w:rPr>
            </w:pPr>
            <w:r>
              <w:rPr>
                <w:rFonts w:ascii="Courier New" w:cs="Courier New" w:eastAsia="Courier New" w:hAnsi="Courier New"/>
                <w:sz w:val="15"/>
                <w:szCs w:val="15"/>
                <w:color w:val="auto"/>
              </w:rPr>
              <w:t>provision</w:t>
            </w:r>
          </w:p>
        </w:tc>
        <w:tc>
          <w:tcPr>
            <w:tcW w:w="13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$ 5,743</w:t>
            </w:r>
          </w:p>
        </w:tc>
        <w:tc>
          <w:tcPr>
            <w:tcW w:w="12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(8,000)</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(1,312)</w:t>
            </w:r>
          </w:p>
        </w:tc>
        <w:tc>
          <w:tcPr>
            <w:tcW w:w="0" w:type="dxa"/>
            <w:vAlign w:val="bottom"/>
          </w:tcPr>
          <w:p>
            <w:pPr>
              <w:spacing w:after="0"/>
              <w:rPr>
                <w:sz w:val="1"/>
                <w:szCs w:val="1"/>
                <w:color w:val="auto"/>
              </w:rPr>
            </w:pPr>
          </w:p>
        </w:tc>
      </w:tr>
      <w:tr>
        <w:trPr>
          <w:trHeight w:val="201"/>
        </w:trPr>
        <w:tc>
          <w:tcPr>
            <w:tcW w:w="1120" w:type="dxa"/>
            <w:vAlign w:val="bottom"/>
          </w:tcPr>
          <w:p>
            <w:pPr>
              <w:spacing w:after="0"/>
              <w:rPr>
                <w:sz w:val="20"/>
                <w:szCs w:val="20"/>
                <w:color w:val="auto"/>
              </w:rPr>
            </w:pPr>
            <w:r>
              <w:rPr>
                <w:rFonts w:ascii="Courier New" w:cs="Courier New" w:eastAsia="Courier New" w:hAnsi="Courier New"/>
                <w:sz w:val="15"/>
                <w:szCs w:val="15"/>
                <w:color w:val="auto"/>
              </w:rPr>
              <w:t>(credit)</w:t>
            </w:r>
          </w:p>
        </w:tc>
        <w:tc>
          <w:tcPr>
            <w:tcW w:w="13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188" w:hanging="188"/>
        <w:spacing w:after="0"/>
        <w:tabs>
          <w:tab w:leader="none" w:pos="188"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322" w:lineRule="exact"/>
        <w:rPr>
          <w:rFonts w:ascii="Courier New" w:cs="Courier New" w:eastAsia="Courier New" w:hAnsi="Courier New"/>
          <w:sz w:val="15"/>
          <w:szCs w:val="15"/>
          <w:color w:val="auto"/>
        </w:rPr>
      </w:pPr>
    </w:p>
    <w:p>
      <w:pPr>
        <w:ind w:left="32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PAGE 19</w:t>
      </w:r>
    </w:p>
    <w:p>
      <w:pPr>
        <w:spacing w:after="0" w:line="350" w:lineRule="exact"/>
        <w:rPr>
          <w:sz w:val="20"/>
          <w:szCs w:val="20"/>
          <w:color w:val="auto"/>
        </w:rPr>
      </w:pPr>
    </w:p>
    <w:p>
      <w:pPr>
        <w:ind w:left="8" w:right="3279"/>
        <w:spacing w:after="0" w:line="305" w:lineRule="auto"/>
        <w:rPr>
          <w:sz w:val="20"/>
          <w:szCs w:val="20"/>
          <w:color w:val="auto"/>
        </w:rPr>
      </w:pPr>
      <w:r>
        <w:rPr>
          <w:rFonts w:ascii="Courier New" w:cs="Courier New" w:eastAsia="Courier New" w:hAnsi="Courier New"/>
          <w:sz w:val="15"/>
          <w:szCs w:val="15"/>
          <w:color w:val="auto"/>
        </w:rPr>
        <w:t>The following is a reconciliation of the U.S. statutory tax rate to the effective income tax rates provided (benefit) before the cumulative effect of accounting change:</w:t>
      </w:r>
    </w:p>
    <w:p>
      <w:pPr>
        <w:spacing w:after="0" w:line="392" w:lineRule="exact"/>
        <w:rPr>
          <w:sz w:val="20"/>
          <w:szCs w:val="20"/>
          <w:color w:val="auto"/>
        </w:rPr>
      </w:pPr>
    </w:p>
    <w:tbl>
      <w:tblPr>
        <w:tblLayout w:type="fixed"/>
        <w:tblInd w:w="4428" w:type="dxa"/>
        <w:tblCellMar>
          <w:top w:w="0" w:type="dxa"/>
          <w:left w:w="0" w:type="dxa"/>
          <w:bottom w:w="0" w:type="dxa"/>
          <w:right w:w="0" w:type="dxa"/>
        </w:tblCellMar>
      </w:tblPr>
      <w:tr>
        <w:trPr>
          <w:trHeight w:val="173"/>
        </w:trPr>
        <w:tc>
          <w:tcPr>
            <w:tcW w:w="1620" w:type="dxa"/>
            <w:vAlign w:val="bottom"/>
            <w:vMerge w:val="restart"/>
          </w:tcPr>
          <w:p>
            <w:pPr>
              <w:spacing w:after="0"/>
              <w:rPr>
                <w:sz w:val="20"/>
                <w:szCs w:val="20"/>
                <w:color w:val="auto"/>
              </w:rPr>
            </w:pPr>
            <w:r>
              <w:rPr>
                <w:rFonts w:ascii="Courier New" w:cs="Courier New" w:eastAsia="Courier New" w:hAnsi="Courier New"/>
                <w:sz w:val="15"/>
                <w:szCs w:val="15"/>
                <w:color w:val="auto"/>
              </w:rPr>
              <w:t>August 31, 1996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ended</w:t>
            </w:r>
          </w:p>
        </w:tc>
        <w:tc>
          <w:tcPr>
            <w:tcW w:w="1660" w:type="dxa"/>
            <w:vAlign w:val="bottom"/>
            <w:vMerge w:val="restart"/>
          </w:tcPr>
          <w:p>
            <w:pPr>
              <w:ind w:left="300"/>
              <w:spacing w:after="0"/>
              <w:rPr>
                <w:sz w:val="20"/>
                <w:szCs w:val="20"/>
                <w:color w:val="auto"/>
              </w:rPr>
            </w:pPr>
            <w:r>
              <w:rPr>
                <w:rFonts w:ascii="Courier New" w:cs="Courier New" w:eastAsia="Courier New" w:hAnsi="Courier New"/>
                <w:sz w:val="15"/>
                <w:szCs w:val="15"/>
                <w:color w:val="auto"/>
                <w:w w:val="99"/>
              </w:rPr>
              <w:t>August 27, 1994</w:t>
            </w:r>
          </w:p>
        </w:tc>
        <w:tc>
          <w:tcPr>
            <w:tcW w:w="0" w:type="dxa"/>
            <w:vAlign w:val="bottom"/>
          </w:tcPr>
          <w:p>
            <w:pPr>
              <w:spacing w:after="0"/>
              <w:rPr>
                <w:sz w:val="1"/>
                <w:szCs w:val="1"/>
                <w:color w:val="auto"/>
              </w:rPr>
            </w:pPr>
          </w:p>
        </w:tc>
      </w:tr>
      <w:tr>
        <w:trPr>
          <w:trHeight w:val="201"/>
        </w:trPr>
        <w:tc>
          <w:tcPr>
            <w:tcW w:w="1620" w:type="dxa"/>
            <w:vAlign w:val="bottom"/>
            <w:vMerge w:val="continue"/>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August</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26, 1995</w:t>
            </w:r>
          </w:p>
        </w:tc>
        <w:tc>
          <w:tcPr>
            <w:tcW w:w="1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8"/>
        <w:spacing w:after="0"/>
        <w:rPr>
          <w:sz w:val="20"/>
          <w:szCs w:val="20"/>
          <w:color w:val="auto"/>
        </w:rPr>
      </w:pPr>
      <w:r>
        <w:rPr>
          <w:rFonts w:ascii="Courier New" w:cs="Courier New" w:eastAsia="Courier New" w:hAnsi="Courier New"/>
          <w:sz w:val="15"/>
          <w:szCs w:val="15"/>
          <w:color w:val="auto"/>
        </w:rPr>
        <w:t>- -------------------------------------------- --------------------- --------------------- ---------------------</w:t>
      </w:r>
    </w:p>
    <w:p>
      <w:pPr>
        <w:spacing w:after="0" w:line="149"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U.S. federal statutory rate</w:t>
            </w:r>
          </w:p>
        </w:tc>
        <w:tc>
          <w:tcPr>
            <w:tcW w:w="23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35.0%</w:t>
            </w:r>
          </w:p>
        </w:tc>
        <w:tc>
          <w:tcPr>
            <w:tcW w:w="19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35.0%</w:t>
            </w:r>
          </w:p>
        </w:tc>
        <w:tc>
          <w:tcPr>
            <w:tcW w:w="18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35.0%</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Cash surrender value</w:t>
            </w:r>
          </w:p>
        </w:tc>
        <w:tc>
          <w:tcPr>
            <w:tcW w:w="23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(2.0)</w:t>
            </w:r>
          </w:p>
        </w:tc>
        <w:tc>
          <w:tcPr>
            <w:tcW w:w="19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(1.5)</w:t>
            </w:r>
          </w:p>
        </w:tc>
        <w:tc>
          <w:tcPr>
            <w:tcW w:w="18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(6.6)</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Life insurance premiums</w:t>
            </w:r>
          </w:p>
        </w:tc>
        <w:tc>
          <w:tcPr>
            <w:tcW w:w="23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1.9</w:t>
            </w:r>
          </w:p>
        </w:tc>
        <w:tc>
          <w:tcPr>
            <w:tcW w:w="198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.8</w:t>
            </w:r>
          </w:p>
        </w:tc>
        <w:tc>
          <w:tcPr>
            <w:tcW w:w="18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7.4</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Tax credits</w:t>
            </w:r>
          </w:p>
        </w:tc>
        <w:tc>
          <w:tcPr>
            <w:tcW w:w="23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(2.2)</w:t>
            </w:r>
          </w:p>
        </w:tc>
        <w:tc>
          <w:tcPr>
            <w:tcW w:w="19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(2.0)</w:t>
            </w:r>
          </w:p>
        </w:tc>
        <w:tc>
          <w:tcPr>
            <w:tcW w:w="18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(10.8)</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Effect of change in valuation allowance</w:t>
            </w:r>
          </w:p>
        </w:tc>
        <w:tc>
          <w:tcPr>
            <w:tcW w:w="23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(77.9)</w:t>
            </w:r>
          </w:p>
        </w:tc>
        <w:tc>
          <w:tcPr>
            <w:tcW w:w="18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(32.5)</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 (income) loss of German subsidiary</w:t>
            </w:r>
          </w:p>
        </w:tc>
        <w:tc>
          <w:tcPr>
            <w:tcW w:w="2300" w:type="dxa"/>
            <w:vAlign w:val="bottom"/>
            <w:vMerge w:val="restart"/>
          </w:tcPr>
          <w:p>
            <w:pPr>
              <w:jc w:val="right"/>
              <w:ind w:right="685"/>
              <w:spacing w:after="0"/>
              <w:rPr>
                <w:sz w:val="20"/>
                <w:szCs w:val="20"/>
                <w:color w:val="auto"/>
              </w:rPr>
            </w:pPr>
            <w:r>
              <w:rPr>
                <w:rFonts w:ascii="Courier New" w:cs="Courier New" w:eastAsia="Courier New" w:hAnsi="Courier New"/>
                <w:sz w:val="15"/>
                <w:szCs w:val="15"/>
                <w:color w:val="auto"/>
              </w:rPr>
              <w:t>(1.4)</w:t>
            </w:r>
          </w:p>
        </w:tc>
        <w:tc>
          <w:tcPr>
            <w:tcW w:w="1980" w:type="dxa"/>
            <w:vAlign w:val="bottom"/>
            <w:vMerge w:val="restart"/>
          </w:tcPr>
          <w:p>
            <w:pPr>
              <w:jc w:val="right"/>
              <w:ind w:right="785"/>
              <w:spacing w:after="0"/>
              <w:rPr>
                <w:sz w:val="20"/>
                <w:szCs w:val="20"/>
                <w:color w:val="auto"/>
              </w:rPr>
            </w:pPr>
            <w:r>
              <w:rPr>
                <w:rFonts w:ascii="Courier New" w:cs="Courier New" w:eastAsia="Courier New" w:hAnsi="Courier New"/>
                <w:sz w:val="15"/>
                <w:szCs w:val="15"/>
                <w:color w:val="auto"/>
              </w:rPr>
              <w:t>1.7</w:t>
            </w:r>
          </w:p>
        </w:tc>
        <w:tc>
          <w:tcPr>
            <w:tcW w:w="1840" w:type="dxa"/>
            <w:vAlign w:val="bottom"/>
            <w:vMerge w:val="restart"/>
          </w:tcPr>
          <w:p>
            <w:pPr>
              <w:jc w:val="right"/>
              <w:ind w:right="645"/>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173"/>
        </w:trPr>
        <w:tc>
          <w:tcPr>
            <w:tcW w:w="3780" w:type="dxa"/>
            <w:vAlign w:val="bottom"/>
          </w:tcPr>
          <w:p>
            <w:pPr>
              <w:ind w:left="360"/>
              <w:spacing w:after="0"/>
              <w:rPr>
                <w:sz w:val="20"/>
                <w:szCs w:val="20"/>
                <w:color w:val="auto"/>
              </w:rPr>
            </w:pPr>
            <w:r>
              <w:rPr>
                <w:rFonts w:ascii="Courier New" w:cs="Courier New" w:eastAsia="Courier New" w:hAnsi="Courier New"/>
                <w:sz w:val="15"/>
                <w:szCs w:val="15"/>
                <w:color w:val="auto"/>
              </w:rPr>
              <w:t>not included in consolidated return</w:t>
            </w:r>
          </w:p>
        </w:tc>
        <w:tc>
          <w:tcPr>
            <w:tcW w:w="2300" w:type="dxa"/>
            <w:vAlign w:val="bottom"/>
            <w:vMerge w:val="continue"/>
          </w:tcPr>
          <w:p>
            <w:pPr>
              <w:spacing w:after="0"/>
              <w:rPr>
                <w:sz w:val="15"/>
                <w:szCs w:val="15"/>
                <w:color w:val="auto"/>
              </w:rPr>
            </w:pPr>
          </w:p>
        </w:tc>
        <w:tc>
          <w:tcPr>
            <w:tcW w:w="198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3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0.4</w:t>
            </w:r>
          </w:p>
        </w:tc>
        <w:tc>
          <w:tcPr>
            <w:tcW w:w="198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3.4</w:t>
            </w:r>
          </w:p>
        </w:tc>
        <w:tc>
          <w:tcPr>
            <w:tcW w:w="18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(3.7)</w:t>
            </w:r>
          </w:p>
        </w:tc>
        <w:tc>
          <w:tcPr>
            <w:tcW w:w="0" w:type="dxa"/>
            <w:vAlign w:val="bottom"/>
          </w:tcPr>
          <w:p>
            <w:pPr>
              <w:spacing w:after="0"/>
              <w:rPr>
                <w:sz w:val="1"/>
                <w:szCs w:val="1"/>
                <w:color w:val="auto"/>
              </w:rPr>
            </w:pPr>
          </w:p>
        </w:tc>
      </w:tr>
      <w:tr>
        <w:trPr>
          <w:trHeight w:val="255"/>
        </w:trPr>
        <w:tc>
          <w:tcPr>
            <w:tcW w:w="3780" w:type="dxa"/>
            <w:vAlign w:val="bottom"/>
          </w:tcPr>
          <w:p>
            <w:pPr>
              <w:spacing w:after="0"/>
              <w:rPr>
                <w:sz w:val="22"/>
                <w:szCs w:val="22"/>
                <w:color w:val="auto"/>
              </w:rPr>
            </w:pPr>
          </w:p>
        </w:tc>
        <w:tc>
          <w:tcPr>
            <w:tcW w:w="6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c>
          <w:tcPr>
            <w:tcW w:w="0" w:type="dxa"/>
            <w:vAlign w:val="bottom"/>
          </w:tcPr>
          <w:p>
            <w:pPr>
              <w:spacing w:after="0"/>
              <w:rPr>
                <w:sz w:val="1"/>
                <w:szCs w:val="1"/>
                <w:color w:val="auto"/>
              </w:rPr>
            </w:pPr>
          </w:p>
        </w:tc>
      </w:tr>
      <w:tr>
        <w:trPr>
          <w:trHeight w:val="265"/>
        </w:trPr>
        <w:tc>
          <w:tcPr>
            <w:tcW w:w="37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3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31.7%</w:t>
            </w:r>
          </w:p>
        </w:tc>
        <w:tc>
          <w:tcPr>
            <w:tcW w:w="19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(40.5)%</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(8.1)%</w:t>
            </w:r>
          </w:p>
        </w:tc>
        <w:tc>
          <w:tcPr>
            <w:tcW w:w="0" w:type="dxa"/>
            <w:vAlign w:val="bottom"/>
          </w:tcPr>
          <w:p>
            <w:pPr>
              <w:spacing w:after="0"/>
              <w:rPr>
                <w:sz w:val="1"/>
                <w:szCs w:val="1"/>
                <w:color w:val="auto"/>
              </w:rPr>
            </w:pPr>
          </w:p>
        </w:tc>
      </w:tr>
      <w:tr>
        <w:trPr>
          <w:trHeight w:val="255"/>
        </w:trPr>
        <w:tc>
          <w:tcPr>
            <w:tcW w:w="3780" w:type="dxa"/>
            <w:vAlign w:val="bottom"/>
            <w:vMerge w:val="restart"/>
          </w:tcPr>
          <w:p>
            <w:pPr>
              <w:spacing w:after="0"/>
              <w:rPr>
                <w:sz w:val="20"/>
                <w:szCs w:val="20"/>
                <w:color w:val="auto"/>
              </w:rPr>
            </w:pPr>
            <w:r>
              <w:rPr>
                <w:rFonts w:ascii="Courier New" w:cs="Courier New" w:eastAsia="Courier New" w:hAnsi="Courier New"/>
                <w:sz w:val="15"/>
                <w:szCs w:val="15"/>
                <w:color w:val="auto"/>
              </w:rPr>
              <w:t>Whereof:</w:t>
            </w:r>
          </w:p>
        </w:tc>
        <w:tc>
          <w:tcPr>
            <w:tcW w:w="6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c>
          <w:tcPr>
            <w:tcW w:w="0" w:type="dxa"/>
            <w:vAlign w:val="bottom"/>
          </w:tcPr>
          <w:p>
            <w:pPr>
              <w:spacing w:after="0"/>
              <w:rPr>
                <w:sz w:val="1"/>
                <w:szCs w:val="1"/>
                <w:color w:val="auto"/>
              </w:rPr>
            </w:pPr>
          </w:p>
        </w:tc>
      </w:tr>
      <w:tr>
        <w:trPr>
          <w:trHeight w:val="92"/>
        </w:trPr>
        <w:tc>
          <w:tcPr>
            <w:tcW w:w="3780" w:type="dxa"/>
            <w:vAlign w:val="bottom"/>
            <w:vMerge w:val="continue"/>
          </w:tcPr>
          <w:p>
            <w:pPr>
              <w:spacing w:after="0"/>
              <w:rPr>
                <w:sz w:val="7"/>
                <w:szCs w:val="7"/>
                <w:color w:val="auto"/>
              </w:rPr>
            </w:pPr>
          </w:p>
        </w:tc>
        <w:tc>
          <w:tcPr>
            <w:tcW w:w="2300" w:type="dxa"/>
            <w:vAlign w:val="bottom"/>
            <w:vMerge w:val="restart"/>
          </w:tcPr>
          <w:p>
            <w:pPr>
              <w:jc w:val="right"/>
              <w:ind w:right="685"/>
              <w:spacing w:after="0"/>
              <w:rPr>
                <w:sz w:val="20"/>
                <w:szCs w:val="20"/>
                <w:color w:val="auto"/>
              </w:rPr>
            </w:pPr>
            <w:r>
              <w:rPr>
                <w:rFonts w:ascii="Courier New" w:cs="Courier New" w:eastAsia="Courier New" w:hAnsi="Courier New"/>
                <w:sz w:val="15"/>
                <w:szCs w:val="15"/>
                <w:color w:val="auto"/>
              </w:rPr>
              <w:t>31.5%</w:t>
            </w:r>
          </w:p>
        </w:tc>
        <w:tc>
          <w:tcPr>
            <w:tcW w:w="1980" w:type="dxa"/>
            <w:vAlign w:val="bottom"/>
            <w:vMerge w:val="restart"/>
          </w:tcPr>
          <w:p>
            <w:pPr>
              <w:jc w:val="right"/>
              <w:ind w:right="605"/>
              <w:spacing w:after="0"/>
              <w:rPr>
                <w:sz w:val="20"/>
                <w:szCs w:val="20"/>
                <w:color w:val="auto"/>
              </w:rPr>
            </w:pPr>
            <w:r>
              <w:rPr>
                <w:rFonts w:ascii="Courier New" w:cs="Courier New" w:eastAsia="Courier New" w:hAnsi="Courier New"/>
                <w:sz w:val="15"/>
                <w:szCs w:val="15"/>
                <w:color w:val="auto"/>
              </w:rPr>
              <w:t>(39.6)%</w:t>
            </w:r>
          </w:p>
        </w:tc>
        <w:tc>
          <w:tcPr>
            <w:tcW w:w="184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(8.6)%</w:t>
            </w:r>
          </w:p>
        </w:tc>
        <w:tc>
          <w:tcPr>
            <w:tcW w:w="0" w:type="dxa"/>
            <w:vAlign w:val="bottom"/>
          </w:tcPr>
          <w:p>
            <w:pPr>
              <w:spacing w:after="0"/>
              <w:rPr>
                <w:sz w:val="1"/>
                <w:szCs w:val="1"/>
                <w:color w:val="auto"/>
              </w:rPr>
            </w:pPr>
          </w:p>
        </w:tc>
      </w:tr>
      <w:tr>
        <w:trPr>
          <w:trHeight w:val="173"/>
        </w:trPr>
        <w:tc>
          <w:tcPr>
            <w:tcW w:w="3780" w:type="dxa"/>
            <w:vAlign w:val="bottom"/>
          </w:tcPr>
          <w:p>
            <w:pPr>
              <w:ind w:left="360"/>
              <w:spacing w:after="0"/>
              <w:rPr>
                <w:sz w:val="20"/>
                <w:szCs w:val="20"/>
                <w:color w:val="auto"/>
              </w:rPr>
            </w:pPr>
            <w:r>
              <w:rPr>
                <w:rFonts w:ascii="Courier New" w:cs="Courier New" w:eastAsia="Courier New" w:hAnsi="Courier New"/>
                <w:sz w:val="15"/>
                <w:szCs w:val="15"/>
                <w:color w:val="auto"/>
              </w:rPr>
              <w:t>Continuing operations</w:t>
            </w:r>
          </w:p>
        </w:tc>
        <w:tc>
          <w:tcPr>
            <w:tcW w:w="2300" w:type="dxa"/>
            <w:vAlign w:val="bottom"/>
            <w:vMerge w:val="continue"/>
          </w:tcPr>
          <w:p>
            <w:pPr>
              <w:spacing w:after="0"/>
              <w:rPr>
                <w:sz w:val="15"/>
                <w:szCs w:val="15"/>
                <w:color w:val="auto"/>
              </w:rPr>
            </w:pPr>
          </w:p>
        </w:tc>
        <w:tc>
          <w:tcPr>
            <w:tcW w:w="198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780" w:type="dxa"/>
            <w:vAlign w:val="bottom"/>
          </w:tcPr>
          <w:p>
            <w:pPr>
              <w:ind w:left="360"/>
              <w:spacing w:after="0"/>
              <w:rPr>
                <w:sz w:val="20"/>
                <w:szCs w:val="20"/>
                <w:color w:val="auto"/>
              </w:rPr>
            </w:pPr>
            <w:r>
              <w:rPr>
                <w:rFonts w:ascii="Courier New" w:cs="Courier New" w:eastAsia="Courier New" w:hAnsi="Courier New"/>
                <w:sz w:val="15"/>
                <w:szCs w:val="15"/>
                <w:color w:val="auto"/>
              </w:rPr>
              <w:t>Discontinued operations</w:t>
            </w:r>
          </w:p>
        </w:tc>
        <w:tc>
          <w:tcPr>
            <w:tcW w:w="23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(30.5)%</w:t>
            </w:r>
          </w:p>
        </w:tc>
        <w:tc>
          <w:tcPr>
            <w:tcW w:w="19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(35.0)%</w:t>
            </w:r>
          </w:p>
        </w:tc>
        <w:tc>
          <w:tcPr>
            <w:tcW w:w="18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5"/>
        </w:trPr>
        <w:tc>
          <w:tcPr>
            <w:tcW w:w="3780" w:type="dxa"/>
            <w:vAlign w:val="bottom"/>
          </w:tcPr>
          <w:p>
            <w:pPr>
              <w:spacing w:after="0"/>
              <w:rPr>
                <w:sz w:val="22"/>
                <w:szCs w:val="22"/>
                <w:color w:val="auto"/>
              </w:rPr>
            </w:pPr>
          </w:p>
        </w:tc>
        <w:tc>
          <w:tcPr>
            <w:tcW w:w="6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8" w:right="3279"/>
        <w:spacing w:after="0" w:line="365" w:lineRule="auto"/>
        <w:rPr>
          <w:sz w:val="20"/>
          <w:szCs w:val="20"/>
          <w:color w:val="auto"/>
        </w:rPr>
      </w:pPr>
      <w:r>
        <w:rPr>
          <w:rFonts w:ascii="Courier New" w:cs="Courier New" w:eastAsia="Courier New" w:hAnsi="Courier New"/>
          <w:sz w:val="15"/>
          <w:szCs w:val="15"/>
          <w:color w:val="auto"/>
        </w:rPr>
        <w:t>The tax effect of significant items comprising the Company's net deferred tax assets are as follows:</w:t>
      </w:r>
    </w:p>
    <w:p>
      <w:pPr>
        <w:spacing w:after="0" w:line="350" w:lineRule="exact"/>
        <w:rPr>
          <w:sz w:val="20"/>
          <w:szCs w:val="20"/>
          <w:color w:val="auto"/>
        </w:rPr>
      </w:pPr>
    </w:p>
    <w:p>
      <w:pPr>
        <w:ind w:left="5408"/>
        <w:spacing w:after="0"/>
        <w:tabs>
          <w:tab w:leader="none" w:pos="8367" w:val="left"/>
        </w:tabs>
        <w:rPr>
          <w:sz w:val="20"/>
          <w:szCs w:val="20"/>
          <w:color w:val="auto"/>
        </w:rPr>
      </w:pPr>
      <w:r>
        <w:rPr>
          <w:rFonts w:ascii="Courier New" w:cs="Courier New" w:eastAsia="Courier New" w:hAnsi="Courier New"/>
          <w:sz w:val="15"/>
          <w:szCs w:val="15"/>
          <w:color w:val="auto"/>
        </w:rPr>
        <w:t>August 31, 1996</w:t>
      </w:r>
      <w:r>
        <w:rPr>
          <w:sz w:val="20"/>
          <w:szCs w:val="20"/>
          <w:color w:val="auto"/>
        </w:rPr>
        <w:tab/>
      </w:r>
      <w:r>
        <w:rPr>
          <w:rFonts w:ascii="Courier New" w:cs="Courier New" w:eastAsia="Courier New" w:hAnsi="Courier New"/>
          <w:sz w:val="14"/>
          <w:szCs w:val="14"/>
          <w:color w:val="auto"/>
        </w:rPr>
        <w:t>August 26, 1995</w:t>
      </w:r>
    </w:p>
    <w:p>
      <w:pPr>
        <w:spacing w:after="0" w:line="31"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7"/>
          </w:cols>
          <w:pgMar w:left="232" w:top="113" w:right="1440" w:bottom="0" w:gutter="0" w:footer="0" w:header="0"/>
        </w:sectPr>
      </w:pPr>
    </w:p>
    <w:bookmarkStart w:id="66" w:name="page67"/>
    <w:bookmarkEnd w:id="66"/>
    <w:p>
      <w:pPr>
        <w:spacing w:after="0" w:line="28" w:lineRule="exact"/>
        <w:rPr>
          <w:sz w:val="20"/>
          <w:szCs w:val="20"/>
          <w:color w:val="auto"/>
        </w:rPr>
      </w:pPr>
    </w:p>
    <w:p>
      <w:pPr>
        <w:ind w:left="8"/>
        <w:spacing w:after="0"/>
        <w:tabs>
          <w:tab w:leader="none" w:pos="4767" w:val="left"/>
          <w:tab w:leader="none" w:pos="5927" w:val="left"/>
          <w:tab w:leader="none" w:pos="7467" w:val="left"/>
          <w:tab w:leader="none" w:pos="8907"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Assets</w:t>
      </w:r>
      <w:r>
        <w:rPr>
          <w:sz w:val="20"/>
          <w:szCs w:val="20"/>
          <w:color w:val="auto"/>
        </w:rPr>
        <w:tab/>
      </w:r>
      <w:r>
        <w:rPr>
          <w:rFonts w:ascii="Courier New" w:cs="Courier New" w:eastAsia="Courier New" w:hAnsi="Courier New"/>
          <w:sz w:val="15"/>
          <w:szCs w:val="15"/>
          <w:color w:val="auto"/>
        </w:rPr>
        <w:t>Liabilities</w:t>
      </w:r>
      <w:r>
        <w:rPr>
          <w:sz w:val="20"/>
          <w:szCs w:val="20"/>
          <w:color w:val="auto"/>
        </w:rPr>
        <w:tab/>
      </w: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Total</w:t>
      </w:r>
    </w:p>
    <w:p>
      <w:pPr>
        <w:spacing w:after="0" w:line="31" w:lineRule="exact"/>
        <w:rPr>
          <w:sz w:val="20"/>
          <w:szCs w:val="20"/>
          <w:color w:val="auto"/>
        </w:rPr>
      </w:pPr>
    </w:p>
    <w:p>
      <w:pPr>
        <w:ind w:left="188" w:hanging="188"/>
        <w:spacing w:after="0"/>
        <w:tabs>
          <w:tab w:leader="none" w:pos="188"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CURRENT</w:t>
      </w:r>
    </w:p>
    <w:p>
      <w:pPr>
        <w:spacing w:after="0" w:line="149"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Miscellaneous reserves</w:t>
            </w:r>
          </w:p>
        </w:tc>
        <w:tc>
          <w:tcPr>
            <w:tcW w:w="2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4,153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(556)</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3,597</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2,952</w:t>
            </w:r>
          </w:p>
        </w:tc>
      </w:tr>
      <w:tr>
        <w:trPr>
          <w:trHeight w:val="255"/>
        </w:trPr>
        <w:tc>
          <w:tcPr>
            <w:tcW w:w="3600" w:type="dxa"/>
            <w:vAlign w:val="bottom"/>
          </w:tcPr>
          <w:p>
            <w:pPr>
              <w:spacing w:after="0"/>
              <w:rPr>
                <w:sz w:val="20"/>
                <w:szCs w:val="20"/>
                <w:color w:val="auto"/>
              </w:rPr>
            </w:pPr>
            <w:r>
              <w:rPr>
                <w:rFonts w:ascii="Courier New" w:cs="Courier New" w:eastAsia="Courier New" w:hAnsi="Courier New"/>
                <w:sz w:val="15"/>
                <w:szCs w:val="15"/>
                <w:color w:val="auto"/>
              </w:rPr>
              <w:t>Non-deductible warranty reserves</w:t>
            </w:r>
          </w:p>
        </w:tc>
        <w:tc>
          <w:tcPr>
            <w:tcW w:w="2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1,198</w:t>
            </w:r>
          </w:p>
        </w:tc>
        <w:tc>
          <w:tcPr>
            <w:tcW w:w="440" w:type="dxa"/>
            <w:vAlign w:val="bottom"/>
          </w:tcPr>
          <w:p>
            <w:pPr>
              <w:spacing w:after="0"/>
              <w:rPr>
                <w:sz w:val="22"/>
                <w:szCs w:val="22"/>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2"/>
                <w:szCs w:val="22"/>
                <w:color w:val="auto"/>
              </w:rPr>
            </w:pPr>
          </w:p>
        </w:tc>
        <w:tc>
          <w:tcPr>
            <w:tcW w:w="10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1,198</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1,114</w:t>
            </w:r>
          </w:p>
        </w:tc>
      </w:tr>
      <w:tr>
        <w:trPr>
          <w:trHeight w:val="265"/>
        </w:trPr>
        <w:tc>
          <w:tcPr>
            <w:tcW w:w="3600" w:type="dxa"/>
            <w:vAlign w:val="bottom"/>
          </w:tcPr>
          <w:p>
            <w:pPr>
              <w:spacing w:after="0"/>
              <w:rPr>
                <w:sz w:val="20"/>
                <w:szCs w:val="20"/>
                <w:color w:val="auto"/>
              </w:rPr>
            </w:pPr>
            <w:r>
              <w:rPr>
                <w:rFonts w:ascii="Courier New" w:cs="Courier New" w:eastAsia="Courier New" w:hAnsi="Courier New"/>
                <w:sz w:val="15"/>
                <w:szCs w:val="15"/>
                <w:color w:val="auto"/>
              </w:rPr>
              <w:t>Bad debt reserves</w:t>
            </w:r>
          </w:p>
        </w:tc>
        <w:tc>
          <w:tcPr>
            <w:tcW w:w="2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516</w:t>
            </w:r>
          </w:p>
        </w:tc>
        <w:tc>
          <w:tcPr>
            <w:tcW w:w="440" w:type="dxa"/>
            <w:vAlign w:val="bottom"/>
          </w:tcPr>
          <w:p>
            <w:pPr>
              <w:spacing w:after="0"/>
              <w:rPr>
                <w:sz w:val="23"/>
                <w:szCs w:val="23"/>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3"/>
                <w:szCs w:val="23"/>
                <w:color w:val="auto"/>
              </w:rPr>
            </w:pPr>
          </w:p>
        </w:tc>
        <w:tc>
          <w:tcPr>
            <w:tcW w:w="10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516</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700</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Self-insurance reserve</w:t>
            </w:r>
          </w:p>
        </w:tc>
        <w:tc>
          <w:tcPr>
            <w:tcW w:w="2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1,032</w:t>
            </w:r>
          </w:p>
        </w:tc>
        <w:tc>
          <w:tcPr>
            <w:tcW w:w="44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0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1,032</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1,458</w:t>
            </w:r>
          </w:p>
        </w:tc>
      </w:tr>
      <w:tr>
        <w:trPr>
          <w:trHeight w:val="255"/>
        </w:trPr>
        <w:tc>
          <w:tcPr>
            <w:tcW w:w="3600" w:type="dxa"/>
            <w:vAlign w:val="bottom"/>
          </w:tcPr>
          <w:p>
            <w:pPr>
              <w:spacing w:after="0"/>
              <w:rPr>
                <w:sz w:val="22"/>
                <w:szCs w:val="22"/>
                <w:color w:val="auto"/>
              </w:rPr>
            </w:pPr>
          </w:p>
        </w:tc>
        <w:tc>
          <w:tcPr>
            <w:tcW w:w="63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265"/>
        </w:trPr>
        <w:tc>
          <w:tcPr>
            <w:tcW w:w="3600" w:type="dxa"/>
            <w:vAlign w:val="bottom"/>
          </w:tcPr>
          <w:p>
            <w:pPr>
              <w:spacing w:after="0"/>
              <w:rPr>
                <w:sz w:val="20"/>
                <w:szCs w:val="20"/>
                <w:color w:val="auto"/>
              </w:rPr>
            </w:pPr>
            <w:r>
              <w:rPr>
                <w:rFonts w:ascii="Courier New" w:cs="Courier New" w:eastAsia="Courier New" w:hAnsi="Courier New"/>
                <w:sz w:val="15"/>
                <w:szCs w:val="15"/>
                <w:color w:val="auto"/>
              </w:rPr>
              <w:t>Subtotal</w:t>
            </w:r>
          </w:p>
        </w:tc>
        <w:tc>
          <w:tcPr>
            <w:tcW w:w="2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6,899</w:t>
            </w:r>
          </w:p>
        </w:tc>
        <w:tc>
          <w:tcPr>
            <w:tcW w:w="440" w:type="dxa"/>
            <w:vAlign w:val="bottom"/>
          </w:tcPr>
          <w:p>
            <w:pPr>
              <w:spacing w:after="0"/>
              <w:rPr>
                <w:sz w:val="23"/>
                <w:szCs w:val="23"/>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(556)</w:t>
            </w:r>
          </w:p>
        </w:tc>
        <w:tc>
          <w:tcPr>
            <w:tcW w:w="420" w:type="dxa"/>
            <w:vAlign w:val="bottom"/>
          </w:tcPr>
          <w:p>
            <w:pPr>
              <w:spacing w:after="0"/>
              <w:rPr>
                <w:sz w:val="23"/>
                <w:szCs w:val="23"/>
                <w:color w:val="auto"/>
              </w:rPr>
            </w:pPr>
          </w:p>
        </w:tc>
        <w:tc>
          <w:tcPr>
            <w:tcW w:w="10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6,343</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6,224</w:t>
            </w:r>
          </w:p>
        </w:tc>
      </w:tr>
      <w:tr>
        <w:trPr>
          <w:trHeight w:val="255"/>
        </w:trPr>
        <w:tc>
          <w:tcPr>
            <w:tcW w:w="3600" w:type="dxa"/>
            <w:vAlign w:val="bottom"/>
          </w:tcPr>
          <w:p>
            <w:pPr>
              <w:spacing w:after="0"/>
              <w:rPr>
                <w:sz w:val="22"/>
                <w:szCs w:val="22"/>
                <w:color w:val="auto"/>
              </w:rPr>
            </w:pPr>
          </w:p>
        </w:tc>
        <w:tc>
          <w:tcPr>
            <w:tcW w:w="63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47"/>
        </w:trPr>
        <w:tc>
          <w:tcPr>
            <w:tcW w:w="3600" w:type="dxa"/>
            <w:vAlign w:val="bottom"/>
          </w:tcPr>
          <w:p>
            <w:pPr>
              <w:spacing w:after="0"/>
              <w:rPr>
                <w:sz w:val="20"/>
                <w:szCs w:val="20"/>
                <w:color w:val="auto"/>
              </w:rPr>
            </w:pPr>
            <w:r>
              <w:rPr>
                <w:rFonts w:ascii="Courier New" w:cs="Courier New" w:eastAsia="Courier New" w:hAnsi="Courier New"/>
                <w:sz w:val="15"/>
                <w:szCs w:val="15"/>
                <w:color w:val="auto"/>
              </w:rPr>
              <w:t>NONCURRENT</w:t>
            </w:r>
          </w:p>
        </w:tc>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65"/>
        </w:trPr>
        <w:tc>
          <w:tcPr>
            <w:tcW w:w="3600" w:type="dxa"/>
            <w:vAlign w:val="bottom"/>
          </w:tcPr>
          <w:p>
            <w:pPr>
              <w:spacing w:after="0"/>
              <w:rPr>
                <w:sz w:val="20"/>
                <w:szCs w:val="20"/>
                <w:color w:val="auto"/>
              </w:rPr>
            </w:pPr>
            <w:r>
              <w:rPr>
                <w:rFonts w:ascii="Courier New" w:cs="Courier New" w:eastAsia="Courier New" w:hAnsi="Courier New"/>
                <w:sz w:val="15"/>
                <w:szCs w:val="15"/>
                <w:color w:val="auto"/>
              </w:rPr>
              <w:t>Postretirement health care benefits</w:t>
            </w:r>
          </w:p>
        </w:tc>
        <w:tc>
          <w:tcPr>
            <w:tcW w:w="2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9,069</w:t>
            </w:r>
          </w:p>
        </w:tc>
        <w:tc>
          <w:tcPr>
            <w:tcW w:w="440" w:type="dxa"/>
            <w:vAlign w:val="bottom"/>
          </w:tcPr>
          <w:p>
            <w:pPr>
              <w:spacing w:after="0"/>
              <w:rPr>
                <w:sz w:val="23"/>
                <w:szCs w:val="23"/>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3"/>
                <w:szCs w:val="23"/>
                <w:color w:val="auto"/>
              </w:rPr>
            </w:pPr>
          </w:p>
        </w:tc>
        <w:tc>
          <w:tcPr>
            <w:tcW w:w="10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9,069</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8,592</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Deferred compensation</w:t>
            </w:r>
          </w:p>
        </w:tc>
        <w:tc>
          <w:tcPr>
            <w:tcW w:w="2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7,825</w:t>
            </w:r>
          </w:p>
        </w:tc>
        <w:tc>
          <w:tcPr>
            <w:tcW w:w="44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0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7,825</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7,599</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Accelerated depreciation</w:t>
            </w:r>
          </w:p>
        </w:tc>
        <w:tc>
          <w:tcPr>
            <w:tcW w:w="2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(2,402)</w:t>
            </w:r>
          </w:p>
        </w:tc>
        <w:tc>
          <w:tcPr>
            <w:tcW w:w="420" w:type="dxa"/>
            <w:vAlign w:val="bottom"/>
          </w:tcPr>
          <w:p>
            <w:pPr>
              <w:spacing w:after="0"/>
              <w:rPr>
                <w:sz w:val="15"/>
                <w:szCs w:val="15"/>
                <w:color w:val="auto"/>
              </w:rPr>
            </w:pP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(2,402)</w:t>
            </w: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(2,315)</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56</w:t>
            </w:r>
          </w:p>
        </w:tc>
        <w:tc>
          <w:tcPr>
            <w:tcW w:w="44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0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56</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231</w:t>
            </w:r>
          </w:p>
        </w:tc>
      </w:tr>
      <w:tr>
        <w:trPr>
          <w:trHeight w:val="255"/>
        </w:trPr>
        <w:tc>
          <w:tcPr>
            <w:tcW w:w="3600" w:type="dxa"/>
            <w:vAlign w:val="bottom"/>
          </w:tcPr>
          <w:p>
            <w:pPr>
              <w:spacing w:after="0"/>
              <w:rPr>
                <w:sz w:val="22"/>
                <w:szCs w:val="22"/>
                <w:color w:val="auto"/>
              </w:rPr>
            </w:pPr>
          </w:p>
        </w:tc>
        <w:tc>
          <w:tcPr>
            <w:tcW w:w="63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265"/>
        </w:trPr>
        <w:tc>
          <w:tcPr>
            <w:tcW w:w="3600" w:type="dxa"/>
            <w:vAlign w:val="bottom"/>
          </w:tcPr>
          <w:p>
            <w:pPr>
              <w:spacing w:after="0"/>
              <w:rPr>
                <w:sz w:val="20"/>
                <w:szCs w:val="20"/>
                <w:color w:val="auto"/>
              </w:rPr>
            </w:pPr>
            <w:r>
              <w:rPr>
                <w:rFonts w:ascii="Courier New" w:cs="Courier New" w:eastAsia="Courier New" w:hAnsi="Courier New"/>
                <w:sz w:val="15"/>
                <w:szCs w:val="15"/>
                <w:color w:val="auto"/>
              </w:rPr>
              <w:t>Subtotal</w:t>
            </w:r>
          </w:p>
        </w:tc>
        <w:tc>
          <w:tcPr>
            <w:tcW w:w="2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16,950</w:t>
            </w:r>
          </w:p>
        </w:tc>
        <w:tc>
          <w:tcPr>
            <w:tcW w:w="440" w:type="dxa"/>
            <w:vAlign w:val="bottom"/>
          </w:tcPr>
          <w:p>
            <w:pPr>
              <w:spacing w:after="0"/>
              <w:rPr>
                <w:sz w:val="23"/>
                <w:szCs w:val="23"/>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(2,402)</w:t>
            </w:r>
          </w:p>
        </w:tc>
        <w:tc>
          <w:tcPr>
            <w:tcW w:w="420" w:type="dxa"/>
            <w:vAlign w:val="bottom"/>
          </w:tcPr>
          <w:p>
            <w:pPr>
              <w:spacing w:after="0"/>
              <w:rPr>
                <w:sz w:val="23"/>
                <w:szCs w:val="23"/>
                <w:color w:val="auto"/>
              </w:rPr>
            </w:pPr>
          </w:p>
        </w:tc>
        <w:tc>
          <w:tcPr>
            <w:tcW w:w="10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14,548</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14,107</w:t>
            </w:r>
          </w:p>
        </w:tc>
      </w:tr>
      <w:tr>
        <w:trPr>
          <w:trHeight w:val="255"/>
        </w:trPr>
        <w:tc>
          <w:tcPr>
            <w:tcW w:w="3600" w:type="dxa"/>
            <w:vAlign w:val="bottom"/>
          </w:tcPr>
          <w:p>
            <w:pPr>
              <w:spacing w:after="0"/>
              <w:rPr>
                <w:sz w:val="22"/>
                <w:szCs w:val="22"/>
                <w:color w:val="auto"/>
              </w:rPr>
            </w:pPr>
          </w:p>
        </w:tc>
        <w:tc>
          <w:tcPr>
            <w:tcW w:w="63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265"/>
        </w:trPr>
        <w:tc>
          <w:tcPr>
            <w:tcW w:w="36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$23,849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(2,958)</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20,891</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$20,331</w:t>
            </w:r>
          </w:p>
        </w:tc>
      </w:tr>
      <w:tr>
        <w:trPr>
          <w:trHeight w:val="255"/>
        </w:trPr>
        <w:tc>
          <w:tcPr>
            <w:tcW w:w="3600" w:type="dxa"/>
            <w:vAlign w:val="bottom"/>
          </w:tcPr>
          <w:p>
            <w:pPr>
              <w:spacing w:after="0"/>
              <w:rPr>
                <w:sz w:val="22"/>
                <w:szCs w:val="22"/>
                <w:color w:val="auto"/>
              </w:rPr>
            </w:pPr>
          </w:p>
        </w:tc>
        <w:tc>
          <w:tcPr>
            <w:tcW w:w="63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 ------------------</w:t>
            </w:r>
          </w:p>
        </w:tc>
      </w:tr>
    </w:tbl>
    <w:p>
      <w:pPr>
        <w:spacing w:after="0" w:line="200" w:lineRule="exact"/>
        <w:rPr>
          <w:sz w:val="20"/>
          <w:szCs w:val="20"/>
          <w:color w:val="auto"/>
        </w:rPr>
      </w:pPr>
    </w:p>
    <w:p>
      <w:pPr>
        <w:spacing w:after="0" w:line="238"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PAGE 20</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 the beginning of fiscal 1994, the Company had a valuation allowance of</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$14,600,000 related to its deferred tax assets due to uncertainty as to future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utilization of those assets. During fiscal 1994, the Company recorded a</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$1,300,000 tax benefit due to the level of earnings achieved in fiscal 1994</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which increased the likelihood of the Company realizing a portion of its gross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deferred tax assets in the future. During fiscal 1995, the valuation allowance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was eliminated. In the second and fourth quarters of fiscal 1995, the Company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recognized tax benefits of $6,000,000 and $2,000,000, respectively, due to</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continued trend of earnings which increased the likelihood that the Company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would realize its gross deferred tax assets in the future, thus eliminating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need for the valuation allowance.</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14: FINANCIAL INCOME AND EXPENSE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following is a reconciliation of financial income (expense):</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328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2840" w:type="dxa"/>
            <w:vAlign w:val="bottom"/>
            <w:vMerge w:val="restart"/>
          </w:tcPr>
          <w:p>
            <w:pPr>
              <w:ind w:left="1320"/>
              <w:spacing w:after="0"/>
              <w:rPr>
                <w:sz w:val="20"/>
                <w:szCs w:val="20"/>
                <w:color w:val="auto"/>
              </w:rPr>
            </w:pPr>
            <w:r>
              <w:rPr>
                <w:rFonts w:ascii="Courier New" w:cs="Courier New" w:eastAsia="Courier New" w:hAnsi="Courier New"/>
                <w:sz w:val="15"/>
                <w:szCs w:val="15"/>
                <w:color w:val="auto"/>
              </w:rPr>
              <w:t>August 31, 1996</w:t>
            </w:r>
          </w:p>
        </w:tc>
        <w:tc>
          <w:tcPr>
            <w:tcW w:w="1760" w:type="dxa"/>
            <w:vAlign w:val="bottom"/>
          </w:tcPr>
          <w:p>
            <w:pPr>
              <w:ind w:left="280"/>
              <w:spacing w:after="0"/>
              <w:rPr>
                <w:sz w:val="20"/>
                <w:szCs w:val="20"/>
                <w:color w:val="auto"/>
              </w:rPr>
            </w:pPr>
            <w:r>
              <w:rPr>
                <w:rFonts w:ascii="Courier New" w:cs="Courier New" w:eastAsia="Courier New" w:hAnsi="Courier New"/>
                <w:sz w:val="15"/>
                <w:szCs w:val="15"/>
                <w:color w:val="auto"/>
              </w:rPr>
              <w:t>Year ended</w:t>
            </w:r>
          </w:p>
        </w:tc>
        <w:tc>
          <w:tcPr>
            <w:tcW w:w="158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99"/>
              </w:rPr>
              <w:t>August 27, 1994</w:t>
            </w:r>
          </w:p>
        </w:tc>
        <w:tc>
          <w:tcPr>
            <w:tcW w:w="0" w:type="dxa"/>
            <w:vAlign w:val="bottom"/>
          </w:tcPr>
          <w:p>
            <w:pPr>
              <w:spacing w:after="0"/>
              <w:rPr>
                <w:sz w:val="1"/>
                <w:szCs w:val="1"/>
                <w:color w:val="auto"/>
              </w:rPr>
            </w:pPr>
          </w:p>
        </w:tc>
      </w:tr>
      <w:tr>
        <w:trPr>
          <w:trHeight w:val="201"/>
        </w:trPr>
        <w:tc>
          <w:tcPr>
            <w:tcW w:w="3280" w:type="dxa"/>
            <w:vAlign w:val="bottom"/>
            <w:vMerge w:val="continue"/>
          </w:tcPr>
          <w:p>
            <w:pPr>
              <w:spacing w:after="0"/>
              <w:rPr>
                <w:sz w:val="17"/>
                <w:szCs w:val="17"/>
                <w:color w:val="auto"/>
              </w:rPr>
            </w:pPr>
          </w:p>
        </w:tc>
        <w:tc>
          <w:tcPr>
            <w:tcW w:w="2840" w:type="dxa"/>
            <w:vAlign w:val="bottom"/>
            <w:vMerge w:val="continue"/>
          </w:tcPr>
          <w:p>
            <w:pPr>
              <w:spacing w:after="0"/>
              <w:rPr>
                <w:sz w:val="17"/>
                <w:szCs w:val="17"/>
                <w:color w:val="auto"/>
              </w:rPr>
            </w:pPr>
          </w:p>
        </w:tc>
        <w:tc>
          <w:tcPr>
            <w:tcW w:w="1760" w:type="dxa"/>
            <w:vAlign w:val="bottom"/>
          </w:tcPr>
          <w:p>
            <w:pPr>
              <w:ind w:left="180"/>
              <w:spacing w:after="0"/>
              <w:rPr>
                <w:sz w:val="20"/>
                <w:szCs w:val="20"/>
                <w:color w:val="auto"/>
              </w:rPr>
            </w:pPr>
            <w:r>
              <w:rPr>
                <w:rFonts w:ascii="Courier New" w:cs="Courier New" w:eastAsia="Courier New" w:hAnsi="Courier New"/>
                <w:sz w:val="15"/>
                <w:szCs w:val="15"/>
                <w:color w:val="auto"/>
              </w:rPr>
              <w:t>August 26, 1995</w:t>
            </w: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8"/>
        <w:spacing w:after="0"/>
        <w:rPr>
          <w:sz w:val="20"/>
          <w:szCs w:val="20"/>
          <w:color w:val="auto"/>
        </w:rPr>
      </w:pPr>
      <w:r>
        <w:rPr>
          <w:rFonts w:ascii="Courier New" w:cs="Courier New" w:eastAsia="Courier New" w:hAnsi="Courier New"/>
          <w:sz w:val="15"/>
          <w:szCs w:val="15"/>
          <w:color w:val="auto"/>
        </w:rPr>
        <w:t>- ------------------------------------------------ ------------------ ------------------- ------------------</w:t>
      </w:r>
    </w:p>
    <w:p>
      <w:pPr>
        <w:spacing w:after="0" w:line="149"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Net realized gains on sale of</w:t>
            </w:r>
          </w:p>
        </w:tc>
        <w:tc>
          <w:tcPr>
            <w:tcW w:w="90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218</w:t>
            </w:r>
          </w:p>
        </w:tc>
        <w:tc>
          <w:tcPr>
            <w:tcW w:w="66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101</w:t>
            </w:r>
          </w:p>
        </w:tc>
        <w:tc>
          <w:tcPr>
            <w:tcW w:w="6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385"/>
              <w:spacing w:after="0"/>
              <w:rPr>
                <w:sz w:val="20"/>
                <w:szCs w:val="20"/>
                <w:color w:val="auto"/>
              </w:rPr>
            </w:pPr>
            <w:r>
              <w:rPr>
                <w:rFonts w:ascii="Courier New" w:cs="Courier New" w:eastAsia="Courier New" w:hAnsi="Courier New"/>
                <w:sz w:val="15"/>
                <w:szCs w:val="15"/>
                <w:color w:val="auto"/>
              </w:rPr>
              <w:t>257</w:t>
            </w:r>
          </w:p>
        </w:tc>
        <w:tc>
          <w:tcPr>
            <w:tcW w:w="0" w:type="dxa"/>
            <w:vAlign w:val="bottom"/>
          </w:tcPr>
          <w:p>
            <w:pPr>
              <w:spacing w:after="0"/>
              <w:rPr>
                <w:sz w:val="1"/>
                <w:szCs w:val="1"/>
                <w:color w:val="auto"/>
              </w:rPr>
            </w:pPr>
          </w:p>
        </w:tc>
      </w:tr>
      <w:tr>
        <w:trPr>
          <w:trHeight w:val="173"/>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trading securities</w:t>
            </w: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Net unrealized (losses) gains on trading</w:t>
            </w:r>
          </w:p>
        </w:tc>
        <w:tc>
          <w:tcPr>
            <w:tcW w:w="900" w:type="dxa"/>
            <w:vAlign w:val="bottom"/>
          </w:tcPr>
          <w:p>
            <w:pPr>
              <w:spacing w:after="0"/>
              <w:rPr>
                <w:sz w:val="15"/>
                <w:szCs w:val="15"/>
                <w:color w:val="auto"/>
              </w:rPr>
            </w:pPr>
          </w:p>
        </w:tc>
        <w:tc>
          <w:tcPr>
            <w:tcW w:w="1140" w:type="dxa"/>
            <w:vAlign w:val="bottom"/>
            <w:vMerge w:val="restart"/>
          </w:tcPr>
          <w:p>
            <w:pPr>
              <w:jc w:val="right"/>
              <w:ind w:right="385"/>
              <w:spacing w:after="0"/>
              <w:rPr>
                <w:sz w:val="20"/>
                <w:szCs w:val="20"/>
                <w:color w:val="auto"/>
              </w:rPr>
            </w:pPr>
            <w:r>
              <w:rPr>
                <w:rFonts w:ascii="Courier New" w:cs="Courier New" w:eastAsia="Courier New" w:hAnsi="Courier New"/>
                <w:sz w:val="15"/>
                <w:szCs w:val="15"/>
                <w:color w:val="auto"/>
              </w:rPr>
              <w:t>(568)</w:t>
            </w:r>
          </w:p>
        </w:tc>
        <w:tc>
          <w:tcPr>
            <w:tcW w:w="660" w:type="dxa"/>
            <w:vAlign w:val="bottom"/>
          </w:tcPr>
          <w:p>
            <w:pPr>
              <w:spacing w:after="0"/>
              <w:rPr>
                <w:sz w:val="15"/>
                <w:szCs w:val="15"/>
                <w:color w:val="auto"/>
              </w:rPr>
            </w:pPr>
          </w:p>
        </w:tc>
        <w:tc>
          <w:tcPr>
            <w:tcW w:w="114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241</w:t>
            </w:r>
          </w:p>
        </w:tc>
        <w:tc>
          <w:tcPr>
            <w:tcW w:w="620" w:type="dxa"/>
            <w:vAlign w:val="bottom"/>
          </w:tcPr>
          <w:p>
            <w:pPr>
              <w:spacing w:after="0"/>
              <w:rPr>
                <w:sz w:val="15"/>
                <w:szCs w:val="15"/>
                <w:color w:val="auto"/>
              </w:rPr>
            </w:pPr>
          </w:p>
        </w:tc>
        <w:tc>
          <w:tcPr>
            <w:tcW w:w="10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(652)</w:t>
            </w:r>
          </w:p>
        </w:tc>
        <w:tc>
          <w:tcPr>
            <w:tcW w:w="0" w:type="dxa"/>
            <w:vAlign w:val="bottom"/>
          </w:tcPr>
          <w:p>
            <w:pPr>
              <w:spacing w:after="0"/>
              <w:rPr>
                <w:sz w:val="1"/>
                <w:szCs w:val="1"/>
                <w:color w:val="auto"/>
              </w:rPr>
            </w:pPr>
          </w:p>
        </w:tc>
      </w:tr>
      <w:tr>
        <w:trPr>
          <w:trHeight w:val="173"/>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securities</w:t>
            </w:r>
          </w:p>
        </w:tc>
        <w:tc>
          <w:tcPr>
            <w:tcW w:w="9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(Losses) gains on foreign currency</w:t>
            </w:r>
          </w:p>
        </w:tc>
        <w:tc>
          <w:tcPr>
            <w:tcW w:w="900" w:type="dxa"/>
            <w:vAlign w:val="bottom"/>
          </w:tcPr>
          <w:p>
            <w:pPr>
              <w:spacing w:after="0"/>
              <w:rPr>
                <w:sz w:val="15"/>
                <w:szCs w:val="15"/>
                <w:color w:val="auto"/>
              </w:rPr>
            </w:pPr>
          </w:p>
        </w:tc>
        <w:tc>
          <w:tcPr>
            <w:tcW w:w="1140" w:type="dxa"/>
            <w:vAlign w:val="bottom"/>
            <w:vMerge w:val="restart"/>
          </w:tcPr>
          <w:p>
            <w:pPr>
              <w:jc w:val="right"/>
              <w:ind w:right="385"/>
              <w:spacing w:after="0"/>
              <w:rPr>
                <w:sz w:val="20"/>
                <w:szCs w:val="20"/>
                <w:color w:val="auto"/>
              </w:rPr>
            </w:pPr>
            <w:r>
              <w:rPr>
                <w:rFonts w:ascii="Courier New" w:cs="Courier New" w:eastAsia="Courier New" w:hAnsi="Courier New"/>
                <w:sz w:val="15"/>
                <w:szCs w:val="15"/>
                <w:color w:val="auto"/>
              </w:rPr>
              <w:t>(226)</w:t>
            </w:r>
          </w:p>
        </w:tc>
        <w:tc>
          <w:tcPr>
            <w:tcW w:w="660" w:type="dxa"/>
            <w:vAlign w:val="bottom"/>
          </w:tcPr>
          <w:p>
            <w:pPr>
              <w:spacing w:after="0"/>
              <w:rPr>
                <w:sz w:val="15"/>
                <w:szCs w:val="15"/>
                <w:color w:val="auto"/>
              </w:rPr>
            </w:pPr>
          </w:p>
        </w:tc>
        <w:tc>
          <w:tcPr>
            <w:tcW w:w="114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1,213</w:t>
            </w:r>
          </w:p>
        </w:tc>
        <w:tc>
          <w:tcPr>
            <w:tcW w:w="620" w:type="dxa"/>
            <w:vAlign w:val="bottom"/>
          </w:tcPr>
          <w:p>
            <w:pPr>
              <w:spacing w:after="0"/>
              <w:rPr>
                <w:sz w:val="15"/>
                <w:szCs w:val="15"/>
                <w:color w:val="auto"/>
              </w:rPr>
            </w:pPr>
          </w:p>
        </w:tc>
        <w:tc>
          <w:tcPr>
            <w:tcW w:w="10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(88)</w:t>
            </w:r>
          </w:p>
        </w:tc>
        <w:tc>
          <w:tcPr>
            <w:tcW w:w="0" w:type="dxa"/>
            <w:vAlign w:val="bottom"/>
          </w:tcPr>
          <w:p>
            <w:pPr>
              <w:spacing w:after="0"/>
              <w:rPr>
                <w:sz w:val="1"/>
                <w:szCs w:val="1"/>
                <w:color w:val="auto"/>
              </w:rPr>
            </w:pPr>
          </w:p>
        </w:tc>
      </w:tr>
      <w:tr>
        <w:trPr>
          <w:trHeight w:val="173"/>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transactions</w:t>
            </w:r>
          </w:p>
        </w:tc>
        <w:tc>
          <w:tcPr>
            <w:tcW w:w="9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Interest income from investments and</w:t>
            </w:r>
          </w:p>
        </w:tc>
        <w:tc>
          <w:tcPr>
            <w:tcW w:w="900" w:type="dxa"/>
            <w:vAlign w:val="bottom"/>
          </w:tcPr>
          <w:p>
            <w:pPr>
              <w:spacing w:after="0"/>
              <w:rPr>
                <w:sz w:val="15"/>
                <w:szCs w:val="15"/>
                <w:color w:val="auto"/>
              </w:rPr>
            </w:pPr>
          </w:p>
        </w:tc>
        <w:tc>
          <w:tcPr>
            <w:tcW w:w="114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1,546</w:t>
            </w:r>
          </w:p>
        </w:tc>
        <w:tc>
          <w:tcPr>
            <w:tcW w:w="660" w:type="dxa"/>
            <w:vAlign w:val="bottom"/>
          </w:tcPr>
          <w:p>
            <w:pPr>
              <w:spacing w:after="0"/>
              <w:rPr>
                <w:sz w:val="15"/>
                <w:szCs w:val="15"/>
                <w:color w:val="auto"/>
              </w:rPr>
            </w:pPr>
          </w:p>
        </w:tc>
        <w:tc>
          <w:tcPr>
            <w:tcW w:w="114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1,310</w:t>
            </w:r>
          </w:p>
        </w:tc>
        <w:tc>
          <w:tcPr>
            <w:tcW w:w="620" w:type="dxa"/>
            <w:vAlign w:val="bottom"/>
          </w:tcPr>
          <w:p>
            <w:pPr>
              <w:spacing w:after="0"/>
              <w:rPr>
                <w:sz w:val="15"/>
                <w:szCs w:val="15"/>
                <w:color w:val="auto"/>
              </w:rPr>
            </w:pPr>
          </w:p>
        </w:tc>
        <w:tc>
          <w:tcPr>
            <w:tcW w:w="1000" w:type="dxa"/>
            <w:vAlign w:val="bottom"/>
            <w:vMerge w:val="restart"/>
          </w:tcPr>
          <w:p>
            <w:pPr>
              <w:jc w:val="right"/>
              <w:ind w:right="385"/>
              <w:spacing w:after="0"/>
              <w:rPr>
                <w:sz w:val="20"/>
                <w:szCs w:val="20"/>
                <w:color w:val="auto"/>
              </w:rPr>
            </w:pPr>
            <w:r>
              <w:rPr>
                <w:rFonts w:ascii="Courier New" w:cs="Courier New" w:eastAsia="Courier New" w:hAnsi="Courier New"/>
                <w:sz w:val="15"/>
                <w:szCs w:val="15"/>
                <w:color w:val="auto"/>
              </w:rPr>
              <w:t>1,032</w:t>
            </w:r>
          </w:p>
        </w:tc>
        <w:tc>
          <w:tcPr>
            <w:tcW w:w="0" w:type="dxa"/>
            <w:vAlign w:val="bottom"/>
          </w:tcPr>
          <w:p>
            <w:pPr>
              <w:spacing w:after="0"/>
              <w:rPr>
                <w:sz w:val="1"/>
                <w:szCs w:val="1"/>
                <w:color w:val="auto"/>
              </w:rPr>
            </w:pPr>
          </w:p>
        </w:tc>
      </w:tr>
      <w:tr>
        <w:trPr>
          <w:trHeight w:val="173"/>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receivables</w:t>
            </w:r>
          </w:p>
        </w:tc>
        <w:tc>
          <w:tcPr>
            <w:tcW w:w="9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Dividend income</w:t>
            </w:r>
          </w:p>
        </w:tc>
        <w:tc>
          <w:tcPr>
            <w:tcW w:w="900" w:type="dxa"/>
            <w:vAlign w:val="bottom"/>
          </w:tcPr>
          <w:p>
            <w:pPr>
              <w:spacing w:after="0"/>
              <w:rPr>
                <w:sz w:val="15"/>
                <w:szCs w:val="15"/>
                <w:color w:val="auto"/>
              </w:rPr>
            </w:pPr>
          </w:p>
        </w:tc>
        <w:tc>
          <w:tcPr>
            <w:tcW w:w="11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141</w:t>
            </w:r>
          </w:p>
        </w:tc>
        <w:tc>
          <w:tcPr>
            <w:tcW w:w="660" w:type="dxa"/>
            <w:vAlign w:val="bottom"/>
          </w:tcPr>
          <w:p>
            <w:pPr>
              <w:spacing w:after="0"/>
              <w:rPr>
                <w:sz w:val="15"/>
                <w:szCs w:val="15"/>
                <w:color w:val="auto"/>
              </w:rPr>
            </w:pPr>
          </w:p>
        </w:tc>
        <w:tc>
          <w:tcPr>
            <w:tcW w:w="11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184</w:t>
            </w:r>
          </w:p>
        </w:tc>
        <w:tc>
          <w:tcPr>
            <w:tcW w:w="620" w:type="dxa"/>
            <w:vAlign w:val="bottom"/>
          </w:tcPr>
          <w:p>
            <w:pPr>
              <w:spacing w:after="0"/>
              <w:rPr>
                <w:sz w:val="15"/>
                <w:szCs w:val="15"/>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137</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900" w:type="dxa"/>
            <w:vAlign w:val="bottom"/>
          </w:tcPr>
          <w:p>
            <w:pPr>
              <w:spacing w:after="0"/>
              <w:rPr>
                <w:sz w:val="15"/>
                <w:szCs w:val="15"/>
                <w:color w:val="auto"/>
              </w:rPr>
            </w:pPr>
          </w:p>
        </w:tc>
        <w:tc>
          <w:tcPr>
            <w:tcW w:w="11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(757)</w:t>
            </w:r>
          </w:p>
        </w:tc>
        <w:tc>
          <w:tcPr>
            <w:tcW w:w="660" w:type="dxa"/>
            <w:vAlign w:val="bottom"/>
          </w:tcPr>
          <w:p>
            <w:pPr>
              <w:spacing w:after="0"/>
              <w:rPr>
                <w:sz w:val="15"/>
                <w:szCs w:val="15"/>
                <w:color w:val="auto"/>
              </w:rPr>
            </w:pPr>
          </w:p>
        </w:tc>
        <w:tc>
          <w:tcPr>
            <w:tcW w:w="11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(935)</w:t>
            </w:r>
          </w:p>
        </w:tc>
        <w:tc>
          <w:tcPr>
            <w:tcW w:w="62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(846)</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54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354</w:t>
            </w:r>
          </w:p>
        </w:tc>
        <w:tc>
          <w:tcPr>
            <w:tcW w:w="660" w:type="dxa"/>
            <w:vAlign w:val="bottom"/>
          </w:tcPr>
          <w:p>
            <w:pPr>
              <w:spacing w:after="0"/>
              <w:rPr>
                <w:sz w:val="15"/>
                <w:szCs w:val="15"/>
                <w:color w:val="auto"/>
              </w:rPr>
            </w:pPr>
          </w:p>
        </w:tc>
        <w:tc>
          <w:tcPr>
            <w:tcW w:w="11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2,114</w:t>
            </w:r>
          </w:p>
        </w:tc>
        <w:tc>
          <w:tcPr>
            <w:tcW w:w="62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(160)</w:t>
            </w:r>
          </w:p>
        </w:tc>
        <w:tc>
          <w:tcPr>
            <w:tcW w:w="0" w:type="dxa"/>
            <w:vAlign w:val="bottom"/>
          </w:tcPr>
          <w:p>
            <w:pPr>
              <w:spacing w:after="0"/>
              <w:rPr>
                <w:sz w:val="1"/>
                <w:szCs w:val="1"/>
                <w:color w:val="auto"/>
              </w:rPr>
            </w:pPr>
          </w:p>
        </w:tc>
      </w:tr>
      <w:tr>
        <w:trPr>
          <w:trHeight w:val="255"/>
        </w:trPr>
        <w:tc>
          <w:tcPr>
            <w:tcW w:w="4000" w:type="dxa"/>
            <w:vAlign w:val="bottom"/>
          </w:tcPr>
          <w:p>
            <w:pPr>
              <w:spacing w:after="0"/>
              <w:rPr>
                <w:sz w:val="22"/>
                <w:szCs w:val="22"/>
                <w:color w:val="auto"/>
              </w:rPr>
            </w:pPr>
          </w:p>
        </w:tc>
        <w:tc>
          <w:tcPr>
            <w:tcW w:w="54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15: DIVIDEND DECLARED</w:t>
      </w:r>
    </w:p>
    <w:p>
      <w:pPr>
        <w:spacing w:after="0" w:line="177" w:lineRule="exact"/>
        <w:rPr>
          <w:sz w:val="20"/>
          <w:szCs w:val="20"/>
          <w:color w:val="auto"/>
        </w:rPr>
      </w:pPr>
    </w:p>
    <w:p>
      <w:pPr>
        <w:ind w:left="8" w:right="3440"/>
        <w:spacing w:after="0" w:line="305" w:lineRule="auto"/>
        <w:rPr>
          <w:sz w:val="20"/>
          <w:szCs w:val="20"/>
          <w:color w:val="auto"/>
        </w:rPr>
      </w:pPr>
      <w:r>
        <w:rPr>
          <w:rFonts w:ascii="Courier New" w:cs="Courier New" w:eastAsia="Courier New" w:hAnsi="Courier New"/>
          <w:sz w:val="15"/>
          <w:szCs w:val="15"/>
          <w:color w:val="auto"/>
        </w:rPr>
        <w:t>On October 17, 1996, the Board of Directors declared a cash dividend of $.10 per common share payable January 6, 1997, to shareholders of record December 6, 1996.</w:t>
      </w:r>
    </w:p>
    <w:p>
      <w:pPr>
        <w:spacing w:after="0" w:line="219"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PAGE 21</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16: STOCK OPTION PLANS</w:t>
      </w:r>
    </w:p>
    <w:p>
      <w:pPr>
        <w:spacing w:after="0" w:line="177" w:lineRule="exact"/>
        <w:rPr>
          <w:sz w:val="20"/>
          <w:szCs w:val="20"/>
          <w:color w:val="auto"/>
        </w:rPr>
      </w:pPr>
    </w:p>
    <w:p>
      <w:pPr>
        <w:ind w:left="8" w:right="3440"/>
        <w:spacing w:after="0" w:line="285" w:lineRule="auto"/>
        <w:rPr>
          <w:sz w:val="20"/>
          <w:szCs w:val="20"/>
          <w:color w:val="auto"/>
        </w:rPr>
      </w:pPr>
      <w:r>
        <w:rPr>
          <w:rFonts w:ascii="Courier New" w:cs="Courier New" w:eastAsia="Courier New" w:hAnsi="Courier New"/>
          <w:sz w:val="15"/>
          <w:szCs w:val="15"/>
          <w:color w:val="auto"/>
        </w:rPr>
        <w:t>Options to purchase common stock have been granted at 100 percent of the market price at time of grant, generally pursuant to plans approved by the shareholders. A summary of stock option activity for the fiscal years 1996, 1995 and 1994 is as follows:</w:t>
      </w:r>
    </w:p>
    <w:p>
      <w:pPr>
        <w:spacing w:after="0" w:line="200" w:lineRule="exact"/>
        <w:rPr>
          <w:sz w:val="20"/>
          <w:szCs w:val="20"/>
          <w:color w:val="auto"/>
        </w:rPr>
      </w:pPr>
    </w:p>
    <w:p>
      <w:pPr>
        <w:spacing w:after="0" w:line="207" w:lineRule="exact"/>
        <w:rPr>
          <w:sz w:val="20"/>
          <w:szCs w:val="20"/>
          <w:color w:val="auto"/>
        </w:rPr>
      </w:pPr>
    </w:p>
    <w:tbl>
      <w:tblPr>
        <w:tblLayout w:type="fixed"/>
        <w:tblInd w:w="3788"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150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spacing w:after="0"/>
              <w:rPr>
                <w:sz w:val="15"/>
                <w:szCs w:val="15"/>
                <w:color w:val="auto"/>
              </w:rPr>
            </w:pPr>
          </w:p>
        </w:tc>
        <w:tc>
          <w:tcPr>
            <w:tcW w:w="144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1995</w:t>
            </w:r>
          </w:p>
        </w:tc>
        <w:tc>
          <w:tcPr>
            <w:tcW w:w="860" w:type="dxa"/>
            <w:vAlign w:val="bottom"/>
          </w:tcPr>
          <w:p>
            <w:pPr>
              <w:spacing w:after="0"/>
              <w:rPr>
                <w:sz w:val="15"/>
                <w:szCs w:val="15"/>
                <w:color w:val="auto"/>
              </w:rPr>
            </w:pPr>
          </w:p>
        </w:tc>
        <w:tc>
          <w:tcPr>
            <w:tcW w:w="1180" w:type="dxa"/>
            <w:vAlign w:val="bottom"/>
          </w:tcPr>
          <w:p>
            <w:pPr>
              <w:jc w:val="right"/>
              <w:ind w:right="745"/>
              <w:spacing w:after="0"/>
              <w:rPr>
                <w:sz w:val="20"/>
                <w:szCs w:val="20"/>
                <w:color w:val="auto"/>
              </w:rPr>
            </w:pPr>
            <w:r>
              <w:rPr>
                <w:rFonts w:ascii="Courier New" w:cs="Courier New" w:eastAsia="Courier New" w:hAnsi="Courier New"/>
                <w:sz w:val="15"/>
                <w:szCs w:val="15"/>
                <w:color w:val="auto"/>
                <w:w w:val="94"/>
              </w:rPr>
              <w:t>1994</w:t>
            </w:r>
          </w:p>
        </w:tc>
        <w:tc>
          <w:tcPr>
            <w:tcW w:w="0" w:type="dxa"/>
            <w:vAlign w:val="bottom"/>
          </w:tcPr>
          <w:p>
            <w:pPr>
              <w:spacing w:after="0"/>
              <w:rPr>
                <w:sz w:val="1"/>
                <w:szCs w:val="1"/>
                <w:color w:val="auto"/>
              </w:rPr>
            </w:pPr>
          </w:p>
        </w:tc>
      </w:tr>
      <w:tr>
        <w:trPr>
          <w:trHeight w:val="173"/>
        </w:trPr>
        <w:tc>
          <w:tcPr>
            <w:tcW w:w="580" w:type="dxa"/>
            <w:vAlign w:val="bottom"/>
            <w:vMerge w:val="restart"/>
          </w:tcPr>
          <w:p>
            <w:pPr>
              <w:spacing w:after="0"/>
              <w:rPr>
                <w:sz w:val="20"/>
                <w:szCs w:val="20"/>
                <w:color w:val="auto"/>
              </w:rPr>
            </w:pPr>
            <w:r>
              <w:rPr>
                <w:rFonts w:ascii="Courier New" w:cs="Courier New" w:eastAsia="Courier New" w:hAnsi="Courier New"/>
                <w:sz w:val="15"/>
                <w:szCs w:val="15"/>
                <w:color w:val="auto"/>
              </w:rPr>
              <w:t>Shares</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Price</w:t>
            </w:r>
          </w:p>
        </w:tc>
        <w:tc>
          <w:tcPr>
            <w:tcW w:w="94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Shares</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7"/>
              </w:rPr>
              <w:t>Price</w:t>
            </w:r>
          </w:p>
        </w:tc>
        <w:tc>
          <w:tcPr>
            <w:tcW w:w="860" w:type="dxa"/>
            <w:vAlign w:val="bottom"/>
            <w:vMerge w:val="restart"/>
          </w:tcPr>
          <w:p>
            <w:pPr>
              <w:ind w:left="320"/>
              <w:spacing w:after="0"/>
              <w:rPr>
                <w:sz w:val="20"/>
                <w:szCs w:val="20"/>
                <w:color w:val="auto"/>
              </w:rPr>
            </w:pPr>
            <w:r>
              <w:rPr>
                <w:rFonts w:ascii="Courier New" w:cs="Courier New" w:eastAsia="Courier New" w:hAnsi="Courier New"/>
                <w:sz w:val="15"/>
                <w:szCs w:val="15"/>
                <w:color w:val="auto"/>
                <w:w w:val="96"/>
              </w:rPr>
              <w:t>Shares</w:t>
            </w:r>
          </w:p>
        </w:tc>
        <w:tc>
          <w:tcPr>
            <w:tcW w:w="1180" w:type="dxa"/>
            <w:vAlign w:val="bottom"/>
          </w:tcPr>
          <w:p>
            <w:pPr>
              <w:jc w:val="center"/>
              <w:ind w:left="285"/>
              <w:spacing w:after="0"/>
              <w:rPr>
                <w:sz w:val="20"/>
                <w:szCs w:val="20"/>
                <w:color w:val="auto"/>
              </w:rPr>
            </w:pPr>
            <w:r>
              <w:rPr>
                <w:rFonts w:ascii="Courier New" w:cs="Courier New" w:eastAsia="Courier New" w:hAnsi="Courier New"/>
                <w:sz w:val="15"/>
                <w:szCs w:val="15"/>
                <w:color w:val="auto"/>
              </w:rPr>
              <w:t>Price</w:t>
            </w:r>
          </w:p>
        </w:tc>
        <w:tc>
          <w:tcPr>
            <w:tcW w:w="0" w:type="dxa"/>
            <w:vAlign w:val="bottom"/>
          </w:tcPr>
          <w:p>
            <w:pPr>
              <w:spacing w:after="0"/>
              <w:rPr>
                <w:sz w:val="1"/>
                <w:szCs w:val="1"/>
                <w:color w:val="auto"/>
              </w:rPr>
            </w:pPr>
          </w:p>
        </w:tc>
      </w:tr>
      <w:tr>
        <w:trPr>
          <w:trHeight w:val="201"/>
        </w:trPr>
        <w:tc>
          <w:tcPr>
            <w:tcW w:w="580" w:type="dxa"/>
            <w:vAlign w:val="bottom"/>
            <w:vMerge w:val="continue"/>
          </w:tcPr>
          <w:p>
            <w:pPr>
              <w:spacing w:after="0"/>
              <w:rPr>
                <w:sz w:val="17"/>
                <w:szCs w:val="17"/>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per share</w:t>
            </w:r>
          </w:p>
        </w:tc>
        <w:tc>
          <w:tcPr>
            <w:tcW w:w="940" w:type="dxa"/>
            <w:vAlign w:val="bottom"/>
            <w:vMerge w:val="continue"/>
          </w:tcPr>
          <w:p>
            <w:pPr>
              <w:spacing w:after="0"/>
              <w:rPr>
                <w:sz w:val="17"/>
                <w:szCs w:val="17"/>
                <w:color w:val="auto"/>
              </w:rPr>
            </w:pP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8"/>
              </w:rPr>
              <w:t>per share</w:t>
            </w:r>
          </w:p>
        </w:tc>
        <w:tc>
          <w:tcPr>
            <w:tcW w:w="860" w:type="dxa"/>
            <w:vAlign w:val="bottom"/>
            <w:vMerge w:val="continue"/>
          </w:tcPr>
          <w:p>
            <w:pPr>
              <w:spacing w:after="0"/>
              <w:rPr>
                <w:sz w:val="17"/>
                <w:szCs w:val="17"/>
                <w:color w:val="auto"/>
              </w:rPr>
            </w:pPr>
          </w:p>
        </w:tc>
        <w:tc>
          <w:tcPr>
            <w:tcW w:w="1180" w:type="dxa"/>
            <w:vAlign w:val="bottom"/>
          </w:tcPr>
          <w:p>
            <w:pPr>
              <w:jc w:val="center"/>
              <w:ind w:left="285"/>
              <w:spacing w:after="0"/>
              <w:rPr>
                <w:sz w:val="20"/>
                <w:szCs w:val="20"/>
                <w:color w:val="auto"/>
              </w:rPr>
            </w:pPr>
            <w:r>
              <w:rPr>
                <w:rFonts w:ascii="Courier New" w:cs="Courier New" w:eastAsia="Courier New" w:hAnsi="Courier New"/>
                <w:sz w:val="15"/>
                <w:szCs w:val="15"/>
                <w:color w:val="auto"/>
              </w:rPr>
              <w:t>per share</w:t>
            </w:r>
          </w:p>
        </w:tc>
        <w:tc>
          <w:tcPr>
            <w:tcW w:w="0" w:type="dxa"/>
            <w:vAlign w:val="bottom"/>
          </w:tcPr>
          <w:p>
            <w:pPr>
              <w:spacing w:after="0"/>
              <w:rPr>
                <w:sz w:val="1"/>
                <w:szCs w:val="1"/>
                <w:color w:val="auto"/>
              </w:rPr>
            </w:pPr>
          </w:p>
        </w:tc>
      </w:tr>
    </w:tbl>
    <w:p>
      <w:pPr>
        <w:ind w:left="8"/>
        <w:spacing w:after="0"/>
        <w:rPr>
          <w:sz w:val="20"/>
          <w:szCs w:val="20"/>
          <w:color w:val="auto"/>
        </w:rPr>
      </w:pPr>
      <w:r>
        <w:rPr>
          <w:rFonts w:ascii="Courier New" w:cs="Courier New" w:eastAsia="Courier New" w:hAnsi="Courier New"/>
          <w:sz w:val="15"/>
          <w:szCs w:val="15"/>
          <w:color w:val="auto"/>
        </w:rPr>
        <w:t>- --------------------------------------------------------------------------------------------------------------------</w:t>
      </w:r>
    </w:p>
    <w:p>
      <w:pPr>
        <w:spacing w:after="0" w:line="149" w:lineRule="exact"/>
        <w:rPr>
          <w:sz w:val="20"/>
          <w:szCs w:val="20"/>
          <w:color w:val="auto"/>
        </w:rPr>
      </w:pPr>
    </w:p>
    <w:tbl>
      <w:tblPr>
        <w:tblLayout w:type="fixed"/>
        <w:tblInd w:w="8" w:type="dxa"/>
        <w:tblCellMar>
          <w:top w:w="0" w:type="dxa"/>
          <w:left w:w="0" w:type="dxa"/>
          <w:bottom w:w="0" w:type="dxa"/>
          <w:right w:w="0" w:type="dxa"/>
        </w:tblCellMar>
      </w:tblPr>
      <w:tr>
        <w:trPr>
          <w:trHeight w:val="255"/>
        </w:trPr>
        <w:tc>
          <w:tcPr>
            <w:tcW w:w="332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13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764,000</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$4 - $12</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900,500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$4-$18</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1,028,000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$4-$18</w:t>
            </w:r>
          </w:p>
        </w:tc>
      </w:tr>
    </w:tbl>
    <w:p>
      <w:pPr>
        <w:sectPr>
          <w:pgSz w:w="11900" w:h="16867" w:orient="portrait"/>
          <w:cols w:equalWidth="0" w:num="1">
            <w:col w:w="10648"/>
          </w:cols>
          <w:pgMar w:left="232" w:top="114" w:right="1019" w:bottom="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2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1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10,000</w:t>
            </w:r>
          </w:p>
        </w:tc>
        <w:tc>
          <w:tcPr>
            <w:tcW w:w="11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170,000</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73"/>
        </w:trPr>
        <w:tc>
          <w:tcPr>
            <w:tcW w:w="2920" w:type="dxa"/>
            <w:vAlign w:val="bottom"/>
          </w:tcPr>
          <w:p>
            <w:pPr>
              <w:spacing w:after="0"/>
              <w:rPr>
                <w:sz w:val="20"/>
                <w:szCs w:val="20"/>
                <w:color w:val="auto"/>
              </w:rPr>
            </w:pPr>
            <w:r>
              <w:rPr>
                <w:rFonts w:ascii="Courier New" w:cs="Courier New" w:eastAsia="Courier New" w:hAnsi="Courier New"/>
                <w:sz w:val="15"/>
                <w:szCs w:val="15"/>
                <w:color w:val="auto"/>
              </w:rPr>
              <w:t>Options exercised</w:t>
            </w:r>
          </w:p>
        </w:tc>
        <w:tc>
          <w:tcPr>
            <w:tcW w:w="1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w:t>
            </w:r>
          </w:p>
        </w:tc>
        <w:tc>
          <w:tcPr>
            <w:tcW w:w="8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(94,833)</w:t>
            </w:r>
          </w:p>
        </w:tc>
        <w:tc>
          <w:tcPr>
            <w:tcW w:w="11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4 - 9</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(92,500)</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r>
        <w:trPr>
          <w:trHeight w:val="173"/>
        </w:trPr>
        <w:tc>
          <w:tcPr>
            <w:tcW w:w="2920" w:type="dxa"/>
            <w:vAlign w:val="bottom"/>
          </w:tcPr>
          <w:p>
            <w:pPr>
              <w:spacing w:after="0"/>
              <w:rPr>
                <w:sz w:val="20"/>
                <w:szCs w:val="20"/>
                <w:color w:val="auto"/>
              </w:rPr>
            </w:pPr>
            <w:r>
              <w:rPr>
                <w:rFonts w:ascii="Courier New" w:cs="Courier New" w:eastAsia="Courier New" w:hAnsi="Courier New"/>
                <w:sz w:val="15"/>
                <w:szCs w:val="15"/>
                <w:color w:val="auto"/>
              </w:rPr>
              <w:t>Options canceled</w:t>
            </w:r>
          </w:p>
        </w:tc>
        <w:tc>
          <w:tcPr>
            <w:tcW w:w="1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(17,000)</w:t>
            </w:r>
          </w:p>
        </w:tc>
        <w:tc>
          <w:tcPr>
            <w:tcW w:w="400" w:type="dxa"/>
            <w:vAlign w:val="bottom"/>
            <w:vMerge w:val="continue"/>
          </w:tcPr>
          <w:p>
            <w:pPr>
              <w:spacing w:after="0"/>
              <w:rPr>
                <w:sz w:val="15"/>
                <w:szCs w:val="15"/>
                <w:color w:val="auto"/>
              </w:rPr>
            </w:pPr>
          </w:p>
        </w:tc>
        <w:tc>
          <w:tcPr>
            <w:tcW w:w="8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$12</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(51,667)</w:t>
            </w:r>
          </w:p>
        </w:tc>
        <w:tc>
          <w:tcPr>
            <w:tcW w:w="11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9 - 18</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(205,000)</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4-15</w:t>
            </w:r>
          </w:p>
        </w:tc>
        <w:tc>
          <w:tcPr>
            <w:tcW w:w="0" w:type="dxa"/>
            <w:vAlign w:val="bottom"/>
          </w:tcPr>
          <w:p>
            <w:pPr>
              <w:spacing w:after="0"/>
              <w:rPr>
                <w:sz w:val="1"/>
                <w:szCs w:val="1"/>
                <w:color w:val="auto"/>
              </w:rPr>
            </w:pPr>
          </w:p>
        </w:tc>
      </w:tr>
      <w:tr>
        <w:trPr>
          <w:trHeight w:val="173"/>
        </w:trPr>
        <w:tc>
          <w:tcPr>
            <w:tcW w:w="2920" w:type="dxa"/>
            <w:vAlign w:val="bottom"/>
            <w:vMerge w:val="restart"/>
          </w:tcPr>
          <w:p>
            <w:pPr>
              <w:spacing w:after="0"/>
              <w:rPr>
                <w:sz w:val="20"/>
                <w:szCs w:val="20"/>
                <w:color w:val="auto"/>
              </w:rPr>
            </w:pPr>
            <w:r>
              <w:rPr>
                <w:rFonts w:ascii="Courier New" w:cs="Courier New" w:eastAsia="Courier New" w:hAnsi="Courier New"/>
                <w:sz w:val="15"/>
                <w:szCs w:val="15"/>
                <w:color w:val="auto"/>
              </w:rPr>
              <w:t>Outstanding at end of year</w:t>
            </w:r>
          </w:p>
        </w:tc>
        <w:tc>
          <w:tcPr>
            <w:tcW w:w="754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2920" w:type="dxa"/>
            <w:vAlign w:val="bottom"/>
            <w:vMerge w:val="continue"/>
          </w:tcPr>
          <w:p>
            <w:pPr>
              <w:spacing w:after="0"/>
              <w:rPr>
                <w:sz w:val="15"/>
                <w:szCs w:val="15"/>
                <w:color w:val="auto"/>
              </w:rPr>
            </w:pPr>
          </w:p>
        </w:tc>
        <w:tc>
          <w:tcPr>
            <w:tcW w:w="1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746,000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8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$12</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764,000</w:t>
            </w:r>
          </w:p>
        </w:tc>
        <w:tc>
          <w:tcPr>
            <w:tcW w:w="11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$4 - $12</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900,500</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$4-$18</w:t>
            </w:r>
          </w:p>
        </w:tc>
        <w:tc>
          <w:tcPr>
            <w:tcW w:w="0" w:type="dxa"/>
            <w:vAlign w:val="bottom"/>
          </w:tcPr>
          <w:p>
            <w:pPr>
              <w:spacing w:after="0"/>
              <w:rPr>
                <w:sz w:val="1"/>
                <w:szCs w:val="1"/>
                <w:color w:val="auto"/>
              </w:rPr>
            </w:pPr>
          </w:p>
        </w:tc>
      </w:tr>
      <w:tr>
        <w:trPr>
          <w:trHeight w:val="255"/>
        </w:trPr>
        <w:tc>
          <w:tcPr>
            <w:tcW w:w="2920" w:type="dxa"/>
            <w:vAlign w:val="bottom"/>
          </w:tcPr>
          <w:p>
            <w:pPr>
              <w:spacing w:after="0"/>
              <w:rPr>
                <w:sz w:val="22"/>
                <w:szCs w:val="22"/>
                <w:color w:val="auto"/>
              </w:rPr>
            </w:pPr>
          </w:p>
        </w:tc>
        <w:tc>
          <w:tcPr>
            <w:tcW w:w="754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3440"/>
        <w:spacing w:after="0" w:line="305" w:lineRule="auto"/>
        <w:rPr>
          <w:sz w:val="20"/>
          <w:szCs w:val="20"/>
          <w:color w:val="auto"/>
        </w:rPr>
      </w:pPr>
      <w:r>
        <w:rPr>
          <w:rFonts w:ascii="Courier New" w:cs="Courier New" w:eastAsia="Courier New" w:hAnsi="Courier New"/>
          <w:sz w:val="15"/>
          <w:szCs w:val="15"/>
          <w:color w:val="auto"/>
        </w:rPr>
        <w:t>Options for 698,400, 654,000, and 674,100 shares at exercise prices of $4-$18 per share were exercisable at August 31, 1996, August 26, 1995, and August 27, 1994, respectively.</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17: SUPPLEMENTAL CASH FLOW DISCLOSURE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paid during the year for:</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2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208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August 31, 1996</w:t>
            </w:r>
          </w:p>
        </w:tc>
        <w:tc>
          <w:tcPr>
            <w:tcW w:w="3240" w:type="dxa"/>
            <w:vAlign w:val="bottom"/>
          </w:tcPr>
          <w:p>
            <w:pPr>
              <w:ind w:left="180"/>
              <w:spacing w:after="0"/>
              <w:rPr>
                <w:sz w:val="20"/>
                <w:szCs w:val="20"/>
                <w:color w:val="auto"/>
              </w:rPr>
            </w:pPr>
            <w:r>
              <w:rPr>
                <w:rFonts w:ascii="Courier New" w:cs="Courier New" w:eastAsia="Courier New" w:hAnsi="Courier New"/>
                <w:sz w:val="15"/>
                <w:szCs w:val="15"/>
                <w:color w:val="auto"/>
              </w:rPr>
              <w:t>Year ended</w:t>
            </w:r>
          </w:p>
        </w:tc>
        <w:tc>
          <w:tcPr>
            <w:tcW w:w="0" w:type="dxa"/>
            <w:vAlign w:val="bottom"/>
          </w:tcPr>
          <w:p>
            <w:pPr>
              <w:spacing w:after="0"/>
              <w:rPr>
                <w:sz w:val="1"/>
                <w:szCs w:val="1"/>
                <w:color w:val="auto"/>
              </w:rPr>
            </w:pPr>
          </w:p>
        </w:tc>
      </w:tr>
      <w:tr>
        <w:trPr>
          <w:trHeight w:val="201"/>
        </w:trPr>
        <w:tc>
          <w:tcPr>
            <w:tcW w:w="2520" w:type="dxa"/>
            <w:vAlign w:val="bottom"/>
            <w:vMerge w:val="continue"/>
          </w:tcPr>
          <w:p>
            <w:pPr>
              <w:spacing w:after="0"/>
              <w:rPr>
                <w:sz w:val="17"/>
                <w:szCs w:val="17"/>
                <w:color w:val="auto"/>
              </w:rPr>
            </w:pPr>
          </w:p>
        </w:tc>
        <w:tc>
          <w:tcPr>
            <w:tcW w:w="2080" w:type="dxa"/>
            <w:vAlign w:val="bottom"/>
            <w:vMerge w:val="continue"/>
          </w:tcPr>
          <w:p>
            <w:pPr>
              <w:spacing w:after="0"/>
              <w:rPr>
                <w:sz w:val="17"/>
                <w:szCs w:val="17"/>
                <w:color w:val="auto"/>
              </w:rPr>
            </w:pPr>
          </w:p>
        </w:tc>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w w:val="99"/>
              </w:rPr>
              <w:t>August 26, 1995   August 27, 1994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 ----------------- -------------------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2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$2,000</w:t>
            </w:r>
          </w:p>
        </w:tc>
        <w:tc>
          <w:tcPr>
            <w:tcW w:w="16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$1,911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927</w:t>
            </w:r>
          </w:p>
        </w:tc>
      </w:tr>
      <w:tr>
        <w:trPr>
          <w:trHeight w:val="255"/>
        </w:trPr>
        <w:tc>
          <w:tcPr>
            <w:tcW w:w="22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5,085</w:t>
            </w:r>
          </w:p>
        </w:tc>
        <w:tc>
          <w:tcPr>
            <w:tcW w:w="16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6,989</w:t>
            </w:r>
          </w:p>
        </w:tc>
        <w:tc>
          <w:tcPr>
            <w:tcW w:w="6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4,269</w:t>
            </w:r>
          </w:p>
        </w:tc>
      </w:tr>
    </w:tbl>
    <w:p>
      <w:pPr>
        <w:spacing w:after="0" w:line="265" w:lineRule="exact"/>
        <w:rPr>
          <w:sz w:val="20"/>
          <w:szCs w:val="20"/>
          <w:color w:val="auto"/>
        </w:rPr>
      </w:pPr>
    </w:p>
    <w:p>
      <w:pPr>
        <w:jc w:val="both"/>
        <w:ind w:right="3340"/>
        <w:spacing w:after="0" w:line="365" w:lineRule="auto"/>
        <w:rPr>
          <w:sz w:val="20"/>
          <w:szCs w:val="20"/>
          <w:color w:val="auto"/>
        </w:rPr>
      </w:pPr>
      <w:r>
        <w:rPr>
          <w:rFonts w:ascii="Courier New" w:cs="Courier New" w:eastAsia="Courier New" w:hAnsi="Courier New"/>
          <w:sz w:val="15"/>
          <w:szCs w:val="15"/>
          <w:color w:val="auto"/>
        </w:rPr>
        <w:t>In fiscal 1995, the Company entered into $5.7 million of financing transactions in conjunction with the TFI acquisition (see Note 4) which did not affect cash.</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22</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18: BUSINESS SEGMENT INFORMATION</w:t>
      </w:r>
    </w:p>
    <w:p>
      <w:pPr>
        <w:spacing w:after="0" w:line="177" w:lineRule="exact"/>
        <w:rPr>
          <w:sz w:val="20"/>
          <w:szCs w:val="20"/>
          <w:color w:val="auto"/>
        </w:rPr>
      </w:pPr>
    </w:p>
    <w:p>
      <w:pPr>
        <w:ind w:right="3260"/>
        <w:spacing w:after="0" w:line="259" w:lineRule="auto"/>
        <w:rPr>
          <w:sz w:val="20"/>
          <w:szCs w:val="20"/>
          <w:color w:val="auto"/>
        </w:rPr>
      </w:pPr>
      <w:r>
        <w:rPr>
          <w:rFonts w:ascii="Courier New" w:cs="Courier New" w:eastAsia="Courier New" w:hAnsi="Courier New"/>
          <w:sz w:val="15"/>
          <w:szCs w:val="15"/>
          <w:color w:val="auto"/>
        </w:rPr>
        <w:t>The Company defines its operations into two business segments: Recreation Vehicles and Other Manufactured Products, which includes all data relative to the manufacturing and selling of its recreational and other manufactured products; and Financing, which relates to the WAC subsidiary operation. Identifiable assets are those assets used in the operations of each industry segment. General Corporate assets consist of cash and cash equivalents, marketable securities, deferred income taxes and other corporate assets. General Corporate income and expenses include administrative costs. Inter-segment sales and expenses are not significant.</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years ended August 31, 1996, August 26, 1995 and August 27, 1994,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segment information is as follows: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2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Recreation</w:t>
            </w:r>
          </w:p>
        </w:tc>
        <w:tc>
          <w:tcPr>
            <w:tcW w:w="1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640" w:type="dxa"/>
            <w:vAlign w:val="bottom"/>
          </w:tcPr>
          <w:p>
            <w:pPr>
              <w:spacing w:after="0"/>
              <w:rPr>
                <w:sz w:val="15"/>
                <w:szCs w:val="15"/>
                <w:color w:val="auto"/>
              </w:rPr>
            </w:pPr>
          </w:p>
        </w:tc>
        <w:tc>
          <w:tcPr>
            <w:tcW w:w="29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Vehicles</w:t>
            </w:r>
          </w:p>
        </w:tc>
        <w:tc>
          <w:tcPr>
            <w:tcW w:w="1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640" w:type="dxa"/>
            <w:vAlign w:val="bottom"/>
          </w:tcPr>
          <w:p>
            <w:pPr>
              <w:spacing w:after="0"/>
              <w:rPr>
                <w:sz w:val="15"/>
                <w:szCs w:val="15"/>
                <w:color w:val="auto"/>
              </w:rPr>
            </w:pPr>
          </w:p>
        </w:tc>
        <w:tc>
          <w:tcPr>
            <w:tcW w:w="2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and Other</w:t>
            </w:r>
          </w:p>
        </w:tc>
        <w:tc>
          <w:tcPr>
            <w:tcW w:w="1160" w:type="dxa"/>
            <w:vAlign w:val="bottom"/>
          </w:tcPr>
          <w:p>
            <w:pPr>
              <w:spacing w:after="0"/>
              <w:rPr>
                <w:sz w:val="15"/>
                <w:szCs w:val="15"/>
                <w:color w:val="auto"/>
              </w:rPr>
            </w:pPr>
          </w:p>
        </w:tc>
        <w:tc>
          <w:tcPr>
            <w:tcW w:w="1400" w:type="dxa"/>
            <w:vAlign w:val="bottom"/>
            <w:vMerge w:val="restart"/>
          </w:tcPr>
          <w:p>
            <w:pPr>
              <w:jc w:val="center"/>
              <w:ind w:right="145"/>
              <w:spacing w:after="0"/>
              <w:rPr>
                <w:sz w:val="20"/>
                <w:szCs w:val="20"/>
                <w:color w:val="auto"/>
              </w:rPr>
            </w:pPr>
            <w:r>
              <w:rPr>
                <w:rFonts w:ascii="Courier New" w:cs="Courier New" w:eastAsia="Courier New" w:hAnsi="Courier New"/>
                <w:sz w:val="15"/>
                <w:szCs w:val="15"/>
                <w:color w:val="auto"/>
                <w:w w:val="98"/>
              </w:rPr>
              <w:t>General</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64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Manufactured</w:t>
            </w:r>
          </w:p>
        </w:tc>
        <w:tc>
          <w:tcPr>
            <w:tcW w:w="11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Financing</w:t>
            </w:r>
          </w:p>
        </w:tc>
        <w:tc>
          <w:tcPr>
            <w:tcW w:w="1400" w:type="dxa"/>
            <w:vAlign w:val="bottom"/>
            <w:vMerge w:val="continue"/>
          </w:tcPr>
          <w:p>
            <w:pPr>
              <w:spacing w:after="0"/>
              <w:rPr>
                <w:sz w:val="15"/>
                <w:szCs w:val="15"/>
                <w:color w:val="auto"/>
              </w:rPr>
            </w:pPr>
          </w:p>
        </w:tc>
        <w:tc>
          <w:tcPr>
            <w:tcW w:w="860" w:type="dxa"/>
            <w:vAlign w:val="bottom"/>
            <w:vMerge w:val="restart"/>
          </w:tcPr>
          <w:p>
            <w:pPr>
              <w:ind w:left="400"/>
              <w:spacing w:after="0"/>
              <w:rPr>
                <w:sz w:val="20"/>
                <w:szCs w:val="20"/>
                <w:color w:val="auto"/>
              </w:rPr>
            </w:pPr>
            <w:r>
              <w:rPr>
                <w:rFonts w:ascii="Courier New" w:cs="Courier New" w:eastAsia="Courier New" w:hAnsi="Courier New"/>
                <w:sz w:val="15"/>
                <w:szCs w:val="15"/>
                <w:color w:val="auto"/>
                <w:w w:val="97"/>
              </w:rPr>
              <w:t>Total</w:t>
            </w:r>
          </w:p>
        </w:tc>
        <w:tc>
          <w:tcPr>
            <w:tcW w:w="0" w:type="dxa"/>
            <w:vAlign w:val="bottom"/>
          </w:tcPr>
          <w:p>
            <w:pPr>
              <w:spacing w:after="0"/>
              <w:rPr>
                <w:sz w:val="1"/>
                <w:szCs w:val="1"/>
                <w:color w:val="auto"/>
              </w:rPr>
            </w:pPr>
          </w:p>
        </w:tc>
      </w:tr>
      <w:tr>
        <w:trPr>
          <w:trHeight w:val="201"/>
        </w:trPr>
        <w:tc>
          <w:tcPr>
            <w:tcW w:w="3640" w:type="dxa"/>
            <w:vAlign w:val="bottom"/>
            <w:vMerge w:val="continue"/>
          </w:tcPr>
          <w:p>
            <w:pPr>
              <w:spacing w:after="0"/>
              <w:rPr>
                <w:sz w:val="17"/>
                <w:szCs w:val="17"/>
                <w:color w:val="auto"/>
              </w:rPr>
            </w:pPr>
          </w:p>
        </w:tc>
        <w:tc>
          <w:tcPr>
            <w:tcW w:w="2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Products</w:t>
            </w:r>
          </w:p>
        </w:tc>
        <w:tc>
          <w:tcPr>
            <w:tcW w:w="1160" w:type="dxa"/>
            <w:vAlign w:val="bottom"/>
            <w:vMerge w:val="continue"/>
          </w:tcPr>
          <w:p>
            <w:pPr>
              <w:spacing w:after="0"/>
              <w:rPr>
                <w:sz w:val="17"/>
                <w:szCs w:val="17"/>
                <w:color w:val="auto"/>
              </w:rPr>
            </w:pPr>
          </w:p>
        </w:tc>
        <w:tc>
          <w:tcPr>
            <w:tcW w:w="140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Corporate</w:t>
            </w: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76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$483,398</w:t>
            </w:r>
          </w:p>
        </w:tc>
        <w:tc>
          <w:tcPr>
            <w:tcW w:w="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1,406</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$484,804</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revenues from continuing operations</w:t>
            </w:r>
          </w:p>
        </w:tc>
        <w:tc>
          <w:tcPr>
            <w:tcW w:w="176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Operating income (loss) from continuing operations</w:t>
            </w:r>
          </w:p>
        </w:tc>
        <w:tc>
          <w:tcPr>
            <w:tcW w:w="17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23,169</w:t>
            </w:r>
          </w:p>
        </w:tc>
        <w:tc>
          <w:tcPr>
            <w:tcW w:w="120" w:type="dxa"/>
            <w:vAlign w:val="bottom"/>
          </w:tcPr>
          <w:p>
            <w:pPr>
              <w:spacing w:after="0"/>
              <w:rPr>
                <w:sz w:val="15"/>
                <w:szCs w:val="15"/>
                <w:color w:val="auto"/>
              </w:rPr>
            </w:pP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1,518</w:t>
            </w:r>
          </w:p>
        </w:tc>
        <w:tc>
          <w:tcPr>
            <w:tcW w:w="3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(3,978)</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20,709</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7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154,238</w:t>
            </w:r>
          </w:p>
        </w:tc>
        <w:tc>
          <w:tcPr>
            <w:tcW w:w="120" w:type="dxa"/>
            <w:vAlign w:val="bottom"/>
          </w:tcPr>
          <w:p>
            <w:pPr>
              <w:spacing w:after="0"/>
              <w:rPr>
                <w:sz w:val="15"/>
                <w:szCs w:val="15"/>
                <w:color w:val="auto"/>
              </w:rPr>
            </w:pP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15,250</w:t>
            </w:r>
          </w:p>
        </w:tc>
        <w:tc>
          <w:tcPr>
            <w:tcW w:w="360" w:type="dxa"/>
            <w:vAlign w:val="bottom"/>
          </w:tcPr>
          <w:p>
            <w:pPr>
              <w:spacing w:after="0"/>
              <w:rPr>
                <w:sz w:val="15"/>
                <w:szCs w:val="15"/>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6"/>
              </w:rPr>
              <w:t>51,108</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220,596</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7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5,790</w:t>
            </w:r>
          </w:p>
        </w:tc>
        <w:tc>
          <w:tcPr>
            <w:tcW w:w="120" w:type="dxa"/>
            <w:vAlign w:val="bottom"/>
          </w:tcPr>
          <w:p>
            <w:pPr>
              <w:spacing w:after="0"/>
              <w:rPr>
                <w:sz w:val="15"/>
                <w:szCs w:val="15"/>
                <w:color w:val="auto"/>
              </w:rPr>
            </w:pP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w:t>
            </w:r>
          </w:p>
        </w:tc>
        <w:tc>
          <w:tcPr>
            <w:tcW w:w="360" w:type="dxa"/>
            <w:vAlign w:val="bottom"/>
          </w:tcPr>
          <w:p>
            <w:pPr>
              <w:spacing w:after="0"/>
              <w:rPr>
                <w:sz w:val="15"/>
                <w:szCs w:val="15"/>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3,903</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9,700</w:t>
            </w:r>
          </w:p>
        </w:tc>
        <w:tc>
          <w:tcPr>
            <w:tcW w:w="0" w:type="dxa"/>
            <w:vAlign w:val="bottom"/>
          </w:tcPr>
          <w:p>
            <w:pPr>
              <w:spacing w:after="0"/>
              <w:rPr>
                <w:sz w:val="1"/>
                <w:szCs w:val="1"/>
                <w:color w:val="auto"/>
              </w:rPr>
            </w:pPr>
          </w:p>
        </w:tc>
      </w:tr>
      <w:tr>
        <w:trPr>
          <w:trHeight w:val="255"/>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7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6,754</w:t>
            </w:r>
          </w:p>
        </w:tc>
        <w:tc>
          <w:tcPr>
            <w:tcW w:w="120" w:type="dxa"/>
            <w:vAlign w:val="bottom"/>
          </w:tcPr>
          <w:p>
            <w:pPr>
              <w:spacing w:after="0"/>
              <w:rPr>
                <w:sz w:val="22"/>
                <w:szCs w:val="22"/>
                <w:color w:val="auto"/>
              </w:rPr>
            </w:pP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2"/>
                <w:szCs w:val="22"/>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3,709</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10,463</w:t>
            </w:r>
          </w:p>
        </w:tc>
        <w:tc>
          <w:tcPr>
            <w:tcW w:w="0" w:type="dxa"/>
            <w:vAlign w:val="bottom"/>
          </w:tcPr>
          <w:p>
            <w:pPr>
              <w:spacing w:after="0"/>
              <w:rPr>
                <w:sz w:val="1"/>
                <w:szCs w:val="1"/>
                <w:color w:val="auto"/>
              </w:rPr>
            </w:pPr>
          </w:p>
        </w:tc>
      </w:tr>
      <w:tr>
        <w:trPr>
          <w:trHeight w:val="265"/>
        </w:trPr>
        <w:tc>
          <w:tcPr>
            <w:tcW w:w="6760" w:type="dxa"/>
            <w:vAlign w:val="bottom"/>
            <w:gridSpan w:val="2"/>
          </w:tcPr>
          <w:p>
            <w:pPr>
              <w:spacing w:after="0"/>
              <w:rPr>
                <w:sz w:val="20"/>
                <w:szCs w:val="20"/>
                <w:color w:val="auto"/>
              </w:rPr>
            </w:pPr>
            <w:r>
              <w:rPr>
                <w:rFonts w:ascii="Courier New" w:cs="Courier New" w:eastAsia="Courier New" w:hAnsi="Courier New"/>
                <w:sz w:val="15"/>
                <w:szCs w:val="15"/>
                <w:color w:val="auto"/>
                <w:w w:val="99"/>
              </w:rPr>
              <w:t>Summary information for the German subsidiary is as follows: Net revenues -</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7740" w:type="dxa"/>
            <w:vAlign w:val="bottom"/>
            <w:gridSpan w:val="4"/>
          </w:tcPr>
          <w:p>
            <w:pPr>
              <w:spacing w:after="0"/>
              <w:rPr>
                <w:sz w:val="20"/>
                <w:szCs w:val="20"/>
                <w:color w:val="auto"/>
              </w:rPr>
            </w:pPr>
            <w:r>
              <w:rPr>
                <w:rFonts w:ascii="Courier New" w:cs="Courier New" w:eastAsia="Courier New" w:hAnsi="Courier New"/>
                <w:sz w:val="15"/>
                <w:szCs w:val="15"/>
                <w:color w:val="auto"/>
              </w:rPr>
              <w:t>$13,773. Operating loss - $ (238), Identifiable assets - $10,388. These amounts</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740" w:type="dxa"/>
            <w:vAlign w:val="bottom"/>
            <w:gridSpan w:val="4"/>
          </w:tcPr>
          <w:p>
            <w:pPr>
              <w:spacing w:after="0"/>
              <w:rPr>
                <w:sz w:val="20"/>
                <w:szCs w:val="20"/>
                <w:color w:val="auto"/>
              </w:rPr>
            </w:pPr>
            <w:r>
              <w:rPr>
                <w:rFonts w:ascii="Courier New" w:cs="Courier New" w:eastAsia="Courier New" w:hAnsi="Courier New"/>
                <w:sz w:val="15"/>
                <w:szCs w:val="15"/>
                <w:color w:val="auto"/>
              </w:rPr>
              <w:t>are included in the Recreation Vehicles and Other Manufactured Products segment</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000" w:type="dxa"/>
            <w:vAlign w:val="bottom"/>
          </w:tcPr>
          <w:p>
            <w:pPr>
              <w:spacing w:after="0"/>
              <w:rPr>
                <w:sz w:val="20"/>
                <w:szCs w:val="20"/>
                <w:color w:val="auto"/>
              </w:rPr>
            </w:pPr>
            <w:r>
              <w:rPr>
                <w:rFonts w:ascii="Courier New" w:cs="Courier New" w:eastAsia="Courier New" w:hAnsi="Courier New"/>
                <w:sz w:val="15"/>
                <w:szCs w:val="15"/>
                <w:color w:val="auto"/>
              </w:rPr>
              <w:t>above.</w:t>
            </w: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50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76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$458,909</w:t>
            </w:r>
          </w:p>
        </w:tc>
        <w:tc>
          <w:tcPr>
            <w:tcW w:w="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1,220</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$460,129</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revenues from continuing operations</w:t>
            </w:r>
          </w:p>
        </w:tc>
        <w:tc>
          <w:tcPr>
            <w:tcW w:w="176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Operating income (loss) from continuing operations</w:t>
            </w:r>
          </w:p>
        </w:tc>
        <w:tc>
          <w:tcPr>
            <w:tcW w:w="17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19,053</w:t>
            </w:r>
          </w:p>
        </w:tc>
        <w:tc>
          <w:tcPr>
            <w:tcW w:w="120" w:type="dxa"/>
            <w:vAlign w:val="bottom"/>
          </w:tcPr>
          <w:p>
            <w:pPr>
              <w:spacing w:after="0"/>
              <w:rPr>
                <w:sz w:val="15"/>
                <w:szCs w:val="15"/>
                <w:color w:val="auto"/>
              </w:rPr>
            </w:pP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989</w:t>
            </w:r>
          </w:p>
        </w:tc>
        <w:tc>
          <w:tcPr>
            <w:tcW w:w="3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(2,150)</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17,892</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7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135,036</w:t>
            </w:r>
          </w:p>
        </w:tc>
        <w:tc>
          <w:tcPr>
            <w:tcW w:w="120" w:type="dxa"/>
            <w:vAlign w:val="bottom"/>
          </w:tcPr>
          <w:p>
            <w:pPr>
              <w:spacing w:after="0"/>
              <w:rPr>
                <w:sz w:val="15"/>
                <w:szCs w:val="15"/>
                <w:color w:val="auto"/>
              </w:rPr>
            </w:pP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12,690</w:t>
            </w:r>
          </w:p>
        </w:tc>
        <w:tc>
          <w:tcPr>
            <w:tcW w:w="3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63,904</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211,630</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7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5,292</w:t>
            </w:r>
          </w:p>
        </w:tc>
        <w:tc>
          <w:tcPr>
            <w:tcW w:w="120" w:type="dxa"/>
            <w:vAlign w:val="bottom"/>
          </w:tcPr>
          <w:p>
            <w:pPr>
              <w:spacing w:after="0"/>
              <w:rPr>
                <w:sz w:val="15"/>
                <w:szCs w:val="15"/>
                <w:color w:val="auto"/>
              </w:rPr>
            </w:pP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w:t>
            </w:r>
          </w:p>
        </w:tc>
        <w:tc>
          <w:tcPr>
            <w:tcW w:w="3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3,559</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8,863</w:t>
            </w:r>
          </w:p>
        </w:tc>
        <w:tc>
          <w:tcPr>
            <w:tcW w:w="0" w:type="dxa"/>
            <w:vAlign w:val="bottom"/>
          </w:tcPr>
          <w:p>
            <w:pPr>
              <w:spacing w:after="0"/>
              <w:rPr>
                <w:sz w:val="1"/>
                <w:szCs w:val="1"/>
                <w:color w:val="auto"/>
              </w:rPr>
            </w:pPr>
          </w:p>
        </w:tc>
      </w:tr>
      <w:tr>
        <w:trPr>
          <w:trHeight w:val="255"/>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7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7,977</w:t>
            </w:r>
          </w:p>
        </w:tc>
        <w:tc>
          <w:tcPr>
            <w:tcW w:w="120" w:type="dxa"/>
            <w:vAlign w:val="bottom"/>
          </w:tcPr>
          <w:p>
            <w:pPr>
              <w:spacing w:after="0"/>
              <w:rPr>
                <w:sz w:val="22"/>
                <w:szCs w:val="22"/>
                <w:color w:val="auto"/>
              </w:rPr>
            </w:pP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w:t>
            </w:r>
          </w:p>
        </w:tc>
        <w:tc>
          <w:tcPr>
            <w:tcW w:w="360" w:type="dxa"/>
            <w:vAlign w:val="bottom"/>
          </w:tcPr>
          <w:p>
            <w:pPr>
              <w:spacing w:after="0"/>
              <w:rPr>
                <w:sz w:val="22"/>
                <w:szCs w:val="22"/>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1,355</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9,348</w:t>
            </w:r>
          </w:p>
        </w:tc>
        <w:tc>
          <w:tcPr>
            <w:tcW w:w="0" w:type="dxa"/>
            <w:vAlign w:val="bottom"/>
          </w:tcPr>
          <w:p>
            <w:pPr>
              <w:spacing w:after="0"/>
              <w:rPr>
                <w:sz w:val="1"/>
                <w:szCs w:val="1"/>
                <w:color w:val="auto"/>
              </w:rPr>
            </w:pPr>
          </w:p>
        </w:tc>
      </w:tr>
      <w:tr>
        <w:trPr>
          <w:trHeight w:val="265"/>
        </w:trPr>
        <w:tc>
          <w:tcPr>
            <w:tcW w:w="6760" w:type="dxa"/>
            <w:vAlign w:val="bottom"/>
            <w:gridSpan w:val="2"/>
          </w:tcPr>
          <w:p>
            <w:pPr>
              <w:spacing w:after="0"/>
              <w:rPr>
                <w:sz w:val="20"/>
                <w:szCs w:val="20"/>
                <w:color w:val="auto"/>
              </w:rPr>
            </w:pPr>
            <w:r>
              <w:rPr>
                <w:rFonts w:ascii="Courier New" w:cs="Courier New" w:eastAsia="Courier New" w:hAnsi="Courier New"/>
                <w:sz w:val="15"/>
                <w:szCs w:val="15"/>
                <w:color w:val="auto"/>
                <w:w w:val="99"/>
              </w:rPr>
              <w:t>Summary information for the German subsidiary is as follows: Net revenues -</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7740" w:type="dxa"/>
            <w:vAlign w:val="bottom"/>
            <w:gridSpan w:val="4"/>
          </w:tcPr>
          <w:p>
            <w:pPr>
              <w:spacing w:after="0"/>
              <w:rPr>
                <w:sz w:val="20"/>
                <w:szCs w:val="20"/>
                <w:color w:val="auto"/>
              </w:rPr>
            </w:pPr>
            <w:r>
              <w:rPr>
                <w:rFonts w:ascii="Courier New" w:cs="Courier New" w:eastAsia="Courier New" w:hAnsi="Courier New"/>
                <w:sz w:val="15"/>
                <w:szCs w:val="15"/>
                <w:color w:val="auto"/>
              </w:rPr>
              <w:t>$8,834. Operating loss - $(1,209), Identifiable assets - $9,426. These amounts</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740" w:type="dxa"/>
            <w:vAlign w:val="bottom"/>
            <w:gridSpan w:val="4"/>
          </w:tcPr>
          <w:p>
            <w:pPr>
              <w:spacing w:after="0"/>
              <w:rPr>
                <w:sz w:val="20"/>
                <w:szCs w:val="20"/>
                <w:color w:val="auto"/>
              </w:rPr>
            </w:pPr>
            <w:r>
              <w:rPr>
                <w:rFonts w:ascii="Courier New" w:cs="Courier New" w:eastAsia="Courier New" w:hAnsi="Courier New"/>
                <w:sz w:val="15"/>
                <w:szCs w:val="15"/>
                <w:color w:val="auto"/>
              </w:rPr>
              <w:t>are included in the Recreation Vehicles and Other Manufactured Products segment</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000" w:type="dxa"/>
            <w:vAlign w:val="bottom"/>
          </w:tcPr>
          <w:p>
            <w:pPr>
              <w:spacing w:after="0"/>
              <w:rPr>
                <w:sz w:val="20"/>
                <w:szCs w:val="20"/>
                <w:color w:val="auto"/>
              </w:rPr>
            </w:pPr>
            <w:r>
              <w:rPr>
                <w:rFonts w:ascii="Courier New" w:cs="Courier New" w:eastAsia="Courier New" w:hAnsi="Courier New"/>
                <w:sz w:val="15"/>
                <w:szCs w:val="15"/>
                <w:color w:val="auto"/>
              </w:rPr>
              <w:t>above.</w:t>
            </w: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500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76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$432,406</w:t>
            </w:r>
          </w:p>
        </w:tc>
        <w:tc>
          <w:tcPr>
            <w:tcW w:w="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831</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$433,237</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revenues from continuing operations</w:t>
            </w:r>
          </w:p>
        </w:tc>
        <w:tc>
          <w:tcPr>
            <w:tcW w:w="176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Operating income (loss) from continuing operations</w:t>
            </w:r>
          </w:p>
        </w:tc>
        <w:tc>
          <w:tcPr>
            <w:tcW w:w="1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16,740(1)</w:t>
            </w:r>
          </w:p>
        </w:tc>
        <w:tc>
          <w:tcPr>
            <w:tcW w:w="120" w:type="dxa"/>
            <w:vAlign w:val="bottom"/>
          </w:tcPr>
          <w:p>
            <w:pPr>
              <w:spacing w:after="0"/>
              <w:rPr>
                <w:sz w:val="15"/>
                <w:szCs w:val="15"/>
                <w:color w:val="auto"/>
              </w:rPr>
            </w:pP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740</w:t>
            </w:r>
          </w:p>
        </w:tc>
        <w:tc>
          <w:tcPr>
            <w:tcW w:w="3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(2,056)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15,424</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7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138,884</w:t>
            </w:r>
          </w:p>
        </w:tc>
        <w:tc>
          <w:tcPr>
            <w:tcW w:w="120" w:type="dxa"/>
            <w:vAlign w:val="bottom"/>
          </w:tcPr>
          <w:p>
            <w:pPr>
              <w:spacing w:after="0"/>
              <w:rPr>
                <w:sz w:val="15"/>
                <w:szCs w:val="15"/>
                <w:color w:val="auto"/>
              </w:rPr>
            </w:pP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11,373</w:t>
            </w:r>
          </w:p>
        </w:tc>
        <w:tc>
          <w:tcPr>
            <w:tcW w:w="3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31,491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181,748</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7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4,903</w:t>
            </w:r>
          </w:p>
        </w:tc>
        <w:tc>
          <w:tcPr>
            <w:tcW w:w="120" w:type="dxa"/>
            <w:vAlign w:val="bottom"/>
          </w:tcPr>
          <w:p>
            <w:pPr>
              <w:spacing w:after="0"/>
              <w:rPr>
                <w:sz w:val="15"/>
                <w:szCs w:val="15"/>
                <w:color w:val="auto"/>
              </w:rPr>
            </w:pP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w:t>
            </w:r>
          </w:p>
        </w:tc>
        <w:tc>
          <w:tcPr>
            <w:tcW w:w="3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2,885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7,798</w:t>
            </w:r>
          </w:p>
        </w:tc>
        <w:tc>
          <w:tcPr>
            <w:tcW w:w="0" w:type="dxa"/>
            <w:vAlign w:val="bottom"/>
          </w:tcPr>
          <w:p>
            <w:pPr>
              <w:spacing w:after="0"/>
              <w:rPr>
                <w:sz w:val="1"/>
                <w:szCs w:val="1"/>
                <w:color w:val="auto"/>
              </w:rPr>
            </w:pPr>
          </w:p>
        </w:tc>
      </w:tr>
      <w:tr>
        <w:trPr>
          <w:trHeight w:val="255"/>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7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7,923</w:t>
            </w:r>
          </w:p>
        </w:tc>
        <w:tc>
          <w:tcPr>
            <w:tcW w:w="120" w:type="dxa"/>
            <w:vAlign w:val="bottom"/>
          </w:tcPr>
          <w:p>
            <w:pPr>
              <w:spacing w:after="0"/>
              <w:rPr>
                <w:sz w:val="22"/>
                <w:szCs w:val="22"/>
                <w:color w:val="auto"/>
              </w:rPr>
            </w:pP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w:t>
            </w:r>
          </w:p>
        </w:tc>
        <w:tc>
          <w:tcPr>
            <w:tcW w:w="360" w:type="dxa"/>
            <w:vAlign w:val="bottom"/>
          </w:tcPr>
          <w:p>
            <w:pPr>
              <w:spacing w:after="0"/>
              <w:rPr>
                <w:sz w:val="22"/>
                <w:szCs w:val="22"/>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1,593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9,532</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information for the German subsidiary is as follows: Net revenues -</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$3,456. Operating loss - $(892), Identifiable assets - $5,939. These amounts 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included in the Recreation Vehicles and Other Manufactured Products segment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above.</w:t>
      </w:r>
    </w:p>
    <w:p>
      <w:pPr>
        <w:sectPr>
          <w:pgSz w:w="11900" w:h="16838" w:orient="portrait"/>
          <w:cols w:equalWidth="0" w:num="1">
            <w:col w:w="10460"/>
          </w:cols>
          <w:pgMar w:left="240" w:top="113" w:right="1199" w:bottom="0" w:gutter="0" w:footer="0" w:header="0"/>
        </w:sectPr>
      </w:pPr>
    </w:p>
    <w:bookmarkStart w:id="68" w:name="page69"/>
    <w:bookmarkEnd w:id="68"/>
    <w:p>
      <w:pPr>
        <w:ind w:left="8" w:right="4860" w:hanging="8"/>
        <w:spacing w:after="0" w:line="365" w:lineRule="auto"/>
        <w:tabs>
          <w:tab w:leader="none" w:pos="368"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1 regarding the cumulative effect of accounting change which principally affects this segment.</w:t>
      </w:r>
    </w:p>
    <w:p>
      <w:pPr>
        <w:spacing w:after="0" w:line="177"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PAGE 23</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INDEPENDENT AUDITORS' REPORT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 THE BOARD OF DIRECTORS AND SHAREHOLDERS</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WINNEBAGO INDUSTRIES, INC.</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FOREST CITY, IOWA</w:t>
      </w:r>
    </w:p>
    <w:p>
      <w:pPr>
        <w:spacing w:after="0" w:line="149" w:lineRule="exact"/>
        <w:rPr>
          <w:sz w:val="20"/>
          <w:szCs w:val="20"/>
          <w:color w:val="auto"/>
        </w:rPr>
      </w:pPr>
    </w:p>
    <w:p>
      <w:pPr>
        <w:ind w:left="8" w:right="4240"/>
        <w:spacing w:after="0" w:line="264" w:lineRule="auto"/>
        <w:rPr>
          <w:sz w:val="20"/>
          <w:szCs w:val="20"/>
          <w:color w:val="auto"/>
        </w:rPr>
      </w:pPr>
      <w:r>
        <w:rPr>
          <w:rFonts w:ascii="Courier New" w:cs="Courier New" w:eastAsia="Courier New" w:hAnsi="Courier New"/>
          <w:sz w:val="15"/>
          <w:szCs w:val="15"/>
          <w:color w:val="auto"/>
        </w:rPr>
        <w:t>We have audited the consolidated balance sheets of Winnebago Industries, Inc., and subsidiaries (the Company) as of August 31, 1996 and August 26, 1995 and the related statements of operations, cash flows and changes in stockholders' equity for each of the three years in the period ended August 31, 1996. These financial statements are the responsibility of the Company's management. Our responsibility is to express an opinion on these financial statements based on our audits.</w:t>
      </w:r>
    </w:p>
    <w:p>
      <w:pPr>
        <w:spacing w:after="0" w:line="79" w:lineRule="exact"/>
        <w:rPr>
          <w:sz w:val="20"/>
          <w:szCs w:val="20"/>
          <w:color w:val="auto"/>
        </w:rPr>
      </w:pPr>
    </w:p>
    <w:p>
      <w:pPr>
        <w:ind w:left="8" w:right="4240"/>
        <w:spacing w:after="0" w:line="283"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4" w:lineRule="exact"/>
        <w:rPr>
          <w:sz w:val="20"/>
          <w:szCs w:val="20"/>
          <w:color w:val="auto"/>
        </w:rPr>
      </w:pPr>
    </w:p>
    <w:p>
      <w:pPr>
        <w:ind w:left="8" w:right="4320"/>
        <w:spacing w:after="0" w:line="274" w:lineRule="auto"/>
        <w:rPr>
          <w:sz w:val="20"/>
          <w:szCs w:val="20"/>
          <w:color w:val="auto"/>
        </w:rPr>
      </w:pPr>
      <w:r>
        <w:rPr>
          <w:rFonts w:ascii="Courier New" w:cs="Courier New" w:eastAsia="Courier New" w:hAnsi="Courier New"/>
          <w:sz w:val="15"/>
          <w:szCs w:val="15"/>
          <w:color w:val="auto"/>
        </w:rPr>
        <w:t>In our opinion, the consolidated financial statements present fairly, in all material respects, the financial position of Winnebago Industries, Inc. and subsidiaries at August 31, 1996 and August 26, 1995, and the results of their operations and their cash flows for each of the three years in the period ended August 31, 1996 in conformity with generally accepted accounting principles.</w:t>
      </w:r>
    </w:p>
    <w:p>
      <w:pPr>
        <w:spacing w:after="0" w:line="70" w:lineRule="exact"/>
        <w:rPr>
          <w:sz w:val="20"/>
          <w:szCs w:val="20"/>
          <w:color w:val="auto"/>
        </w:rPr>
      </w:pPr>
    </w:p>
    <w:p>
      <w:pPr>
        <w:ind w:left="8" w:right="4500"/>
        <w:spacing w:after="0" w:line="305" w:lineRule="auto"/>
        <w:rPr>
          <w:sz w:val="20"/>
          <w:szCs w:val="20"/>
          <w:color w:val="auto"/>
        </w:rPr>
      </w:pPr>
      <w:r>
        <w:rPr>
          <w:rFonts w:ascii="Courier New" w:cs="Courier New" w:eastAsia="Courier New" w:hAnsi="Courier New"/>
          <w:sz w:val="15"/>
          <w:szCs w:val="15"/>
          <w:color w:val="auto"/>
        </w:rPr>
        <w:t>As discussed in Note 1 to the Financial Statements, the Company changed its method of accounting for postretirement health care and other benefits during the year ended August 27, 1994.</w:t>
      </w:r>
    </w:p>
    <w:p>
      <w:pPr>
        <w:spacing w:after="0" w:line="39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Deloitte &amp; Touche LLP</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Deloitte &amp; Touche LLP</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Minneapolis, Minnesota</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October 17, 1996</w:t>
      </w:r>
    </w:p>
    <w:p>
      <w:pPr>
        <w:spacing w:after="0" w:line="350" w:lineRule="exact"/>
        <w:rPr>
          <w:sz w:val="20"/>
          <w:szCs w:val="20"/>
          <w:color w:val="auto"/>
        </w:rPr>
      </w:pPr>
    </w:p>
    <w:tbl>
      <w:tblPr>
        <w:tblLayout w:type="fixed"/>
        <w:tblInd w:w="8" w:type="dxa"/>
        <w:tblCellMar>
          <w:top w:w="0" w:type="dxa"/>
          <w:left w:w="0" w:type="dxa"/>
          <w:bottom w:w="0" w:type="dxa"/>
          <w:right w:w="0" w:type="dxa"/>
        </w:tblCellMar>
      </w:tblPr>
      <w:tr>
        <w:trPr>
          <w:trHeight w:val="255"/>
        </w:trPr>
        <w:tc>
          <w:tcPr>
            <w:tcW w:w="3200" w:type="dxa"/>
            <w:vAlign w:val="bottom"/>
          </w:tcPr>
          <w:p>
            <w:pPr>
              <w:spacing w:after="0"/>
              <w:rPr>
                <w:sz w:val="22"/>
                <w:szCs w:val="22"/>
                <w:color w:val="auto"/>
              </w:rPr>
            </w:pP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PAGE 24</w:t>
            </w: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67"/>
        </w:trPr>
        <w:tc>
          <w:tcPr>
            <w:tcW w:w="3200" w:type="dxa"/>
            <w:vAlign w:val="bottom"/>
          </w:tcPr>
          <w:p>
            <w:pPr>
              <w:spacing w:after="0"/>
              <w:rPr>
                <w:sz w:val="20"/>
                <w:szCs w:val="20"/>
                <w:color w:val="auto"/>
              </w:rPr>
            </w:pPr>
            <w:r>
              <w:rPr>
                <w:rFonts w:ascii="Courier New" w:cs="Courier New" w:eastAsia="Courier New" w:hAnsi="Courier New"/>
                <w:sz w:val="15"/>
                <w:szCs w:val="15"/>
                <w:color w:val="auto"/>
              </w:rPr>
              <w:t>NET REVENUES BY MAJOR PRODUCT CLASS</w:t>
            </w:r>
          </w:p>
        </w:tc>
        <w:tc>
          <w:tcPr>
            <w:tcW w:w="2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00" w:type="dxa"/>
            <w:vAlign w:val="bottom"/>
            <w:gridSpan w:val="2"/>
            <w:vMerge w:val="restart"/>
          </w:tcPr>
          <w:p>
            <w:pPr>
              <w:ind w:left="60"/>
              <w:spacing w:after="0"/>
              <w:rPr>
                <w:sz w:val="20"/>
                <w:szCs w:val="20"/>
                <w:color w:val="auto"/>
              </w:rPr>
            </w:pPr>
            <w:r>
              <w:rPr>
                <w:rFonts w:ascii="Courier New" w:cs="Courier New" w:eastAsia="Courier New" w:hAnsi="Courier New"/>
                <w:sz w:val="15"/>
                <w:szCs w:val="15"/>
                <w:color w:val="auto"/>
              </w:rPr>
              <w:t>Fiscal year ended(1)</w:t>
            </w: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3200" w:type="dxa"/>
            <w:vAlign w:val="bottom"/>
          </w:tcPr>
          <w:p>
            <w:pPr>
              <w:spacing w:after="0"/>
              <w:rPr>
                <w:sz w:val="7"/>
                <w:szCs w:val="7"/>
                <w:color w:val="auto"/>
              </w:rPr>
            </w:pPr>
          </w:p>
        </w:tc>
        <w:tc>
          <w:tcPr>
            <w:tcW w:w="2520" w:type="dxa"/>
            <w:vAlign w:val="bottom"/>
            <w:vMerge w:val="restart"/>
          </w:tcPr>
          <w:p>
            <w:pPr>
              <w:jc w:val="center"/>
              <w:ind w:left="1105"/>
              <w:spacing w:after="0"/>
              <w:rPr>
                <w:sz w:val="20"/>
                <w:szCs w:val="20"/>
                <w:color w:val="auto"/>
              </w:rPr>
            </w:pPr>
            <w:r>
              <w:rPr>
                <w:rFonts w:ascii="Courier New" w:cs="Courier New" w:eastAsia="Courier New" w:hAnsi="Courier New"/>
                <w:sz w:val="15"/>
                <w:szCs w:val="15"/>
                <w:color w:val="auto"/>
                <w:w w:val="99"/>
              </w:rPr>
              <w:t>August 31,</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August</w:t>
            </w:r>
          </w:p>
        </w:tc>
        <w:tc>
          <w:tcPr>
            <w:tcW w:w="1900" w:type="dxa"/>
            <w:vAlign w:val="bottom"/>
            <w:gridSpan w:val="2"/>
            <w:vMerge w:val="continue"/>
          </w:tcPr>
          <w:p>
            <w:pPr>
              <w:spacing w:after="0"/>
              <w:rPr>
                <w:sz w:val="7"/>
                <w:szCs w:val="7"/>
                <w:color w:val="auto"/>
              </w:rPr>
            </w:pPr>
          </w:p>
        </w:tc>
        <w:tc>
          <w:tcPr>
            <w:tcW w:w="1120" w:type="dxa"/>
            <w:vAlign w:val="bottom"/>
            <w:vMerge w:val="restart"/>
          </w:tcPr>
          <w:p>
            <w:pPr>
              <w:jc w:val="center"/>
              <w:ind w:right="65"/>
              <w:spacing w:after="0"/>
              <w:rPr>
                <w:sz w:val="20"/>
                <w:szCs w:val="20"/>
                <w:color w:val="auto"/>
              </w:rPr>
            </w:pPr>
            <w:r>
              <w:rPr>
                <w:rFonts w:ascii="Courier New" w:cs="Courier New" w:eastAsia="Courier New" w:hAnsi="Courier New"/>
                <w:sz w:val="15"/>
                <w:szCs w:val="15"/>
                <w:color w:val="auto"/>
                <w:w w:val="99"/>
              </w:rPr>
              <w:t>August 28,</w:t>
            </w:r>
          </w:p>
        </w:tc>
        <w:tc>
          <w:tcPr>
            <w:tcW w:w="1100" w:type="dxa"/>
            <w:vAlign w:val="bottom"/>
            <w:vMerge w:val="restart"/>
          </w:tcPr>
          <w:p>
            <w:pPr>
              <w:jc w:val="center"/>
              <w:ind w:left="105"/>
              <w:spacing w:after="0"/>
              <w:rPr>
                <w:sz w:val="20"/>
                <w:szCs w:val="20"/>
                <w:color w:val="auto"/>
              </w:rPr>
            </w:pPr>
            <w:r>
              <w:rPr>
                <w:rFonts w:ascii="Courier New" w:cs="Courier New" w:eastAsia="Courier New" w:hAnsi="Courier New"/>
                <w:sz w:val="15"/>
                <w:szCs w:val="15"/>
                <w:color w:val="auto"/>
              </w:rPr>
              <w:t>August 29,</w:t>
            </w:r>
          </w:p>
        </w:tc>
        <w:tc>
          <w:tcPr>
            <w:tcW w:w="0" w:type="dxa"/>
            <w:vAlign w:val="bottom"/>
          </w:tcPr>
          <w:p>
            <w:pPr>
              <w:spacing w:after="0"/>
              <w:rPr>
                <w:sz w:val="1"/>
                <w:szCs w:val="1"/>
                <w:color w:val="auto"/>
              </w:rPr>
            </w:pPr>
          </w:p>
        </w:tc>
      </w:tr>
      <w:tr>
        <w:trPr>
          <w:trHeight w:val="173"/>
        </w:trPr>
        <w:tc>
          <w:tcPr>
            <w:tcW w:w="320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25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26,</w:t>
            </w:r>
          </w:p>
        </w:tc>
        <w:tc>
          <w:tcPr>
            <w:tcW w:w="14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August 27,</w:t>
            </w:r>
          </w:p>
        </w:tc>
        <w:tc>
          <w:tcPr>
            <w:tcW w:w="112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200" w:type="dxa"/>
            <w:vAlign w:val="bottom"/>
            <w:vMerge w:val="continue"/>
          </w:tcPr>
          <w:p>
            <w:pPr>
              <w:spacing w:after="0"/>
              <w:rPr>
                <w:sz w:val="17"/>
                <w:szCs w:val="17"/>
                <w:color w:val="auto"/>
              </w:rPr>
            </w:pPr>
          </w:p>
        </w:tc>
        <w:tc>
          <w:tcPr>
            <w:tcW w:w="2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460" w:type="dxa"/>
            <w:vAlign w:val="bottom"/>
          </w:tcPr>
          <w:p>
            <w:pPr>
              <w:spacing w:after="0"/>
              <w:rPr>
                <w:sz w:val="17"/>
                <w:szCs w:val="17"/>
                <w:color w:val="auto"/>
              </w:rPr>
            </w:pPr>
          </w:p>
        </w:tc>
        <w:tc>
          <w:tcPr>
            <w:tcW w:w="14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1994</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1993</w:t>
            </w: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1992</w:t>
            </w:r>
          </w:p>
        </w:tc>
        <w:tc>
          <w:tcPr>
            <w:tcW w:w="0" w:type="dxa"/>
            <w:vAlign w:val="bottom"/>
          </w:tcPr>
          <w:p>
            <w:pPr>
              <w:spacing w:after="0"/>
              <w:rPr>
                <w:sz w:val="1"/>
                <w:szCs w:val="1"/>
                <w:color w:val="auto"/>
              </w:rPr>
            </w:pPr>
          </w:p>
        </w:tc>
      </w:tr>
    </w:tbl>
    <w:p>
      <w:pPr>
        <w:ind w:left="8"/>
        <w:spacing w:after="0"/>
        <w:rPr>
          <w:sz w:val="20"/>
          <w:szCs w:val="20"/>
          <w:color w:val="auto"/>
        </w:rPr>
      </w:pPr>
      <w:r>
        <w:rPr>
          <w:rFonts w:ascii="Courier New" w:cs="Courier New" w:eastAsia="Courier New" w:hAnsi="Courier New"/>
          <w:sz w:val="15"/>
          <w:szCs w:val="15"/>
          <w:color w:val="auto"/>
        </w:rPr>
        <w:t>- ----------------------------------------------------------------------------------------------------------------------------</w:t>
      </w:r>
    </w:p>
    <w:p>
      <w:pPr>
        <w:spacing w:after="0" w:line="149"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4280" w:type="dxa"/>
            <w:vAlign w:val="bottom"/>
          </w:tcPr>
          <w:p>
            <w:pPr>
              <w:spacing w:after="0"/>
              <w:rPr>
                <w:sz w:val="20"/>
                <w:szCs w:val="20"/>
                <w:color w:val="auto"/>
              </w:rPr>
            </w:pPr>
            <w:r>
              <w:rPr>
                <w:rFonts w:ascii="Courier New" w:cs="Courier New" w:eastAsia="Courier New" w:hAnsi="Courier New"/>
                <w:sz w:val="15"/>
                <w:szCs w:val="15"/>
                <w:color w:val="auto"/>
              </w:rPr>
              <w:t>Motor homes</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$432,212</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$402,435</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$385,319</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$326,861</w:t>
            </w:r>
          </w:p>
        </w:tc>
        <w:tc>
          <w:tcPr>
            <w:tcW w:w="16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$245,908</w:t>
            </w:r>
          </w:p>
        </w:tc>
        <w:tc>
          <w:tcPr>
            <w:tcW w:w="0" w:type="dxa"/>
            <w:vAlign w:val="bottom"/>
          </w:tcPr>
          <w:p>
            <w:pPr>
              <w:spacing w:after="0"/>
              <w:rPr>
                <w:sz w:val="1"/>
                <w:szCs w:val="1"/>
                <w:color w:val="auto"/>
              </w:rPr>
            </w:pPr>
          </w:p>
        </w:tc>
      </w:tr>
      <w:tr>
        <w:trPr>
          <w:trHeight w:val="173"/>
        </w:trPr>
        <w:tc>
          <w:tcPr>
            <w:tcW w:w="4280" w:type="dxa"/>
            <w:vAlign w:val="bottom"/>
            <w:vMerge w:val="restart"/>
          </w:tcPr>
          <w:p>
            <w:pPr>
              <w:spacing w:after="0"/>
              <w:rPr>
                <w:sz w:val="20"/>
                <w:szCs w:val="20"/>
                <w:color w:val="auto"/>
              </w:rPr>
            </w:pPr>
            <w:r>
              <w:rPr>
                <w:rFonts w:ascii="Courier New" w:cs="Courier New" w:eastAsia="Courier New" w:hAnsi="Courier New"/>
                <w:sz w:val="15"/>
                <w:szCs w:val="15"/>
                <w:color w:val="auto"/>
              </w:rPr>
              <w:t>Other recreation vehicle revenues (2)</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89.2%</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87.5%</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88.9%</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89.4%</w:t>
            </w:r>
          </w:p>
        </w:tc>
        <w:tc>
          <w:tcPr>
            <w:tcW w:w="16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87.5%</w:t>
            </w:r>
          </w:p>
        </w:tc>
        <w:tc>
          <w:tcPr>
            <w:tcW w:w="0" w:type="dxa"/>
            <w:vAlign w:val="bottom"/>
          </w:tcPr>
          <w:p>
            <w:pPr>
              <w:spacing w:after="0"/>
              <w:rPr>
                <w:sz w:val="1"/>
                <w:szCs w:val="1"/>
                <w:color w:val="auto"/>
              </w:rPr>
            </w:pPr>
          </w:p>
        </w:tc>
      </w:tr>
      <w:tr>
        <w:trPr>
          <w:trHeight w:val="173"/>
        </w:trPr>
        <w:tc>
          <w:tcPr>
            <w:tcW w:w="4280" w:type="dxa"/>
            <w:vAlign w:val="bottom"/>
            <w:vMerge w:val="continue"/>
          </w:tcPr>
          <w:p>
            <w:pPr>
              <w:spacing w:after="0"/>
              <w:rPr>
                <w:sz w:val="15"/>
                <w:szCs w:val="15"/>
                <w:color w:val="auto"/>
              </w:rPr>
            </w:pP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17,166</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19,513</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21,903</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17,655</w:t>
            </w:r>
          </w:p>
        </w:tc>
        <w:tc>
          <w:tcPr>
            <w:tcW w:w="16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17,126</w:t>
            </w:r>
          </w:p>
        </w:tc>
        <w:tc>
          <w:tcPr>
            <w:tcW w:w="0" w:type="dxa"/>
            <w:vAlign w:val="bottom"/>
          </w:tcPr>
          <w:p>
            <w:pPr>
              <w:spacing w:after="0"/>
              <w:rPr>
                <w:sz w:val="1"/>
                <w:szCs w:val="1"/>
                <w:color w:val="auto"/>
              </w:rPr>
            </w:pPr>
          </w:p>
        </w:tc>
      </w:tr>
      <w:tr>
        <w:trPr>
          <w:trHeight w:val="173"/>
        </w:trPr>
        <w:tc>
          <w:tcPr>
            <w:tcW w:w="4280" w:type="dxa"/>
            <w:vAlign w:val="bottom"/>
            <w:vMerge w:val="restart"/>
          </w:tcPr>
          <w:p>
            <w:pPr>
              <w:spacing w:after="0"/>
              <w:rPr>
                <w:sz w:val="20"/>
                <w:szCs w:val="20"/>
                <w:color w:val="auto"/>
              </w:rPr>
            </w:pPr>
            <w:r>
              <w:rPr>
                <w:rFonts w:ascii="Courier New" w:cs="Courier New" w:eastAsia="Courier New" w:hAnsi="Courier New"/>
                <w:sz w:val="15"/>
                <w:szCs w:val="15"/>
                <w:color w:val="auto"/>
              </w:rPr>
              <w:t>Other manufactured products revenues (3)</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w:t>
            </w:r>
          </w:p>
        </w:tc>
        <w:tc>
          <w:tcPr>
            <w:tcW w:w="16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6.1%</w:t>
            </w:r>
          </w:p>
        </w:tc>
        <w:tc>
          <w:tcPr>
            <w:tcW w:w="0" w:type="dxa"/>
            <w:vAlign w:val="bottom"/>
          </w:tcPr>
          <w:p>
            <w:pPr>
              <w:spacing w:after="0"/>
              <w:rPr>
                <w:sz w:val="1"/>
                <w:szCs w:val="1"/>
                <w:color w:val="auto"/>
              </w:rPr>
            </w:pPr>
          </w:p>
        </w:tc>
      </w:tr>
      <w:tr>
        <w:trPr>
          <w:trHeight w:val="173"/>
        </w:trPr>
        <w:tc>
          <w:tcPr>
            <w:tcW w:w="4280" w:type="dxa"/>
            <w:vAlign w:val="bottom"/>
            <w:vMerge w:val="continue"/>
          </w:tcPr>
          <w:p>
            <w:pPr>
              <w:spacing w:after="0"/>
              <w:rPr>
                <w:sz w:val="15"/>
                <w:szCs w:val="15"/>
                <w:color w:val="auto"/>
              </w:rPr>
            </w:pP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34,020</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36,961</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25,184</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20,344</w:t>
            </w:r>
          </w:p>
        </w:tc>
        <w:tc>
          <w:tcPr>
            <w:tcW w:w="16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18,090</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7.0%</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w:t>
            </w:r>
          </w:p>
        </w:tc>
        <w:tc>
          <w:tcPr>
            <w:tcW w:w="16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6.4%</w:t>
            </w:r>
          </w:p>
        </w:tc>
        <w:tc>
          <w:tcPr>
            <w:tcW w:w="0" w:type="dxa"/>
            <w:vAlign w:val="bottom"/>
          </w:tcPr>
          <w:p>
            <w:pPr>
              <w:spacing w:after="0"/>
              <w:rPr>
                <w:sz w:val="1"/>
                <w:szCs w:val="1"/>
                <w:color w:val="auto"/>
              </w:rPr>
            </w:pPr>
          </w:p>
        </w:tc>
      </w:tr>
      <w:tr>
        <w:trPr>
          <w:trHeight w:val="173"/>
        </w:trPr>
        <w:tc>
          <w:tcPr>
            <w:tcW w:w="4280" w:type="dxa"/>
            <w:vAlign w:val="bottom"/>
            <w:vMerge w:val="restart"/>
          </w:tcPr>
          <w:p>
            <w:pPr>
              <w:ind w:left="720"/>
              <w:spacing w:after="0"/>
              <w:rPr>
                <w:sz w:val="20"/>
                <w:szCs w:val="20"/>
                <w:color w:val="auto"/>
              </w:rPr>
            </w:pPr>
            <w:r>
              <w:rPr>
                <w:rFonts w:ascii="Courier New" w:cs="Courier New" w:eastAsia="Courier New" w:hAnsi="Courier New"/>
                <w:sz w:val="15"/>
                <w:szCs w:val="15"/>
                <w:color w:val="auto"/>
              </w:rPr>
              <w:t>Total manufactured products revenues</w:t>
            </w:r>
          </w:p>
        </w:tc>
        <w:tc>
          <w:tcPr>
            <w:tcW w:w="69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280" w:type="dxa"/>
            <w:vAlign w:val="bottom"/>
            <w:vMerge w:val="continue"/>
          </w:tcPr>
          <w:p>
            <w:pPr>
              <w:spacing w:after="0"/>
              <w:rPr>
                <w:sz w:val="15"/>
                <w:szCs w:val="15"/>
                <w:color w:val="auto"/>
              </w:rPr>
            </w:pP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483,398</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458,909</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432,406</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364,860</w:t>
            </w:r>
          </w:p>
        </w:tc>
        <w:tc>
          <w:tcPr>
            <w:tcW w:w="16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281,124</w:t>
            </w:r>
          </w:p>
        </w:tc>
        <w:tc>
          <w:tcPr>
            <w:tcW w:w="0" w:type="dxa"/>
            <w:vAlign w:val="bottom"/>
          </w:tcPr>
          <w:p>
            <w:pPr>
              <w:spacing w:after="0"/>
              <w:rPr>
                <w:sz w:val="1"/>
                <w:szCs w:val="1"/>
                <w:color w:val="auto"/>
              </w:rPr>
            </w:pPr>
          </w:p>
        </w:tc>
      </w:tr>
      <w:tr>
        <w:trPr>
          <w:trHeight w:val="173"/>
        </w:trPr>
        <w:tc>
          <w:tcPr>
            <w:tcW w:w="4280" w:type="dxa"/>
            <w:vAlign w:val="bottom"/>
            <w:vMerge w:val="restart"/>
          </w:tcPr>
          <w:p>
            <w:pPr>
              <w:spacing w:after="0"/>
              <w:rPr>
                <w:sz w:val="20"/>
                <w:szCs w:val="20"/>
                <w:color w:val="auto"/>
              </w:rPr>
            </w:pPr>
            <w:r>
              <w:rPr>
                <w:rFonts w:ascii="Courier New" w:cs="Courier New" w:eastAsia="Courier New" w:hAnsi="Courier New"/>
                <w:sz w:val="15"/>
                <w:szCs w:val="15"/>
                <w:color w:val="auto"/>
              </w:rPr>
              <w:t>Finance revenues (4)</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99.7%</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99.7%</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99.8%</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99.8%</w:t>
            </w:r>
          </w:p>
        </w:tc>
        <w:tc>
          <w:tcPr>
            <w:tcW w:w="16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173"/>
        </w:trPr>
        <w:tc>
          <w:tcPr>
            <w:tcW w:w="4280" w:type="dxa"/>
            <w:vAlign w:val="bottom"/>
            <w:vMerge w:val="continue"/>
          </w:tcPr>
          <w:p>
            <w:pPr>
              <w:spacing w:after="0"/>
              <w:rPr>
                <w:sz w:val="15"/>
                <w:szCs w:val="15"/>
                <w:color w:val="auto"/>
              </w:rPr>
            </w:pP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1,406</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1,220</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831</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595</w:t>
            </w:r>
          </w:p>
        </w:tc>
        <w:tc>
          <w:tcPr>
            <w:tcW w:w="16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w:t>
            </w:r>
          </w:p>
        </w:tc>
        <w:tc>
          <w:tcPr>
            <w:tcW w:w="16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280" w:type="dxa"/>
            <w:vAlign w:val="bottom"/>
            <w:vMerge w:val="restart"/>
          </w:tcPr>
          <w:p>
            <w:pPr>
              <w:spacing w:after="0"/>
              <w:rPr>
                <w:sz w:val="20"/>
                <w:szCs w:val="20"/>
                <w:color w:val="auto"/>
              </w:rPr>
            </w:pPr>
            <w:r>
              <w:rPr>
                <w:rFonts w:ascii="Courier New" w:cs="Courier New" w:eastAsia="Courier New" w:hAnsi="Courier New"/>
                <w:sz w:val="15"/>
                <w:szCs w:val="15"/>
                <w:color w:val="auto"/>
              </w:rPr>
              <w:t>Total revenues from continuing operations</w:t>
            </w:r>
          </w:p>
        </w:tc>
        <w:tc>
          <w:tcPr>
            <w:tcW w:w="69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280" w:type="dxa"/>
            <w:vAlign w:val="bottom"/>
            <w:vMerge w:val="continue"/>
          </w:tcPr>
          <w:p>
            <w:pPr>
              <w:spacing w:after="0"/>
              <w:rPr>
                <w:sz w:val="15"/>
                <w:szCs w:val="15"/>
                <w:color w:val="auto"/>
              </w:rPr>
            </w:pP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$484,804</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$460,129</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$433,237</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$365,455</w:t>
            </w:r>
          </w:p>
        </w:tc>
        <w:tc>
          <w:tcPr>
            <w:tcW w:w="16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$281,136</w:t>
            </w:r>
          </w:p>
        </w:tc>
        <w:tc>
          <w:tcPr>
            <w:tcW w:w="0" w:type="dxa"/>
            <w:vAlign w:val="bottom"/>
          </w:tcPr>
          <w:p>
            <w:pPr>
              <w:spacing w:after="0"/>
              <w:rPr>
                <w:sz w:val="1"/>
                <w:szCs w:val="1"/>
                <w:color w:val="auto"/>
              </w:rPr>
            </w:pPr>
          </w:p>
        </w:tc>
      </w:tr>
      <w:tr>
        <w:trPr>
          <w:trHeight w:val="255"/>
        </w:trPr>
        <w:tc>
          <w:tcPr>
            <w:tcW w:w="4280" w:type="dxa"/>
            <w:vAlign w:val="bottom"/>
          </w:tcPr>
          <w:p>
            <w:pPr>
              <w:spacing w:after="0"/>
              <w:rPr>
                <w:sz w:val="22"/>
                <w:szCs w:val="22"/>
                <w:color w:val="auto"/>
              </w:rPr>
            </w:pP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100.0%</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100.0%</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100.0%</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100.0%</w:t>
            </w:r>
          </w:p>
        </w:tc>
        <w:tc>
          <w:tcPr>
            <w:tcW w:w="16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left="8" w:right="4320" w:hanging="8"/>
        <w:spacing w:after="0" w:line="254" w:lineRule="auto"/>
        <w:tabs>
          <w:tab w:leader="none" w:pos="36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ended August 31, 1996 contained 53 weeks; all other fiscal years in the table contained 52 weeks. All years are appropriately restated to exclude the revenues of the Company's discontinued Cycle-Sat subsidiary and NIE revenues from contract assembly of a variety of electronic products.</w:t>
      </w:r>
    </w:p>
    <w:p>
      <w:pPr>
        <w:spacing w:after="0" w:line="2"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recreation vehicle related parts, service and van conversions.</w:t>
      </w:r>
    </w:p>
    <w:p>
      <w:pPr>
        <w:spacing w:after="0" w:line="3" w:lineRule="exact"/>
        <w:rPr>
          <w:rFonts w:ascii="Courier New" w:cs="Courier New" w:eastAsia="Courier New" w:hAnsi="Courier New"/>
          <w:sz w:val="15"/>
          <w:szCs w:val="15"/>
          <w:color w:val="auto"/>
        </w:rPr>
      </w:pPr>
    </w:p>
    <w:p>
      <w:pPr>
        <w:ind w:left="8" w:right="4680" w:hanging="8"/>
        <w:spacing w:after="0" w:line="244" w:lineRule="auto"/>
        <w:tabs>
          <w:tab w:leader="none" w:pos="36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sales of extruded aluminum, commercial vehicles and component products for other manufacturers.</w:t>
      </w:r>
    </w:p>
    <w:p>
      <w:pPr>
        <w:spacing w:after="0" w:line="1"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WAC revenues from dealer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8" w:type="dxa"/>
        <w:tblCellMar>
          <w:top w:w="0" w:type="dxa"/>
          <w:left w:w="0" w:type="dxa"/>
          <w:bottom w:w="0" w:type="dxa"/>
          <w:right w:w="0" w:type="dxa"/>
        </w:tblCellMar>
      </w:tblPr>
      <w:tr>
        <w:trPr>
          <w:trHeight w:val="255"/>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rPr>
              <w:t>INTERIM FINANCIAL INFORMATION</w:t>
            </w:r>
          </w:p>
        </w:tc>
        <w:tc>
          <w:tcPr>
            <w:tcW w:w="3560" w:type="dxa"/>
            <w:vAlign w:val="bottom"/>
          </w:tcPr>
          <w:p>
            <w:pPr>
              <w:ind w:left="40"/>
              <w:spacing w:after="0"/>
              <w:rPr>
                <w:sz w:val="20"/>
                <w:szCs w:val="20"/>
                <w:color w:val="auto"/>
              </w:rPr>
            </w:pPr>
            <w:r>
              <w:rPr>
                <w:rFonts w:ascii="Courier New" w:cs="Courier New" w:eastAsia="Courier New" w:hAnsi="Courier New"/>
                <w:sz w:val="15"/>
                <w:szCs w:val="15"/>
                <w:color w:val="auto"/>
              </w:rPr>
              <w:t>(UNAUDITED)</w:t>
            </w:r>
          </w:p>
        </w:tc>
        <w:tc>
          <w:tcPr>
            <w:tcW w:w="17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020" w:type="dxa"/>
            <w:vAlign w:val="bottom"/>
          </w:tcPr>
          <w:p>
            <w:pPr>
              <w:spacing w:after="0"/>
              <w:rPr>
                <w:sz w:val="20"/>
                <w:szCs w:val="20"/>
                <w:color w:val="auto"/>
              </w:rPr>
            </w:pPr>
            <w:r>
              <w:rPr>
                <w:rFonts w:ascii="Courier New" w:cs="Courier New" w:eastAsia="Courier New" w:hAnsi="Courier New"/>
                <w:sz w:val="15"/>
                <w:szCs w:val="15"/>
                <w:color w:val="auto"/>
              </w:rPr>
              <w:t>(DOLLARS IN</w:t>
            </w:r>
          </w:p>
        </w:tc>
        <w:tc>
          <w:tcPr>
            <w:tcW w:w="1640" w:type="dxa"/>
            <w:vAlign w:val="bottom"/>
          </w:tcPr>
          <w:p>
            <w:pPr>
              <w:ind w:left="60"/>
              <w:spacing w:after="0"/>
              <w:rPr>
                <w:sz w:val="20"/>
                <w:szCs w:val="20"/>
                <w:color w:val="auto"/>
              </w:rPr>
            </w:pPr>
            <w:r>
              <w:rPr>
                <w:rFonts w:ascii="Courier New" w:cs="Courier New" w:eastAsia="Courier New" w:hAnsi="Courier New"/>
                <w:sz w:val="15"/>
                <w:szCs w:val="15"/>
                <w:color w:val="auto"/>
              </w:rPr>
              <w:t>THOUSANDS, EXCEPT</w:t>
            </w:r>
          </w:p>
        </w:tc>
        <w:tc>
          <w:tcPr>
            <w:tcW w:w="3560" w:type="dxa"/>
            <w:vAlign w:val="bottom"/>
          </w:tcPr>
          <w:p>
            <w:pPr>
              <w:ind w:left="40"/>
              <w:spacing w:after="0"/>
              <w:rPr>
                <w:sz w:val="20"/>
                <w:szCs w:val="20"/>
                <w:color w:val="auto"/>
              </w:rPr>
            </w:pPr>
            <w:r>
              <w:rPr>
                <w:rFonts w:ascii="Courier New" w:cs="Courier New" w:eastAsia="Courier New" w:hAnsi="Courier New"/>
                <w:sz w:val="15"/>
                <w:szCs w:val="15"/>
                <w:color w:val="auto"/>
              </w:rPr>
              <w:t>PER SHARE DATA)</w:t>
            </w:r>
          </w:p>
        </w:tc>
        <w:tc>
          <w:tcPr>
            <w:tcW w:w="332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Quarter ended</w:t>
            </w:r>
          </w:p>
        </w:tc>
        <w:tc>
          <w:tcPr>
            <w:tcW w:w="15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99"/>
              </w:rPr>
              <w:t>August 31, 1996</w:t>
            </w:r>
          </w:p>
        </w:tc>
        <w:tc>
          <w:tcPr>
            <w:tcW w:w="0" w:type="dxa"/>
            <w:vAlign w:val="bottom"/>
          </w:tcPr>
          <w:p>
            <w:pPr>
              <w:spacing w:after="0"/>
              <w:rPr>
                <w:sz w:val="1"/>
                <w:szCs w:val="1"/>
                <w:color w:val="auto"/>
              </w:rPr>
            </w:pPr>
          </w:p>
        </w:tc>
      </w:tr>
      <w:tr>
        <w:trPr>
          <w:trHeight w:val="201"/>
        </w:trPr>
        <w:tc>
          <w:tcPr>
            <w:tcW w:w="1020" w:type="dxa"/>
            <w:vAlign w:val="bottom"/>
          </w:tcPr>
          <w:p>
            <w:pPr>
              <w:spacing w:after="0"/>
              <w:rPr>
                <w:sz w:val="20"/>
                <w:szCs w:val="20"/>
                <w:color w:val="auto"/>
              </w:rPr>
            </w:pPr>
            <w:r>
              <w:rPr>
                <w:rFonts w:ascii="Courier New" w:cs="Courier New" w:eastAsia="Courier New" w:hAnsi="Courier New"/>
                <w:sz w:val="15"/>
                <w:szCs w:val="15"/>
                <w:color w:val="auto"/>
              </w:rPr>
              <w:t>FISCAL 1996</w:t>
            </w:r>
          </w:p>
        </w:tc>
        <w:tc>
          <w:tcPr>
            <w:tcW w:w="1640" w:type="dxa"/>
            <w:vAlign w:val="bottom"/>
          </w:tcPr>
          <w:p>
            <w:pPr>
              <w:spacing w:after="0"/>
              <w:rPr>
                <w:sz w:val="17"/>
                <w:szCs w:val="17"/>
                <w:color w:val="auto"/>
              </w:rPr>
            </w:pPr>
          </w:p>
        </w:tc>
        <w:tc>
          <w:tcPr>
            <w:tcW w:w="3560" w:type="dxa"/>
            <w:vAlign w:val="bottom"/>
          </w:tcPr>
          <w:p>
            <w:pPr>
              <w:ind w:left="1840"/>
              <w:spacing w:after="0"/>
              <w:rPr>
                <w:sz w:val="20"/>
                <w:szCs w:val="20"/>
                <w:color w:val="auto"/>
              </w:rPr>
            </w:pPr>
            <w:r>
              <w:rPr>
                <w:rFonts w:ascii="Courier New" w:cs="Courier New" w:eastAsia="Courier New" w:hAnsi="Courier New"/>
                <w:sz w:val="15"/>
                <w:szCs w:val="15"/>
                <w:color w:val="auto"/>
              </w:rPr>
              <w:t>December 2, 1995</w:t>
            </w:r>
          </w:p>
        </w:tc>
        <w:tc>
          <w:tcPr>
            <w:tcW w:w="1760" w:type="dxa"/>
            <w:vAlign w:val="bottom"/>
          </w:tcPr>
          <w:p>
            <w:pPr>
              <w:ind w:left="260"/>
              <w:spacing w:after="0"/>
              <w:rPr>
                <w:sz w:val="20"/>
                <w:szCs w:val="20"/>
                <w:color w:val="auto"/>
              </w:rPr>
            </w:pPr>
            <w:r>
              <w:rPr>
                <w:rFonts w:ascii="Courier New" w:cs="Courier New" w:eastAsia="Courier New" w:hAnsi="Courier New"/>
                <w:sz w:val="15"/>
                <w:szCs w:val="15"/>
                <w:color w:val="auto"/>
              </w:rPr>
              <w:t>March 2, 1996</w:t>
            </w:r>
          </w:p>
        </w:tc>
        <w:tc>
          <w:tcPr>
            <w:tcW w:w="1560" w:type="dxa"/>
            <w:vAlign w:val="bottom"/>
          </w:tcPr>
          <w:p>
            <w:pPr>
              <w:ind w:left="300"/>
              <w:spacing w:after="0"/>
              <w:rPr>
                <w:sz w:val="20"/>
                <w:szCs w:val="20"/>
                <w:color w:val="auto"/>
              </w:rPr>
            </w:pPr>
            <w:r>
              <w:rPr>
                <w:rFonts w:ascii="Courier New" w:cs="Courier New" w:eastAsia="Courier New" w:hAnsi="Courier New"/>
                <w:sz w:val="15"/>
                <w:szCs w:val="15"/>
                <w:color w:val="auto"/>
              </w:rPr>
              <w:t>June 1, 1996</w:t>
            </w: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8"/>
        <w:spacing w:after="0"/>
        <w:rPr>
          <w:sz w:val="20"/>
          <w:szCs w:val="20"/>
          <w:color w:val="auto"/>
        </w:rPr>
      </w:pPr>
      <w:r>
        <w:rPr>
          <w:rFonts w:ascii="Courier New" w:cs="Courier New" w:eastAsia="Courier New" w:hAnsi="Courier New"/>
          <w:sz w:val="15"/>
          <w:szCs w:val="15"/>
          <w:color w:val="auto"/>
        </w:rPr>
        <w:t>- -------------------------------------------- ---------------------- -------------------- ----------------- ------------------</w:t>
      </w:r>
    </w:p>
    <w:p>
      <w:pPr>
        <w:sectPr>
          <w:pgSz w:w="11900" w:h="16838" w:orient="portrait"/>
          <w:cols w:equalWidth="0" w:num="1">
            <w:col w:w="11448"/>
          </w:cols>
          <w:pgMar w:left="232" w:top="287" w:right="219" w:bottom="0" w:gutter="0" w:footer="0" w:header="0"/>
        </w:sectPr>
      </w:pPr>
    </w:p>
    <w:bookmarkStart w:id="69" w:name="page70"/>
    <w:bookmarkEnd w:id="69"/>
    <w:p>
      <w:pPr>
        <w:spacing w:after="0" w:line="50"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revenues from continuing</w:t>
            </w:r>
          </w:p>
        </w:tc>
        <w:tc>
          <w:tcPr>
            <w:tcW w:w="2440" w:type="dxa"/>
            <w:vAlign w:val="bottom"/>
            <w:vMerge w:val="restart"/>
          </w:tcPr>
          <w:p>
            <w:pPr>
              <w:jc w:val="right"/>
              <w:ind w:right="545"/>
              <w:spacing w:after="0"/>
              <w:rPr>
                <w:sz w:val="20"/>
                <w:szCs w:val="20"/>
                <w:color w:val="auto"/>
              </w:rPr>
            </w:pPr>
            <w:r>
              <w:rPr>
                <w:rFonts w:ascii="Courier New" w:cs="Courier New" w:eastAsia="Courier New" w:hAnsi="Courier New"/>
                <w:sz w:val="15"/>
                <w:szCs w:val="15"/>
                <w:color w:val="auto"/>
              </w:rPr>
              <w:t>$113,735</w:t>
            </w:r>
          </w:p>
        </w:tc>
        <w:tc>
          <w:tcPr>
            <w:tcW w:w="1940" w:type="dxa"/>
            <w:vAlign w:val="bottom"/>
            <w:vMerge w:val="restart"/>
          </w:tcPr>
          <w:p>
            <w:pPr>
              <w:jc w:val="right"/>
              <w:ind w:right="605"/>
              <w:spacing w:after="0"/>
              <w:rPr>
                <w:sz w:val="20"/>
                <w:szCs w:val="20"/>
                <w:color w:val="auto"/>
              </w:rPr>
            </w:pPr>
            <w:r>
              <w:rPr>
                <w:rFonts w:ascii="Courier New" w:cs="Courier New" w:eastAsia="Courier New" w:hAnsi="Courier New"/>
                <w:sz w:val="15"/>
                <w:szCs w:val="15"/>
                <w:color w:val="auto"/>
              </w:rPr>
              <w:t>$106,161</w:t>
            </w:r>
          </w:p>
        </w:tc>
        <w:tc>
          <w:tcPr>
            <w:tcW w:w="14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$144,363</w:t>
            </w:r>
          </w:p>
        </w:tc>
        <w:tc>
          <w:tcPr>
            <w:tcW w:w="154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$120,545</w:t>
            </w:r>
          </w:p>
        </w:tc>
        <w:tc>
          <w:tcPr>
            <w:tcW w:w="0" w:type="dxa"/>
            <w:vAlign w:val="bottom"/>
          </w:tcPr>
          <w:p>
            <w:pPr>
              <w:spacing w:after="0"/>
              <w:rPr>
                <w:sz w:val="1"/>
                <w:szCs w:val="1"/>
                <w:color w:val="auto"/>
              </w:rPr>
            </w:pPr>
          </w:p>
        </w:tc>
      </w:tr>
      <w:tr>
        <w:trPr>
          <w:trHeight w:val="173"/>
        </w:trPr>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operations</w:t>
            </w:r>
          </w:p>
        </w:tc>
        <w:tc>
          <w:tcPr>
            <w:tcW w:w="2440" w:type="dxa"/>
            <w:vAlign w:val="bottom"/>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Operating income from continuing</w:t>
            </w:r>
          </w:p>
        </w:tc>
        <w:tc>
          <w:tcPr>
            <w:tcW w:w="2440" w:type="dxa"/>
            <w:vAlign w:val="bottom"/>
            <w:vMerge w:val="restart"/>
          </w:tcPr>
          <w:p>
            <w:pPr>
              <w:jc w:val="right"/>
              <w:ind w:right="545"/>
              <w:spacing w:after="0"/>
              <w:rPr>
                <w:sz w:val="20"/>
                <w:szCs w:val="20"/>
                <w:color w:val="auto"/>
              </w:rPr>
            </w:pPr>
            <w:r>
              <w:rPr>
                <w:rFonts w:ascii="Courier New" w:cs="Courier New" w:eastAsia="Courier New" w:hAnsi="Courier New"/>
                <w:sz w:val="15"/>
                <w:szCs w:val="15"/>
                <w:color w:val="auto"/>
              </w:rPr>
              <w:t>3,967</w:t>
            </w:r>
          </w:p>
        </w:tc>
        <w:tc>
          <w:tcPr>
            <w:tcW w:w="1940" w:type="dxa"/>
            <w:vAlign w:val="bottom"/>
            <w:vMerge w:val="restart"/>
          </w:tcPr>
          <w:p>
            <w:pPr>
              <w:jc w:val="center"/>
              <w:ind w:left="65"/>
              <w:spacing w:after="0"/>
              <w:rPr>
                <w:sz w:val="20"/>
                <w:szCs w:val="20"/>
                <w:color w:val="auto"/>
              </w:rPr>
            </w:pPr>
            <w:r>
              <w:rPr>
                <w:rFonts w:ascii="Courier New" w:cs="Courier New" w:eastAsia="Courier New" w:hAnsi="Courier New"/>
                <w:sz w:val="15"/>
                <w:szCs w:val="15"/>
                <w:color w:val="auto"/>
                <w:w w:val="97"/>
              </w:rPr>
              <w:t>2,873</w:t>
            </w:r>
          </w:p>
        </w:tc>
        <w:tc>
          <w:tcPr>
            <w:tcW w:w="14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7,445</w:t>
            </w:r>
          </w:p>
        </w:tc>
        <w:tc>
          <w:tcPr>
            <w:tcW w:w="154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6,424</w:t>
            </w:r>
          </w:p>
        </w:tc>
        <w:tc>
          <w:tcPr>
            <w:tcW w:w="0" w:type="dxa"/>
            <w:vAlign w:val="bottom"/>
          </w:tcPr>
          <w:p>
            <w:pPr>
              <w:spacing w:after="0"/>
              <w:rPr>
                <w:sz w:val="1"/>
                <w:szCs w:val="1"/>
                <w:color w:val="auto"/>
              </w:rPr>
            </w:pPr>
          </w:p>
        </w:tc>
      </w:tr>
      <w:tr>
        <w:trPr>
          <w:trHeight w:val="173"/>
        </w:trPr>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operations</w:t>
            </w:r>
          </w:p>
        </w:tc>
        <w:tc>
          <w:tcPr>
            <w:tcW w:w="2440" w:type="dxa"/>
            <w:vAlign w:val="bottom"/>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24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2,672</w:t>
            </w:r>
          </w:p>
        </w:tc>
        <w:tc>
          <w:tcPr>
            <w:tcW w:w="19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7"/>
              </w:rPr>
              <w:t>2,198</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5,394</w:t>
            </w:r>
          </w:p>
        </w:tc>
        <w:tc>
          <w:tcPr>
            <w:tcW w:w="1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4,160</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4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2,990</w:t>
            </w:r>
          </w:p>
        </w:tc>
        <w:tc>
          <w:tcPr>
            <w:tcW w:w="19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7"/>
              </w:rPr>
              <w:t>2,238</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5,411</w:t>
            </w:r>
          </w:p>
        </w:tc>
        <w:tc>
          <w:tcPr>
            <w:tcW w:w="1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1,746</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Income (loss) per common share:</w:t>
            </w:r>
          </w:p>
        </w:tc>
        <w:tc>
          <w:tcPr>
            <w:tcW w:w="2440" w:type="dxa"/>
            <w:vAlign w:val="bottom"/>
            <w:vMerge w:val="restart"/>
          </w:tcPr>
          <w:p>
            <w:pPr>
              <w:jc w:val="right"/>
              <w:ind w:right="545"/>
              <w:spacing w:after="0"/>
              <w:rPr>
                <w:sz w:val="20"/>
                <w:szCs w:val="20"/>
                <w:color w:val="auto"/>
              </w:rPr>
            </w:pPr>
            <w:r>
              <w:rPr>
                <w:rFonts w:ascii="Courier New" w:cs="Courier New" w:eastAsia="Courier New" w:hAnsi="Courier New"/>
                <w:sz w:val="15"/>
                <w:szCs w:val="15"/>
                <w:color w:val="auto"/>
              </w:rPr>
              <w:t>.11</w:t>
            </w:r>
          </w:p>
        </w:tc>
        <w:tc>
          <w:tcPr>
            <w:tcW w:w="1940" w:type="dxa"/>
            <w:vAlign w:val="bottom"/>
            <w:vMerge w:val="restart"/>
          </w:tcPr>
          <w:p>
            <w:pPr>
              <w:jc w:val="center"/>
              <w:ind w:left="65"/>
              <w:spacing w:after="0"/>
              <w:rPr>
                <w:sz w:val="20"/>
                <w:szCs w:val="20"/>
                <w:color w:val="auto"/>
              </w:rPr>
            </w:pPr>
            <w:r>
              <w:rPr>
                <w:rFonts w:ascii="Courier New" w:cs="Courier New" w:eastAsia="Courier New" w:hAnsi="Courier New"/>
                <w:sz w:val="15"/>
                <w:szCs w:val="15"/>
                <w:color w:val="auto"/>
              </w:rPr>
              <w:t>.09</w:t>
            </w:r>
          </w:p>
        </w:tc>
        <w:tc>
          <w:tcPr>
            <w:tcW w:w="14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.21</w:t>
            </w:r>
          </w:p>
        </w:tc>
        <w:tc>
          <w:tcPr>
            <w:tcW w:w="154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73"/>
        </w:trPr>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Continuing operations</w:t>
            </w:r>
          </w:p>
        </w:tc>
        <w:tc>
          <w:tcPr>
            <w:tcW w:w="2440" w:type="dxa"/>
            <w:vAlign w:val="bottom"/>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Discontinued operations</w:t>
            </w:r>
          </w:p>
        </w:tc>
        <w:tc>
          <w:tcPr>
            <w:tcW w:w="24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.01</w:t>
            </w:r>
          </w:p>
        </w:tc>
        <w:tc>
          <w:tcPr>
            <w:tcW w:w="19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(.09)</w:t>
            </w:r>
          </w:p>
        </w:tc>
        <w:tc>
          <w:tcPr>
            <w:tcW w:w="0" w:type="dxa"/>
            <w:vAlign w:val="bottom"/>
          </w:tcPr>
          <w:p>
            <w:pPr>
              <w:spacing w:after="0"/>
              <w:rPr>
                <w:sz w:val="1"/>
                <w:szCs w:val="1"/>
                <w:color w:val="auto"/>
              </w:rPr>
            </w:pPr>
          </w:p>
        </w:tc>
      </w:tr>
      <w:tr>
        <w:trPr>
          <w:trHeight w:val="255"/>
        </w:trPr>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24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.12</w:t>
            </w:r>
          </w:p>
        </w:tc>
        <w:tc>
          <w:tcPr>
            <w:tcW w:w="1940" w:type="dxa"/>
            <w:vAlign w:val="bottom"/>
          </w:tcPr>
          <w:p>
            <w:pPr>
              <w:jc w:val="center"/>
              <w:ind w:left="65"/>
              <w:spacing w:after="0"/>
              <w:rPr>
                <w:sz w:val="20"/>
                <w:szCs w:val="20"/>
                <w:color w:val="auto"/>
              </w:rPr>
            </w:pPr>
            <w:r>
              <w:rPr>
                <w:rFonts w:ascii="Courier New" w:cs="Courier New" w:eastAsia="Courier New" w:hAnsi="Courier New"/>
                <w:sz w:val="15"/>
                <w:szCs w:val="15"/>
                <w:color w:val="auto"/>
              </w:rPr>
              <w:t>.09</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w:t>
            </w:r>
          </w:p>
        </w:tc>
        <w:tc>
          <w:tcPr>
            <w:tcW w:w="1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.07</w:t>
            </w:r>
          </w:p>
        </w:tc>
        <w:tc>
          <w:tcPr>
            <w:tcW w:w="0" w:type="dxa"/>
            <w:vAlign w:val="bottom"/>
          </w:tcPr>
          <w:p>
            <w:pPr>
              <w:spacing w:after="0"/>
              <w:rPr>
                <w:sz w:val="1"/>
                <w:szCs w:val="1"/>
                <w:color w:val="auto"/>
              </w:rPr>
            </w:pPr>
          </w:p>
        </w:tc>
      </w:tr>
      <w:tr>
        <w:trPr>
          <w:trHeight w:val="438"/>
        </w:trPr>
        <w:tc>
          <w:tcPr>
            <w:tcW w:w="3680" w:type="dxa"/>
            <w:vAlign w:val="bottom"/>
            <w:vMerge w:val="restart"/>
          </w:tcPr>
          <w:p>
            <w:pPr>
              <w:spacing w:after="0"/>
              <w:rPr>
                <w:sz w:val="20"/>
                <w:szCs w:val="20"/>
                <w:color w:val="auto"/>
              </w:rPr>
            </w:pPr>
            <w:r>
              <w:rPr>
                <w:rFonts w:ascii="Courier New" w:cs="Courier New" w:eastAsia="Courier New" w:hAnsi="Courier New"/>
                <w:sz w:val="15"/>
                <w:szCs w:val="15"/>
                <w:color w:val="auto"/>
              </w:rPr>
              <w:t>FISCAL 1995</w:t>
            </w:r>
          </w:p>
        </w:tc>
        <w:tc>
          <w:tcPr>
            <w:tcW w:w="24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November 26, 1994</w:t>
            </w:r>
          </w:p>
        </w:tc>
        <w:tc>
          <w:tcPr>
            <w:tcW w:w="3420" w:type="dxa"/>
            <w:vAlign w:val="bottom"/>
            <w:gridSpan w:val="2"/>
          </w:tcPr>
          <w:p>
            <w:pPr>
              <w:jc w:val="right"/>
              <w:ind w:right="1085"/>
              <w:spacing w:after="0"/>
              <w:rPr>
                <w:sz w:val="20"/>
                <w:szCs w:val="20"/>
                <w:color w:val="auto"/>
              </w:rPr>
            </w:pPr>
            <w:r>
              <w:rPr>
                <w:rFonts w:ascii="Courier New" w:cs="Courier New" w:eastAsia="Courier New" w:hAnsi="Courier New"/>
                <w:sz w:val="15"/>
                <w:szCs w:val="15"/>
                <w:color w:val="auto"/>
              </w:rPr>
              <w:t>Quarter ended</w:t>
            </w:r>
          </w:p>
        </w:tc>
        <w:tc>
          <w:tcPr>
            <w:tcW w:w="1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August 26, 1995</w:t>
            </w:r>
          </w:p>
        </w:tc>
        <w:tc>
          <w:tcPr>
            <w:tcW w:w="0" w:type="dxa"/>
            <w:vAlign w:val="bottom"/>
          </w:tcPr>
          <w:p>
            <w:pPr>
              <w:spacing w:after="0"/>
              <w:rPr>
                <w:sz w:val="1"/>
                <w:szCs w:val="1"/>
                <w:color w:val="auto"/>
              </w:rPr>
            </w:pPr>
          </w:p>
        </w:tc>
      </w:tr>
      <w:tr>
        <w:trPr>
          <w:trHeight w:val="201"/>
        </w:trPr>
        <w:tc>
          <w:tcPr>
            <w:tcW w:w="3680" w:type="dxa"/>
            <w:vAlign w:val="bottom"/>
            <w:vMerge w:val="continue"/>
          </w:tcPr>
          <w:p>
            <w:pPr>
              <w:spacing w:after="0"/>
              <w:rPr>
                <w:sz w:val="17"/>
                <w:szCs w:val="17"/>
                <w:color w:val="auto"/>
              </w:rPr>
            </w:pPr>
          </w:p>
        </w:tc>
        <w:tc>
          <w:tcPr>
            <w:tcW w:w="2440" w:type="dxa"/>
            <w:vAlign w:val="bottom"/>
            <w:vMerge w:val="continue"/>
          </w:tcPr>
          <w:p>
            <w:pPr>
              <w:spacing w:after="0"/>
              <w:rPr>
                <w:sz w:val="17"/>
                <w:szCs w:val="17"/>
                <w:color w:val="auto"/>
              </w:rPr>
            </w:pPr>
          </w:p>
        </w:tc>
        <w:tc>
          <w:tcPr>
            <w:tcW w:w="1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February 25, 1995</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May 27, 1995</w:t>
            </w: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188" w:hanging="188"/>
        <w:spacing w:after="0"/>
        <w:tabs>
          <w:tab w:leader="none" w:pos="18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revenues from continuing</w:t>
      </w:r>
    </w:p>
    <w:tbl>
      <w:tblPr>
        <w:tblLayout w:type="fixed"/>
        <w:tblInd w:w="8" w:type="dxa"/>
        <w:tblCellMar>
          <w:top w:w="0" w:type="dxa"/>
          <w:left w:w="0" w:type="dxa"/>
          <w:bottom w:w="0" w:type="dxa"/>
          <w:right w:w="0" w:type="dxa"/>
        </w:tblCellMar>
      </w:tblPr>
      <w:tr>
        <w:trPr>
          <w:trHeight w:val="149"/>
        </w:trPr>
        <w:tc>
          <w:tcPr>
            <w:tcW w:w="3780" w:type="dxa"/>
            <w:vAlign w:val="bottom"/>
          </w:tcPr>
          <w:p>
            <w:pPr>
              <w:ind w:left="360"/>
              <w:spacing w:after="0" w:line="149" w:lineRule="exact"/>
              <w:rPr>
                <w:sz w:val="20"/>
                <w:szCs w:val="20"/>
                <w:color w:val="auto"/>
              </w:rPr>
            </w:pPr>
            <w:r>
              <w:rPr>
                <w:rFonts w:ascii="Courier New" w:cs="Courier New" w:eastAsia="Courier New" w:hAnsi="Courier New"/>
                <w:sz w:val="15"/>
                <w:szCs w:val="15"/>
                <w:color w:val="auto"/>
              </w:rPr>
              <w:t>operations</w:t>
            </w:r>
          </w:p>
        </w:tc>
        <w:tc>
          <w:tcPr>
            <w:tcW w:w="2440" w:type="dxa"/>
            <w:vAlign w:val="bottom"/>
          </w:tcPr>
          <w:p>
            <w:pPr>
              <w:jc w:val="right"/>
              <w:ind w:right="645"/>
              <w:spacing w:after="0" w:line="149" w:lineRule="exact"/>
              <w:rPr>
                <w:sz w:val="20"/>
                <w:szCs w:val="20"/>
                <w:color w:val="auto"/>
              </w:rPr>
            </w:pPr>
            <w:r>
              <w:rPr>
                <w:rFonts w:ascii="Courier New" w:cs="Courier New" w:eastAsia="Courier New" w:hAnsi="Courier New"/>
                <w:sz w:val="15"/>
                <w:szCs w:val="15"/>
                <w:color w:val="auto"/>
              </w:rPr>
              <w:t>$124,722</w:t>
            </w:r>
          </w:p>
        </w:tc>
        <w:tc>
          <w:tcPr>
            <w:tcW w:w="1880" w:type="dxa"/>
            <w:vAlign w:val="bottom"/>
          </w:tcPr>
          <w:p>
            <w:pPr>
              <w:jc w:val="right"/>
              <w:ind w:right="365"/>
              <w:spacing w:after="0" w:line="149" w:lineRule="exact"/>
              <w:rPr>
                <w:sz w:val="20"/>
                <w:szCs w:val="20"/>
                <w:color w:val="auto"/>
              </w:rPr>
            </w:pPr>
            <w:r>
              <w:rPr>
                <w:rFonts w:ascii="Courier New" w:cs="Courier New" w:eastAsia="Courier New" w:hAnsi="Courier New"/>
                <w:sz w:val="15"/>
                <w:szCs w:val="15"/>
                <w:color w:val="auto"/>
              </w:rPr>
              <w:t>$111,612</w:t>
            </w:r>
          </w:p>
        </w:tc>
        <w:tc>
          <w:tcPr>
            <w:tcW w:w="1500" w:type="dxa"/>
            <w:vAlign w:val="bottom"/>
          </w:tcPr>
          <w:p>
            <w:pPr>
              <w:jc w:val="right"/>
              <w:ind w:right="345"/>
              <w:spacing w:after="0" w:line="149" w:lineRule="exact"/>
              <w:rPr>
                <w:sz w:val="20"/>
                <w:szCs w:val="20"/>
                <w:color w:val="auto"/>
              </w:rPr>
            </w:pPr>
            <w:r>
              <w:rPr>
                <w:rFonts w:ascii="Courier New" w:cs="Courier New" w:eastAsia="Courier New" w:hAnsi="Courier New"/>
                <w:sz w:val="15"/>
                <w:szCs w:val="15"/>
                <w:color w:val="auto"/>
              </w:rPr>
              <w:t>$118,658</w:t>
            </w:r>
          </w:p>
        </w:tc>
        <w:tc>
          <w:tcPr>
            <w:tcW w:w="1300" w:type="dxa"/>
            <w:vAlign w:val="bottom"/>
          </w:tcPr>
          <w:p>
            <w:pPr>
              <w:jc w:val="right"/>
              <w:ind w:right="5"/>
              <w:spacing w:after="0" w:line="149" w:lineRule="exact"/>
              <w:rPr>
                <w:sz w:val="20"/>
                <w:szCs w:val="20"/>
                <w:color w:val="auto"/>
              </w:rPr>
            </w:pPr>
            <w:r>
              <w:rPr>
                <w:rFonts w:ascii="Courier New" w:cs="Courier New" w:eastAsia="Courier New" w:hAnsi="Courier New"/>
                <w:sz w:val="15"/>
                <w:szCs w:val="15"/>
                <w:color w:val="auto"/>
              </w:rPr>
              <w:t>$105,137</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Operating income (loss) from</w:t>
            </w:r>
          </w:p>
        </w:tc>
        <w:tc>
          <w:tcPr>
            <w:tcW w:w="2440" w:type="dxa"/>
            <w:vAlign w:val="bottom"/>
            <w:vMerge w:val="restart"/>
          </w:tcPr>
          <w:p>
            <w:pPr>
              <w:jc w:val="right"/>
              <w:ind w:right="645"/>
              <w:spacing w:after="0"/>
              <w:rPr>
                <w:sz w:val="20"/>
                <w:szCs w:val="20"/>
                <w:color w:val="auto"/>
              </w:rPr>
            </w:pPr>
            <w:r>
              <w:rPr>
                <w:rFonts w:ascii="Courier New" w:cs="Courier New" w:eastAsia="Courier New" w:hAnsi="Courier New"/>
                <w:sz w:val="15"/>
                <w:szCs w:val="15"/>
                <w:color w:val="auto"/>
              </w:rPr>
              <w:t>6,913</w:t>
            </w:r>
          </w:p>
        </w:tc>
        <w:tc>
          <w:tcPr>
            <w:tcW w:w="188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5,572</w:t>
            </w:r>
          </w:p>
        </w:tc>
        <w:tc>
          <w:tcPr>
            <w:tcW w:w="1500" w:type="dxa"/>
            <w:vAlign w:val="bottom"/>
            <w:vMerge w:val="restart"/>
          </w:tcPr>
          <w:p>
            <w:pPr>
              <w:jc w:val="right"/>
              <w:ind w:right="345"/>
              <w:spacing w:after="0"/>
              <w:rPr>
                <w:sz w:val="20"/>
                <w:szCs w:val="20"/>
                <w:color w:val="auto"/>
              </w:rPr>
            </w:pPr>
            <w:r>
              <w:rPr>
                <w:rFonts w:ascii="Courier New" w:cs="Courier New" w:eastAsia="Courier New" w:hAnsi="Courier New"/>
                <w:sz w:val="15"/>
                <w:szCs w:val="15"/>
                <w:color w:val="auto"/>
              </w:rPr>
              <w:t>5,794</w:t>
            </w:r>
          </w:p>
        </w:tc>
        <w:tc>
          <w:tcPr>
            <w:tcW w:w="1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(387)</w:t>
            </w:r>
          </w:p>
        </w:tc>
        <w:tc>
          <w:tcPr>
            <w:tcW w:w="0" w:type="dxa"/>
            <w:vAlign w:val="bottom"/>
          </w:tcPr>
          <w:p>
            <w:pPr>
              <w:spacing w:after="0"/>
              <w:rPr>
                <w:sz w:val="1"/>
                <w:szCs w:val="1"/>
                <w:color w:val="auto"/>
              </w:rPr>
            </w:pPr>
          </w:p>
        </w:tc>
      </w:tr>
      <w:tr>
        <w:trPr>
          <w:trHeight w:val="173"/>
        </w:trPr>
        <w:tc>
          <w:tcPr>
            <w:tcW w:w="3780" w:type="dxa"/>
            <w:vAlign w:val="bottom"/>
          </w:tcPr>
          <w:p>
            <w:pPr>
              <w:ind w:left="360"/>
              <w:spacing w:after="0"/>
              <w:rPr>
                <w:sz w:val="20"/>
                <w:szCs w:val="20"/>
                <w:color w:val="auto"/>
              </w:rPr>
            </w:pPr>
            <w:r>
              <w:rPr>
                <w:rFonts w:ascii="Courier New" w:cs="Courier New" w:eastAsia="Courier New" w:hAnsi="Courier New"/>
                <w:sz w:val="15"/>
                <w:szCs w:val="15"/>
                <w:color w:val="auto"/>
              </w:rPr>
              <w:t>continuing operations</w:t>
            </w:r>
          </w:p>
        </w:tc>
        <w:tc>
          <w:tcPr>
            <w:tcW w:w="244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Income from continuing</w:t>
            </w:r>
          </w:p>
        </w:tc>
        <w:tc>
          <w:tcPr>
            <w:tcW w:w="2440" w:type="dxa"/>
            <w:vAlign w:val="bottom"/>
            <w:vMerge w:val="restart"/>
          </w:tcPr>
          <w:p>
            <w:pPr>
              <w:jc w:val="right"/>
              <w:ind w:right="645"/>
              <w:spacing w:after="0"/>
              <w:rPr>
                <w:sz w:val="20"/>
                <w:szCs w:val="20"/>
                <w:color w:val="auto"/>
              </w:rPr>
            </w:pPr>
            <w:r>
              <w:rPr>
                <w:rFonts w:ascii="Courier New" w:cs="Courier New" w:eastAsia="Courier New" w:hAnsi="Courier New"/>
                <w:sz w:val="15"/>
                <w:szCs w:val="15"/>
                <w:color w:val="auto"/>
              </w:rPr>
              <w:t>7,109</w:t>
            </w:r>
          </w:p>
        </w:tc>
        <w:tc>
          <w:tcPr>
            <w:tcW w:w="188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12,481</w:t>
            </w:r>
          </w:p>
        </w:tc>
        <w:tc>
          <w:tcPr>
            <w:tcW w:w="1500" w:type="dxa"/>
            <w:vAlign w:val="bottom"/>
            <w:vMerge w:val="restart"/>
          </w:tcPr>
          <w:p>
            <w:pPr>
              <w:jc w:val="right"/>
              <w:ind w:right="345"/>
              <w:spacing w:after="0"/>
              <w:rPr>
                <w:sz w:val="20"/>
                <w:szCs w:val="20"/>
                <w:color w:val="auto"/>
              </w:rPr>
            </w:pPr>
            <w:r>
              <w:rPr>
                <w:rFonts w:ascii="Courier New" w:cs="Courier New" w:eastAsia="Courier New" w:hAnsi="Courier New"/>
                <w:sz w:val="15"/>
                <w:szCs w:val="15"/>
                <w:color w:val="auto"/>
              </w:rPr>
              <w:t>6,530</w:t>
            </w:r>
          </w:p>
        </w:tc>
        <w:tc>
          <w:tcPr>
            <w:tcW w:w="13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1,798</w:t>
            </w:r>
          </w:p>
        </w:tc>
        <w:tc>
          <w:tcPr>
            <w:tcW w:w="0" w:type="dxa"/>
            <w:vAlign w:val="bottom"/>
          </w:tcPr>
          <w:p>
            <w:pPr>
              <w:spacing w:after="0"/>
              <w:rPr>
                <w:sz w:val="1"/>
                <w:szCs w:val="1"/>
                <w:color w:val="auto"/>
              </w:rPr>
            </w:pPr>
          </w:p>
        </w:tc>
      </w:tr>
      <w:tr>
        <w:trPr>
          <w:trHeight w:val="173"/>
        </w:trPr>
        <w:tc>
          <w:tcPr>
            <w:tcW w:w="3780" w:type="dxa"/>
            <w:vAlign w:val="bottom"/>
          </w:tcPr>
          <w:p>
            <w:pPr>
              <w:ind w:left="360"/>
              <w:spacing w:after="0"/>
              <w:rPr>
                <w:sz w:val="20"/>
                <w:szCs w:val="20"/>
                <w:color w:val="auto"/>
              </w:rPr>
            </w:pPr>
            <w:r>
              <w:rPr>
                <w:rFonts w:ascii="Courier New" w:cs="Courier New" w:eastAsia="Courier New" w:hAnsi="Courier New"/>
                <w:sz w:val="15"/>
                <w:szCs w:val="15"/>
                <w:color w:val="auto"/>
              </w:rPr>
              <w:t>operations</w:t>
            </w:r>
          </w:p>
        </w:tc>
        <w:tc>
          <w:tcPr>
            <w:tcW w:w="244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7,609</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12,085</w:t>
            </w:r>
          </w:p>
        </w:tc>
        <w:tc>
          <w:tcPr>
            <w:tcW w:w="15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6,578</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1,484</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Income (loss) per common share:</w:t>
            </w:r>
          </w:p>
        </w:tc>
        <w:tc>
          <w:tcPr>
            <w:tcW w:w="2440" w:type="dxa"/>
            <w:vAlign w:val="bottom"/>
            <w:vMerge w:val="restart"/>
          </w:tcPr>
          <w:p>
            <w:pPr>
              <w:jc w:val="right"/>
              <w:ind w:right="645"/>
              <w:spacing w:after="0"/>
              <w:rPr>
                <w:sz w:val="20"/>
                <w:szCs w:val="20"/>
                <w:color w:val="auto"/>
              </w:rPr>
            </w:pPr>
            <w:r>
              <w:rPr>
                <w:rFonts w:ascii="Courier New" w:cs="Courier New" w:eastAsia="Courier New" w:hAnsi="Courier New"/>
                <w:sz w:val="15"/>
                <w:szCs w:val="15"/>
                <w:color w:val="auto"/>
              </w:rPr>
              <w:t>.28</w:t>
            </w:r>
          </w:p>
        </w:tc>
        <w:tc>
          <w:tcPr>
            <w:tcW w:w="188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.50</w:t>
            </w:r>
          </w:p>
        </w:tc>
        <w:tc>
          <w:tcPr>
            <w:tcW w:w="1500" w:type="dxa"/>
            <w:vAlign w:val="bottom"/>
            <w:vMerge w:val="restart"/>
          </w:tcPr>
          <w:p>
            <w:pPr>
              <w:jc w:val="right"/>
              <w:ind w:right="345"/>
              <w:spacing w:after="0"/>
              <w:rPr>
                <w:sz w:val="20"/>
                <w:szCs w:val="20"/>
                <w:color w:val="auto"/>
              </w:rPr>
            </w:pPr>
            <w:r>
              <w:rPr>
                <w:rFonts w:ascii="Courier New" w:cs="Courier New" w:eastAsia="Courier New" w:hAnsi="Courier New"/>
                <w:sz w:val="15"/>
                <w:szCs w:val="15"/>
                <w:color w:val="auto"/>
              </w:rPr>
              <w:t>.26</w:t>
            </w:r>
          </w:p>
        </w:tc>
        <w:tc>
          <w:tcPr>
            <w:tcW w:w="13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.07</w:t>
            </w:r>
          </w:p>
        </w:tc>
        <w:tc>
          <w:tcPr>
            <w:tcW w:w="0" w:type="dxa"/>
            <w:vAlign w:val="bottom"/>
          </w:tcPr>
          <w:p>
            <w:pPr>
              <w:spacing w:after="0"/>
              <w:rPr>
                <w:sz w:val="1"/>
                <w:szCs w:val="1"/>
                <w:color w:val="auto"/>
              </w:rPr>
            </w:pPr>
          </w:p>
        </w:tc>
      </w:tr>
      <w:tr>
        <w:trPr>
          <w:trHeight w:val="173"/>
        </w:trPr>
        <w:tc>
          <w:tcPr>
            <w:tcW w:w="3780" w:type="dxa"/>
            <w:vAlign w:val="bottom"/>
          </w:tcPr>
          <w:p>
            <w:pPr>
              <w:ind w:left="360"/>
              <w:spacing w:after="0"/>
              <w:rPr>
                <w:sz w:val="20"/>
                <w:szCs w:val="20"/>
                <w:color w:val="auto"/>
              </w:rPr>
            </w:pPr>
            <w:r>
              <w:rPr>
                <w:rFonts w:ascii="Courier New" w:cs="Courier New" w:eastAsia="Courier New" w:hAnsi="Courier New"/>
                <w:sz w:val="15"/>
                <w:szCs w:val="15"/>
                <w:color w:val="auto"/>
              </w:rPr>
              <w:t>Continuing operations</w:t>
            </w:r>
          </w:p>
        </w:tc>
        <w:tc>
          <w:tcPr>
            <w:tcW w:w="244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780" w:type="dxa"/>
            <w:vAlign w:val="bottom"/>
          </w:tcPr>
          <w:p>
            <w:pPr>
              <w:ind w:left="360"/>
              <w:spacing w:after="0"/>
              <w:rPr>
                <w:sz w:val="20"/>
                <w:szCs w:val="20"/>
                <w:color w:val="auto"/>
              </w:rPr>
            </w:pPr>
            <w:r>
              <w:rPr>
                <w:rFonts w:ascii="Courier New" w:cs="Courier New" w:eastAsia="Courier New" w:hAnsi="Courier New"/>
                <w:sz w:val="15"/>
                <w:szCs w:val="15"/>
                <w:color w:val="auto"/>
              </w:rPr>
              <w:t>Discontinued operations</w:t>
            </w:r>
          </w:p>
        </w:tc>
        <w:tc>
          <w:tcPr>
            <w:tcW w:w="2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.02</w:t>
            </w: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w:t>
            </w:r>
          </w:p>
        </w:tc>
        <w:tc>
          <w:tcPr>
            <w:tcW w:w="15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255"/>
        </w:trPr>
        <w:tc>
          <w:tcPr>
            <w:tcW w:w="378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2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.30</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.48</w:t>
            </w:r>
          </w:p>
        </w:tc>
        <w:tc>
          <w:tcPr>
            <w:tcW w:w="15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.26</w:t>
            </w: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both"/>
        <w:ind w:left="8" w:right="4420"/>
        <w:spacing w:after="0" w:line="335" w:lineRule="auto"/>
        <w:rPr>
          <w:sz w:val="20"/>
          <w:szCs w:val="20"/>
          <w:color w:val="auto"/>
        </w:rPr>
      </w:pPr>
      <w:r>
        <w:rPr>
          <w:rFonts w:ascii="Courier New" w:cs="Courier New" w:eastAsia="Courier New" w:hAnsi="Courier New"/>
          <w:sz w:val="14"/>
          <w:szCs w:val="14"/>
          <w:color w:val="auto"/>
        </w:rPr>
        <w:t>Operating income for the quarter ended August 26, 1995 was negatively impacted by year-end inventory adjustments and increases in valuation allowances of the Company's German subsidiary in the amount of approximately $2.5 million.</w:t>
      </w:r>
    </w:p>
    <w:p>
      <w:pPr>
        <w:spacing w:after="0" w:line="29" w:lineRule="exact"/>
        <w:rPr>
          <w:sz w:val="20"/>
          <w:szCs w:val="20"/>
          <w:color w:val="auto"/>
        </w:rPr>
      </w:pPr>
    </w:p>
    <w:p>
      <w:pPr>
        <w:ind w:left="8" w:right="4320"/>
        <w:spacing w:after="0" w:line="274" w:lineRule="auto"/>
        <w:rPr>
          <w:sz w:val="20"/>
          <w:szCs w:val="20"/>
          <w:color w:val="auto"/>
        </w:rPr>
      </w:pPr>
      <w:r>
        <w:rPr>
          <w:rFonts w:ascii="Courier New" w:cs="Courier New" w:eastAsia="Courier New" w:hAnsi="Courier New"/>
          <w:sz w:val="15"/>
          <w:szCs w:val="15"/>
          <w:color w:val="auto"/>
        </w:rPr>
        <w:t>The Company recognized tax credits of $6 million and $2 million in the quarters ended February 25, 1995 and August 26, 1995, respectively, due to continued trend of earnings which increased the likelihood that the Company will realize its gross deferred tax assets in the future, thus eliminating the need for the valuation allowance.</w:t>
      </w:r>
    </w:p>
    <w:p>
      <w:pPr>
        <w:spacing w:after="0" w:line="70" w:lineRule="exact"/>
        <w:rPr>
          <w:sz w:val="20"/>
          <w:szCs w:val="20"/>
          <w:color w:val="auto"/>
        </w:rPr>
      </w:pPr>
    </w:p>
    <w:p>
      <w:pPr>
        <w:ind w:left="8" w:right="4420"/>
        <w:spacing w:after="0" w:line="305" w:lineRule="auto"/>
        <w:rPr>
          <w:sz w:val="20"/>
          <w:szCs w:val="20"/>
          <w:color w:val="auto"/>
        </w:rPr>
      </w:pPr>
      <w:r>
        <w:rPr>
          <w:rFonts w:ascii="Courier New" w:cs="Courier New" w:eastAsia="Courier New" w:hAnsi="Courier New"/>
          <w:sz w:val="15"/>
          <w:szCs w:val="15"/>
          <w:color w:val="auto"/>
        </w:rPr>
        <w:t>The information presented in this annual report differs from that of the filed 10-Q's due to required restatements to reflect the Company's Cycle-Sat and electronic component assembly segments as discontinued operations.</w:t>
      </w:r>
    </w:p>
    <w:p>
      <w:pPr>
        <w:spacing w:after="0" w:line="219"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PAGE 25</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AND RESULTS OF OPERATIONS</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GENERAL</w:t>
      </w:r>
    </w:p>
    <w:p>
      <w:pPr>
        <w:spacing w:after="0" w:line="177" w:lineRule="exact"/>
        <w:rPr>
          <w:sz w:val="20"/>
          <w:szCs w:val="20"/>
          <w:color w:val="auto"/>
        </w:rPr>
      </w:pPr>
    </w:p>
    <w:p>
      <w:pPr>
        <w:ind w:left="8" w:right="4240"/>
        <w:spacing w:after="0" w:line="264" w:lineRule="auto"/>
        <w:rPr>
          <w:sz w:val="20"/>
          <w:szCs w:val="20"/>
          <w:color w:val="auto"/>
        </w:rPr>
      </w:pPr>
      <w:r>
        <w:rPr>
          <w:rFonts w:ascii="Courier New" w:cs="Courier New" w:eastAsia="Courier New" w:hAnsi="Courier New"/>
          <w:sz w:val="15"/>
          <w:szCs w:val="15"/>
          <w:color w:val="auto"/>
        </w:rPr>
        <w:t>The primary use of recreation vehicles for leisure travel and outdoor recreation has historically led to a peak retail selling season concentrated in the spring and summer months. The Company's sales of recreation vehicles are generally influenced by this pattern in retail sales, but can also be affected by the level of dealer inventory. The Company has generally manufactured recreation vehicles during the entire year, both for immediate delivery and for inventory to satisfy the peak selling season.</w:t>
      </w:r>
    </w:p>
    <w:p>
      <w:pPr>
        <w:spacing w:after="0" w:line="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RESULTS OF OPERATIONS</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FISCAL 1996 COMPARED TO FISCAL 1995</w:t>
      </w:r>
    </w:p>
    <w:p>
      <w:pPr>
        <w:spacing w:after="0" w:line="149" w:lineRule="exact"/>
        <w:rPr>
          <w:sz w:val="20"/>
          <w:szCs w:val="20"/>
          <w:color w:val="auto"/>
        </w:rPr>
      </w:pPr>
    </w:p>
    <w:p>
      <w:pPr>
        <w:ind w:left="8" w:right="4320"/>
        <w:spacing w:after="0" w:line="259" w:lineRule="auto"/>
        <w:rPr>
          <w:sz w:val="20"/>
          <w:szCs w:val="20"/>
          <w:color w:val="auto"/>
        </w:rPr>
      </w:pPr>
      <w:r>
        <w:rPr>
          <w:rFonts w:ascii="Courier New" w:cs="Courier New" w:eastAsia="Courier New" w:hAnsi="Courier New"/>
          <w:sz w:val="15"/>
          <w:szCs w:val="15"/>
          <w:color w:val="auto"/>
        </w:rPr>
        <w:t>Net revenues for manufactured products were $483,398,000 for fiscal 1996 an increase of $24,489,000, or 5.3 percent, from fiscal 1995. Motor home shipments (Classes A, B, and C) during fiscal 1996 were 9,607 units, a decrease of 253 units, or 2.6 percent, compared to fiscal 1995. Even though fiscal 1996 unit sales were down, the current year showed an increase in revenues, due to a product mix change more heavily weighed to more expensive units with a slideout feature. The Company believes it will continue to maintain its market share of recreation vehicle sales and expects to extend the slideout room expansion system to more of its Class A product line offerings.</w:t>
      </w:r>
    </w:p>
    <w:p>
      <w:pPr>
        <w:spacing w:after="0" w:line="83" w:lineRule="exact"/>
        <w:rPr>
          <w:sz w:val="20"/>
          <w:szCs w:val="20"/>
          <w:color w:val="auto"/>
        </w:rPr>
      </w:pPr>
    </w:p>
    <w:p>
      <w:pPr>
        <w:ind w:left="8" w:right="4320"/>
        <w:spacing w:after="0" w:line="285" w:lineRule="auto"/>
        <w:rPr>
          <w:sz w:val="20"/>
          <w:szCs w:val="20"/>
          <w:color w:val="auto"/>
        </w:rPr>
      </w:pPr>
      <w:r>
        <w:rPr>
          <w:rFonts w:ascii="Courier New" w:cs="Courier New" w:eastAsia="Courier New" w:hAnsi="Courier New"/>
          <w:sz w:val="15"/>
          <w:szCs w:val="15"/>
          <w:color w:val="auto"/>
        </w:rPr>
        <w:t>Finance revenues were $1,406,000 for fiscal 1996 an increase of $186,000, or 15.2 percent from fiscal 1995. The increase can be attributed to an increase in the average dealer receivable balances during fiscal 1996 when compared to fiscal 1995.</w:t>
      </w:r>
    </w:p>
    <w:p>
      <w:pPr>
        <w:spacing w:after="0" w:line="60" w:lineRule="exact"/>
        <w:rPr>
          <w:sz w:val="20"/>
          <w:szCs w:val="20"/>
          <w:color w:val="auto"/>
        </w:rPr>
      </w:pPr>
    </w:p>
    <w:p>
      <w:pPr>
        <w:ind w:left="8" w:right="4320"/>
        <w:spacing w:after="0" w:line="274" w:lineRule="auto"/>
        <w:rPr>
          <w:sz w:val="20"/>
          <w:szCs w:val="20"/>
          <w:color w:val="auto"/>
        </w:rPr>
      </w:pPr>
      <w:r>
        <w:rPr>
          <w:rFonts w:ascii="Courier New" w:cs="Courier New" w:eastAsia="Courier New" w:hAnsi="Courier New"/>
          <w:sz w:val="15"/>
          <w:szCs w:val="15"/>
          <w:color w:val="auto"/>
        </w:rPr>
        <w:t>Cost of manufactured products, as a percent of manufactured product revenues, was 86.3 percent for fiscal 1996 compared to 86.7 percent for fiscal 1995. This decrease can be attributed primarily to the shift in product mix to higher margin slideout units, offset partially by a decrease in motor home production volume.</w:t>
      </w:r>
    </w:p>
    <w:p>
      <w:pPr>
        <w:spacing w:after="0" w:line="70" w:lineRule="exact"/>
        <w:rPr>
          <w:sz w:val="20"/>
          <w:szCs w:val="20"/>
          <w:color w:val="auto"/>
        </w:rPr>
      </w:pPr>
    </w:p>
    <w:p>
      <w:pPr>
        <w:ind w:left="8" w:right="4420"/>
        <w:spacing w:after="0" w:line="283" w:lineRule="auto"/>
        <w:rPr>
          <w:sz w:val="20"/>
          <w:szCs w:val="20"/>
          <w:color w:val="auto"/>
        </w:rPr>
      </w:pPr>
      <w:r>
        <w:rPr>
          <w:rFonts w:ascii="Courier New" w:cs="Courier New" w:eastAsia="Courier New" w:hAnsi="Courier New"/>
          <w:sz w:val="14"/>
          <w:szCs w:val="14"/>
          <w:color w:val="auto"/>
        </w:rPr>
        <w:t>Selling and delivery expenses were fairly stable in fiscal 1996 as compared to fiscal 1995 but decreased in fiscal 1996, as a percentage of net revenues, to</w:t>
      </w:r>
    </w:p>
    <w:p>
      <w:pPr>
        <w:spacing w:after="0" w:line="1" w:lineRule="exact"/>
        <w:rPr>
          <w:sz w:val="20"/>
          <w:szCs w:val="20"/>
          <w:color w:val="auto"/>
        </w:rPr>
      </w:pPr>
    </w:p>
    <w:p>
      <w:pPr>
        <w:ind w:left="8" w:right="4320"/>
        <w:spacing w:after="0" w:line="325" w:lineRule="auto"/>
        <w:rPr>
          <w:sz w:val="20"/>
          <w:szCs w:val="20"/>
          <w:color w:val="auto"/>
        </w:rPr>
      </w:pPr>
      <w:r>
        <w:rPr>
          <w:rFonts w:ascii="Courier New" w:cs="Courier New" w:eastAsia="Courier New" w:hAnsi="Courier New"/>
          <w:sz w:val="15"/>
          <w:szCs w:val="15"/>
          <w:color w:val="auto"/>
        </w:rPr>
        <w:t>5.2 percent from 5.5 percent in fiscal 1995, primarily due to increased revenue during fiscal 1996.</w:t>
      </w:r>
    </w:p>
    <w:p>
      <w:pPr>
        <w:spacing w:after="0" w:line="32" w:lineRule="exact"/>
        <w:rPr>
          <w:sz w:val="20"/>
          <w:szCs w:val="20"/>
          <w:color w:val="auto"/>
        </w:rPr>
      </w:pPr>
    </w:p>
    <w:p>
      <w:pPr>
        <w:ind w:left="8" w:right="4320"/>
        <w:spacing w:after="0" w:line="274" w:lineRule="auto"/>
        <w:rPr>
          <w:sz w:val="20"/>
          <w:szCs w:val="20"/>
          <w:color w:val="auto"/>
        </w:rPr>
      </w:pPr>
      <w:r>
        <w:rPr>
          <w:rFonts w:ascii="Courier New" w:cs="Courier New" w:eastAsia="Courier New" w:hAnsi="Courier New"/>
          <w:sz w:val="15"/>
          <w:szCs w:val="15"/>
          <w:color w:val="auto"/>
        </w:rPr>
        <w:t>General and administrative expenses increased by $2,623,000 to $21,574,000 comparing fiscal 1996 to fiscal 1995 and increased as a percentage of net revenues to 4.5 percent from 4.1 percent. The increase in dollars was caused primarily by increases in the Company's employee bonus programs and an increase in provisions for its legal expenses.</w:t>
      </w:r>
    </w:p>
    <w:p>
      <w:pPr>
        <w:sectPr>
          <w:pgSz w:w="11900" w:h="16888" w:orient="portrait"/>
          <w:cols w:equalWidth="0" w:num="1">
            <w:col w:w="11448"/>
          </w:cols>
          <w:pgMar w:left="232" w:top="287" w:right="219" w:bottom="0" w:gutter="0" w:footer="0" w:header="0"/>
        </w:sectPr>
      </w:pPr>
    </w:p>
    <w:bookmarkStart w:id="70" w:name="page71"/>
    <w:bookmarkEnd w:id="70"/>
    <w:p>
      <w:pPr>
        <w:ind w:right="3019"/>
        <w:spacing w:after="0" w:line="259" w:lineRule="auto"/>
        <w:rPr>
          <w:sz w:val="20"/>
          <w:szCs w:val="20"/>
          <w:color w:val="auto"/>
        </w:rPr>
      </w:pPr>
      <w:r>
        <w:rPr>
          <w:rFonts w:ascii="Courier New" w:cs="Courier New" w:eastAsia="Courier New" w:hAnsi="Courier New"/>
          <w:sz w:val="15"/>
          <w:szCs w:val="15"/>
          <w:color w:val="auto"/>
        </w:rPr>
        <w:t>For fiscal 1996, the Company had net financial income of $354,000 compared to net financial income of $2,114,000 during fiscal 1995. During fiscal 1996, the Company recorded $930,000 of net interest income, $350,000 of realized and unrealized losses in its trading securities portfolio, and losses of $226,000 in foreign currency transactions, relating to the Company's investment in European operations caused by the weakening of the U.S. dollar as it compares to European currencies. During fiscal 1995, the Company recorded foreign currency transaction gains of $1,213,000, $559,000 of net interest income and $342,000 of realized and unrealized gains in its trading securities portfolio.</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fiscal 1996, the Company had income from continuing operations before taxes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$21,063,000 compared to $20,006,000 for fiscal 1995. Due to the pre-tax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growth Winnebago Industries has experienced during the past four years,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1996 results reflect the full impact of income tax expense for the first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since fiscal 1992. To this end the Company recorded a tax expense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$6,639,000 during fiscal 1996. During fiscal 1995, the Company recorded a credit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income taxes of $7,912,000, the result of reductions of the Company's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tax asset valuation allowance.</w:t>
      </w:r>
    </w:p>
    <w:p>
      <w:pPr>
        <w:spacing w:after="0" w:line="32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26</w:t>
      </w:r>
    </w:p>
    <w:p>
      <w:pPr>
        <w:spacing w:after="0" w:line="350" w:lineRule="exact"/>
        <w:rPr>
          <w:sz w:val="20"/>
          <w:szCs w:val="20"/>
          <w:color w:val="auto"/>
        </w:rPr>
      </w:pPr>
    </w:p>
    <w:p>
      <w:pPr>
        <w:ind w:right="3099"/>
        <w:spacing w:after="0" w:line="268" w:lineRule="auto"/>
        <w:rPr>
          <w:sz w:val="20"/>
          <w:szCs w:val="20"/>
          <w:color w:val="auto"/>
        </w:rPr>
      </w:pPr>
      <w:r>
        <w:rPr>
          <w:rFonts w:ascii="Courier New" w:cs="Courier New" w:eastAsia="Courier New" w:hAnsi="Courier New"/>
          <w:sz w:val="15"/>
          <w:szCs w:val="15"/>
          <w:color w:val="auto"/>
        </w:rPr>
        <w:t>During fiscal 1996, the Company reported losses from discontinued operations of $2,039,000 which relate to discontinued operations of the Cycle-Sat subsidiary and to a loss on the disposal of the electronic component assembly segment (See Notes 2 and 3 to the Company's 1996 Consolidated Financial Statements). During fiscal 1995, the Company reported a loss in discontinued operations related to the Cycle-Sat subsidiary of $162,000.</w:t>
      </w:r>
    </w:p>
    <w:p>
      <w:pPr>
        <w:spacing w:after="0" w:line="75" w:lineRule="exact"/>
        <w:rPr>
          <w:sz w:val="20"/>
          <w:szCs w:val="20"/>
          <w:color w:val="auto"/>
        </w:rPr>
      </w:pPr>
    </w:p>
    <w:p>
      <w:pPr>
        <w:ind w:right="3199"/>
        <w:spacing w:after="0" w:line="393" w:lineRule="auto"/>
        <w:rPr>
          <w:sz w:val="20"/>
          <w:szCs w:val="20"/>
          <w:color w:val="auto"/>
        </w:rPr>
      </w:pPr>
      <w:r>
        <w:rPr>
          <w:rFonts w:ascii="Courier New" w:cs="Courier New" w:eastAsia="Courier New" w:hAnsi="Courier New"/>
          <w:sz w:val="14"/>
          <w:szCs w:val="14"/>
          <w:color w:val="auto"/>
        </w:rPr>
        <w:t>For fiscal 1996, the Company had net income of $12,385,000, or $.49 per share, compared to fiscal 1995's net income of $27,756,000, or $1.10 per share.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1995 COMPARED TO FISCAL 1994</w:t>
      </w:r>
    </w:p>
    <w:p>
      <w:pPr>
        <w:spacing w:after="0" w:line="177" w:lineRule="exact"/>
        <w:rPr>
          <w:sz w:val="20"/>
          <w:szCs w:val="20"/>
          <w:color w:val="auto"/>
        </w:rPr>
      </w:pPr>
    </w:p>
    <w:p>
      <w:pPr>
        <w:ind w:right="3099"/>
        <w:spacing w:after="0" w:line="268" w:lineRule="auto"/>
        <w:rPr>
          <w:sz w:val="20"/>
          <w:szCs w:val="20"/>
          <w:color w:val="auto"/>
        </w:rPr>
      </w:pPr>
      <w:r>
        <w:rPr>
          <w:rFonts w:ascii="Courier New" w:cs="Courier New" w:eastAsia="Courier New" w:hAnsi="Courier New"/>
          <w:sz w:val="15"/>
          <w:szCs w:val="15"/>
          <w:color w:val="auto"/>
        </w:rPr>
        <w:t>Net revenues for manufactured products were $458,909,000 for fiscal 1995 an increase of $26,503,000, or 6.1 percent, from fiscal 1994. Motor home shipments (Classes A, B, and C) during fiscal 1995 were 9,860 units, an increase of 802 units, or 8.9 percent, compared to fiscal 1994. The relatively higher growth in unit sales was due to an increase in volume of the lower-priced Class C models and the favorable market acceptance of the Class B model.</w:t>
      </w:r>
    </w:p>
    <w:p>
      <w:pPr>
        <w:spacing w:after="0" w:line="75" w:lineRule="exact"/>
        <w:rPr>
          <w:sz w:val="20"/>
          <w:szCs w:val="20"/>
          <w:color w:val="auto"/>
        </w:rPr>
      </w:pPr>
    </w:p>
    <w:p>
      <w:pPr>
        <w:ind w:right="3099"/>
        <w:spacing w:after="0" w:line="285" w:lineRule="auto"/>
        <w:rPr>
          <w:sz w:val="20"/>
          <w:szCs w:val="20"/>
          <w:color w:val="auto"/>
        </w:rPr>
      </w:pPr>
      <w:r>
        <w:rPr>
          <w:rFonts w:ascii="Courier New" w:cs="Courier New" w:eastAsia="Courier New" w:hAnsi="Courier New"/>
          <w:sz w:val="15"/>
          <w:szCs w:val="15"/>
          <w:color w:val="auto"/>
        </w:rPr>
        <w:t>Finance revenues were $1,220,000 for fiscal 1995 an increase of $389,000, or 46.8 percent from fiscal 1994. The increase can be attributed to an increase in the average dealer receivable balances during fiscal 1995 when compared to fiscal 1994.</w:t>
      </w:r>
    </w:p>
    <w:p>
      <w:pPr>
        <w:spacing w:after="0" w:line="60" w:lineRule="exact"/>
        <w:rPr>
          <w:sz w:val="20"/>
          <w:szCs w:val="20"/>
          <w:color w:val="auto"/>
        </w:rPr>
      </w:pPr>
    </w:p>
    <w:p>
      <w:pPr>
        <w:ind w:right="3099"/>
        <w:spacing w:after="0" w:line="285" w:lineRule="auto"/>
        <w:rPr>
          <w:sz w:val="20"/>
          <w:szCs w:val="20"/>
          <w:color w:val="auto"/>
        </w:rPr>
      </w:pPr>
      <w:r>
        <w:rPr>
          <w:rFonts w:ascii="Courier New" w:cs="Courier New" w:eastAsia="Courier New" w:hAnsi="Courier New"/>
          <w:sz w:val="15"/>
          <w:szCs w:val="15"/>
          <w:color w:val="auto"/>
        </w:rPr>
        <w:t>Cost of manufactured products, as a percent of manufactured product revenues, was 86.7 percent for fiscal 1995 compared to 86.0 percent for fiscal 1994. This increase primarily reflects the shift in mix during fiscal 1995 from Class A to Class C motor homes, which typically carry lower margins.</w:t>
      </w:r>
    </w:p>
    <w:p>
      <w:pPr>
        <w:spacing w:after="0" w:line="60" w:lineRule="exact"/>
        <w:rPr>
          <w:sz w:val="20"/>
          <w:szCs w:val="20"/>
          <w:color w:val="auto"/>
        </w:rPr>
      </w:pPr>
    </w:p>
    <w:p>
      <w:pPr>
        <w:ind w:right="3019"/>
        <w:spacing w:after="0" w:line="285" w:lineRule="auto"/>
        <w:rPr>
          <w:sz w:val="20"/>
          <w:szCs w:val="20"/>
          <w:color w:val="auto"/>
        </w:rPr>
      </w:pPr>
      <w:r>
        <w:rPr>
          <w:rFonts w:ascii="Courier New" w:cs="Courier New" w:eastAsia="Courier New" w:hAnsi="Courier New"/>
          <w:sz w:val="15"/>
          <w:szCs w:val="15"/>
          <w:color w:val="auto"/>
        </w:rPr>
        <w:t>Selling and delivery expenses remained fairly stable in fiscal 1995 as compared to fiscal 1994 and decreased in fiscal 1995, as a percentage of net revenues, to 5.5 percent in fiscal 1995 from 5.9 percent in fiscal 1994, primarily due to increased revenue during fiscal 1995.</w:t>
      </w:r>
    </w:p>
    <w:p>
      <w:pPr>
        <w:spacing w:after="0" w:line="60" w:lineRule="exact"/>
        <w:rPr>
          <w:sz w:val="20"/>
          <w:szCs w:val="20"/>
          <w:color w:val="auto"/>
        </w:rPr>
      </w:pPr>
    </w:p>
    <w:p>
      <w:pPr>
        <w:ind w:right="3019"/>
        <w:spacing w:after="0" w:line="286" w:lineRule="auto"/>
        <w:rPr>
          <w:sz w:val="20"/>
          <w:szCs w:val="20"/>
          <w:color w:val="auto"/>
        </w:rPr>
      </w:pPr>
      <w:r>
        <w:rPr>
          <w:rFonts w:ascii="Courier New" w:cs="Courier New" w:eastAsia="Courier New" w:hAnsi="Courier New"/>
          <w:sz w:val="14"/>
          <w:szCs w:val="14"/>
          <w:color w:val="auto"/>
        </w:rPr>
        <w:t>General and administrative expenses decreased by $1,419,000 to $18,951,000 comparing fiscal 1995 to fiscal 1994 and decreased as a percentage of net revenues to 4.1 percent from 4.7 percent. The decrease in dollars primarily reflects a reduction in the Company's provisions for its retirement programs and an increase in lease income from the Company's public warehousing activities, offset partially by increases in the Company's provisions for product liability expenses and increases in Winnebago Industries Europe GmbH (WIE) spending.</w:t>
      </w:r>
    </w:p>
    <w:p>
      <w:pPr>
        <w:spacing w:after="0" w:line="64" w:lineRule="exact"/>
        <w:rPr>
          <w:sz w:val="20"/>
          <w:szCs w:val="20"/>
          <w:color w:val="auto"/>
        </w:rPr>
      </w:pPr>
    </w:p>
    <w:p>
      <w:pPr>
        <w:ind w:right="3019"/>
        <w:spacing w:after="0" w:line="259" w:lineRule="auto"/>
        <w:rPr>
          <w:sz w:val="20"/>
          <w:szCs w:val="20"/>
          <w:color w:val="auto"/>
        </w:rPr>
      </w:pPr>
      <w:r>
        <w:rPr>
          <w:rFonts w:ascii="Courier New" w:cs="Courier New" w:eastAsia="Courier New" w:hAnsi="Courier New"/>
          <w:sz w:val="15"/>
          <w:szCs w:val="15"/>
          <w:color w:val="auto"/>
        </w:rPr>
        <w:t>For fiscal 1995, the Company had net financial income of $2,114,000 compared to net financial expense of $160,000 during fiscal 1994. During fiscal 1995, the Company recorded foreign currency transaction gains of $1,213,000, $559,000 of net interest income and $342,000 of realized and unrealized gains in its trading securities portfolio. During fiscal 1994, the Company recorded an interest payment to the Internal Revenue Service of $419,000 relating to the resolution of income tax issues, $395,000 of realized and unrealized losses in its trading securities portfolio and foreign currency transaction losses of $88,000. Offsetting this partially was net interest income of $742,000.</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fiscal 1995, the Company had income from continuing operations before taxes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$20,006,000 compared to $15,264,000 for fiscal 1994. During fiscal 1995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the Company recorded credits for income taxes of $7,912,000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$1,312,000, respectively. These credits were the result of reductions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deferred tax asset valuation allowance.</w:t>
      </w:r>
    </w:p>
    <w:p>
      <w:pPr>
        <w:spacing w:after="0" w:line="149" w:lineRule="exact"/>
        <w:rPr>
          <w:sz w:val="20"/>
          <w:szCs w:val="20"/>
          <w:color w:val="auto"/>
        </w:rPr>
      </w:pPr>
    </w:p>
    <w:p>
      <w:pPr>
        <w:ind w:right="3099"/>
        <w:spacing w:after="0" w:line="305" w:lineRule="auto"/>
        <w:rPr>
          <w:sz w:val="20"/>
          <w:szCs w:val="20"/>
          <w:color w:val="auto"/>
        </w:rPr>
      </w:pPr>
      <w:r>
        <w:rPr>
          <w:rFonts w:ascii="Courier New" w:cs="Courier New" w:eastAsia="Courier New" w:hAnsi="Courier New"/>
          <w:sz w:val="15"/>
          <w:szCs w:val="15"/>
          <w:color w:val="auto"/>
        </w:rPr>
        <w:t>During fiscal 1995, the Company reported a loss from discontinued operations of $162,000 compared to an income of $869,000 during fiscal 1994. (See Note 2 of the Company's 1996 Consolidated Financial Statements.)</w:t>
      </w:r>
    </w:p>
    <w:p>
      <w:pPr>
        <w:spacing w:after="0" w:line="46" w:lineRule="exact"/>
        <w:rPr>
          <w:sz w:val="20"/>
          <w:szCs w:val="20"/>
          <w:color w:val="auto"/>
        </w:rPr>
      </w:pPr>
    </w:p>
    <w:p>
      <w:pPr>
        <w:ind w:right="3099"/>
        <w:spacing w:after="0" w:line="305" w:lineRule="auto"/>
        <w:rPr>
          <w:sz w:val="20"/>
          <w:szCs w:val="20"/>
          <w:color w:val="auto"/>
        </w:rPr>
      </w:pPr>
      <w:r>
        <w:rPr>
          <w:rFonts w:ascii="Courier New" w:cs="Courier New" w:eastAsia="Courier New" w:hAnsi="Courier New"/>
          <w:sz w:val="15"/>
          <w:szCs w:val="15"/>
          <w:color w:val="auto"/>
        </w:rPr>
        <w:t>In fiscal 1994, the Company was required to adopt FASB Statement No. 106, "Employer's Accounting for Postretirement Benefits Other Than Pensions" related to health care and other benefits. This change in accounting</w:t>
      </w:r>
    </w:p>
    <w:p>
      <w:pPr>
        <w:spacing w:after="0" w:line="21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27</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 resulted in a cumulative noncash charge at the beginning of fiscal</w:t>
      </w:r>
    </w:p>
    <w:p>
      <w:pPr>
        <w:sectPr>
          <w:pgSz w:w="11900" w:h="16838" w:orient="portrait"/>
          <w:cols w:equalWidth="0" w:num="1">
            <w:col w:w="10219"/>
          </w:cols>
          <w:pgMar w:left="240" w:top="287" w:right="1440" w:bottom="0" w:gutter="0" w:footer="0" w:header="0"/>
        </w:sectPr>
      </w:pPr>
    </w:p>
    <w:bookmarkStart w:id="71" w:name="page72"/>
    <w:bookmarkEnd w:id="71"/>
    <w:p>
      <w:pPr>
        <w:spacing w:after="0"/>
        <w:rPr>
          <w:sz w:val="20"/>
          <w:szCs w:val="20"/>
          <w:color w:val="auto"/>
        </w:rPr>
      </w:pPr>
      <w:r>
        <w:rPr>
          <w:rFonts w:ascii="Courier New" w:cs="Courier New" w:eastAsia="Courier New" w:hAnsi="Courier New"/>
          <w:sz w:val="15"/>
          <w:szCs w:val="15"/>
          <w:color w:val="auto"/>
        </w:rPr>
        <w:t>1994 of $20,420,000, or $.81 per share.</w:t>
      </w:r>
    </w:p>
    <w:p>
      <w:pPr>
        <w:spacing w:after="0" w:line="177" w:lineRule="exact"/>
        <w:rPr>
          <w:sz w:val="20"/>
          <w:szCs w:val="20"/>
          <w:color w:val="auto"/>
        </w:rPr>
      </w:pPr>
    </w:p>
    <w:p>
      <w:pPr>
        <w:ind w:right="3099"/>
        <w:spacing w:after="0" w:line="365" w:lineRule="auto"/>
        <w:rPr>
          <w:sz w:val="20"/>
          <w:szCs w:val="20"/>
          <w:color w:val="auto"/>
        </w:rPr>
      </w:pPr>
      <w:r>
        <w:rPr>
          <w:rFonts w:ascii="Courier New" w:cs="Courier New" w:eastAsia="Courier New" w:hAnsi="Courier New"/>
          <w:sz w:val="15"/>
          <w:szCs w:val="15"/>
          <w:color w:val="auto"/>
        </w:rPr>
        <w:t>For fiscal 1995, the Company had net income of $27,756,000, or $1.10 per share, compared to fiscal 1994's net loss of $2,975,000, or $.12 per share.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ANALYSIS OF FINANCIAL CONDITION, LIQUIDITY AND RESOURCES</w:t>
      </w:r>
    </w:p>
    <w:p>
      <w:pPr>
        <w:spacing w:after="0" w:line="177" w:lineRule="exact"/>
        <w:rPr>
          <w:sz w:val="20"/>
          <w:szCs w:val="20"/>
          <w:color w:val="auto"/>
        </w:rPr>
      </w:pPr>
    </w:p>
    <w:p>
      <w:pPr>
        <w:ind w:right="3019"/>
        <w:spacing w:after="0" w:line="305" w:lineRule="auto"/>
        <w:rPr>
          <w:sz w:val="20"/>
          <w:szCs w:val="20"/>
          <w:color w:val="auto"/>
        </w:rPr>
      </w:pPr>
      <w:r>
        <w:rPr>
          <w:rFonts w:ascii="Courier New" w:cs="Courier New" w:eastAsia="Courier New" w:hAnsi="Courier New"/>
          <w:sz w:val="15"/>
          <w:szCs w:val="15"/>
          <w:color w:val="auto"/>
        </w:rPr>
        <w:t>The Company meets its working capital and capital equipment requirements and cash requirements of subsidiaries with funds generated internally and funds from agreements with financial institutions.</w:t>
      </w:r>
    </w:p>
    <w:p>
      <w:pPr>
        <w:spacing w:after="0" w:line="46" w:lineRule="exact"/>
        <w:rPr>
          <w:sz w:val="20"/>
          <w:szCs w:val="20"/>
          <w:color w:val="auto"/>
        </w:rPr>
      </w:pPr>
    </w:p>
    <w:p>
      <w:pPr>
        <w:ind w:right="3019"/>
        <w:spacing w:after="0" w:line="272" w:lineRule="auto"/>
        <w:rPr>
          <w:sz w:val="20"/>
          <w:szCs w:val="20"/>
          <w:color w:val="auto"/>
        </w:rPr>
      </w:pPr>
      <w:r>
        <w:rPr>
          <w:rFonts w:ascii="Courier New" w:cs="Courier New" w:eastAsia="Courier New" w:hAnsi="Courier New"/>
          <w:sz w:val="14"/>
          <w:szCs w:val="14"/>
          <w:color w:val="auto"/>
        </w:rPr>
        <w:t>At August 31, 1996, working capital was $62,155,000, a decrease of $7,539,000 from the amount at August 26, 1995. Cash provided by operations was $17,258,000, $25,404,000 and $2,022,000 during fiscal years ended August 31, 1996, August 26, 1995, and August 27, 1994, respectively. Operating cash flows were lower in fiscal 1996 and fiscal 1995, due primarily to increases in inventory levels. Cash flows used by investing activities, which includes investments in dealer receivables, long-term notes receivables, and capital expenditures, amounted to $14,950,000, $15,031,000, and $14,369,000 for the fiscal years ended August 31, 1996, August 26, 1995, and August 27, 1994, respectively. Capital expenditures were $10,463,000 in fiscal 1996, $9,348,000 in fiscal 1995, and $9,532,000 in fiscal 1994. Net cash used by financing activities was $10,019,000 in fiscal 1996 and $2,712,000 in fiscal 1995 compared to cash provided by financing activities of $1,956,000 during fiscal 1994. The change from cash provided in fiscal 1994 to cash used in fiscal years 1995 and 1996 is primarily the result of the Company's decision to resume dividend payments to shareholders in fiscal 1995. (See Consolidated Statements of Cash Flows.)</w:t>
      </w:r>
    </w:p>
    <w:p>
      <w:pPr>
        <w:spacing w:after="0" w:line="251" w:lineRule="exact"/>
        <w:rPr>
          <w:sz w:val="20"/>
          <w:szCs w:val="20"/>
          <w:color w:val="auto"/>
        </w:rPr>
      </w:pPr>
    </w:p>
    <w:p>
      <w:pPr>
        <w:ind w:right="3099"/>
        <w:spacing w:after="0" w:line="305" w:lineRule="auto"/>
        <w:rPr>
          <w:sz w:val="20"/>
          <w:szCs w:val="20"/>
          <w:color w:val="auto"/>
        </w:rPr>
      </w:pPr>
      <w:r>
        <w:rPr>
          <w:rFonts w:ascii="Courier New" w:cs="Courier New" w:eastAsia="Courier New" w:hAnsi="Courier New"/>
          <w:sz w:val="15"/>
          <w:szCs w:val="15"/>
          <w:color w:val="auto"/>
        </w:rPr>
        <w:t>The Company's sources of liquidity consisted principally of cash and marketable securities in the amount of $5,113,000 at August 31, 1996 compared to $10,652,000 at August 26, 1995.</w:t>
      </w:r>
    </w:p>
    <w:p>
      <w:pPr>
        <w:spacing w:after="0" w:line="46" w:lineRule="exact"/>
        <w:rPr>
          <w:sz w:val="20"/>
          <w:szCs w:val="20"/>
          <w:color w:val="auto"/>
        </w:rPr>
      </w:pPr>
    </w:p>
    <w:p>
      <w:pPr>
        <w:ind w:right="3019"/>
        <w:spacing w:after="0" w:line="298" w:lineRule="auto"/>
        <w:rPr>
          <w:sz w:val="20"/>
          <w:szCs w:val="20"/>
          <w:color w:val="auto"/>
        </w:rPr>
      </w:pPr>
      <w:r>
        <w:rPr>
          <w:rFonts w:ascii="Courier New" w:cs="Courier New" w:eastAsia="Courier New" w:hAnsi="Courier New"/>
          <w:sz w:val="14"/>
          <w:szCs w:val="14"/>
          <w:color w:val="auto"/>
        </w:rPr>
        <w:t>The Company anticipates that during fiscal 1997 the sale of Cycle-Sat to WilTech Group will be completed, and will result in gross proceeds of approximately $57,000,000. Expected demands on these proceeds include payments of approximately $16,000,000 to pay liabilities retained by the Company, income tax provisions of $14,000,000 and payments to minority shareholders of $8,000,000.</w:t>
      </w:r>
    </w:p>
    <w:p>
      <w:pPr>
        <w:spacing w:after="0" w:line="56" w:lineRule="exact"/>
        <w:rPr>
          <w:sz w:val="20"/>
          <w:szCs w:val="20"/>
          <w:color w:val="auto"/>
        </w:rPr>
      </w:pPr>
    </w:p>
    <w:p>
      <w:pPr>
        <w:ind w:right="3019"/>
        <w:spacing w:after="0" w:line="262" w:lineRule="auto"/>
        <w:rPr>
          <w:sz w:val="20"/>
          <w:szCs w:val="20"/>
          <w:color w:val="auto"/>
        </w:rPr>
      </w:pPr>
      <w:r>
        <w:rPr>
          <w:rFonts w:ascii="Courier New" w:cs="Courier New" w:eastAsia="Courier New" w:hAnsi="Courier New"/>
          <w:sz w:val="15"/>
          <w:szCs w:val="15"/>
          <w:color w:val="auto"/>
        </w:rPr>
        <w:t>The Company also has available a line of credit for $30,000,000, (or 75 percent of eligible inventory, whichever is less) through a financing and security agreement with NationsCredit Corporation. There were no outstanding borrowings under the line of credit at August 31, 1996. Additionally, Cycle-Sat has a line of credit for $4,500,000 (or the sum of the base of 80 percent of Cycle-Sat eligible accounts receivable and 50 percent of its inventory, whichever is less) with Firstar Bank Cedar Rapids, NA. Cycle-Sat had no unused borrowings available under the line of credit at August 31, 1996. (See Note 9.)</w:t>
      </w:r>
    </w:p>
    <w:p>
      <w:pPr>
        <w:spacing w:after="0" w:line="76" w:lineRule="exact"/>
        <w:rPr>
          <w:sz w:val="20"/>
          <w:szCs w:val="20"/>
          <w:color w:val="auto"/>
        </w:rPr>
      </w:pPr>
    </w:p>
    <w:p>
      <w:pPr>
        <w:jc w:val="both"/>
        <w:ind w:right="3019"/>
        <w:spacing w:after="0" w:line="285" w:lineRule="auto"/>
        <w:rPr>
          <w:sz w:val="20"/>
          <w:szCs w:val="20"/>
          <w:color w:val="auto"/>
        </w:rPr>
      </w:pPr>
      <w:r>
        <w:rPr>
          <w:rFonts w:ascii="Courier New" w:cs="Courier New" w:eastAsia="Courier New" w:hAnsi="Courier New"/>
          <w:sz w:val="15"/>
          <w:szCs w:val="15"/>
          <w:color w:val="auto"/>
        </w:rPr>
        <w:t>Principal expected demands at August 31, 1996 on the Company's liquid assets for fiscal 1997 include approximately $8,900,000 of capital expenditures (primarily equipment replacements), payments on maturities of long-term debt of $1,900,000 and payment of cash dividends.</w:t>
      </w:r>
    </w:p>
    <w:p>
      <w:pPr>
        <w:spacing w:after="0" w:line="60" w:lineRule="exact"/>
        <w:rPr>
          <w:sz w:val="20"/>
          <w:szCs w:val="20"/>
          <w:color w:val="auto"/>
        </w:rPr>
      </w:pPr>
    </w:p>
    <w:p>
      <w:pPr>
        <w:ind w:right="3099"/>
        <w:spacing w:after="0" w:line="305" w:lineRule="auto"/>
        <w:rPr>
          <w:sz w:val="20"/>
          <w:szCs w:val="20"/>
          <w:color w:val="auto"/>
        </w:rPr>
      </w:pPr>
      <w:r>
        <w:rPr>
          <w:rFonts w:ascii="Courier New" w:cs="Courier New" w:eastAsia="Courier New" w:hAnsi="Courier New"/>
          <w:sz w:val="15"/>
          <w:szCs w:val="15"/>
          <w:color w:val="auto"/>
        </w:rPr>
        <w:t>Management currently expects its cash on hand, funds from operations and borrowings available under existing credit facilities to be sufficient to cover both short-term and long-term operating requirements.</w:t>
      </w:r>
    </w:p>
    <w:p>
      <w:pPr>
        <w:spacing w:after="0" w:line="21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28</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PENDING ACCOUNTING PRONOUNCEMENTS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Impairment of Long-Lived Assets</w:t>
      </w:r>
    </w:p>
    <w:p>
      <w:pPr>
        <w:spacing w:after="0" w:line="149" w:lineRule="exact"/>
        <w:rPr>
          <w:sz w:val="20"/>
          <w:szCs w:val="20"/>
          <w:color w:val="auto"/>
        </w:rPr>
      </w:pPr>
    </w:p>
    <w:p>
      <w:pPr>
        <w:ind w:right="3019"/>
        <w:spacing w:after="0" w:line="285" w:lineRule="auto"/>
        <w:rPr>
          <w:sz w:val="20"/>
          <w:szCs w:val="20"/>
          <w:color w:val="auto"/>
        </w:rPr>
      </w:pPr>
      <w:r>
        <w:rPr>
          <w:rFonts w:ascii="Courier New" w:cs="Courier New" w:eastAsia="Courier New" w:hAnsi="Courier New"/>
          <w:sz w:val="15"/>
          <w:szCs w:val="15"/>
          <w:color w:val="auto"/>
        </w:rPr>
        <w:t>Statement of Financial Accounting Standards ("SFAS") No. 121, "Accounting for the Impairment of Long-Lived Assets and for Long-Lived Assets to be Disposed Of" was issued in March, 1995 and must be adopted no later than fiscal 1997. The Company is in the process of evaluating the impact of this statement.</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7" w:lineRule="exact"/>
        <w:rPr>
          <w:sz w:val="20"/>
          <w:szCs w:val="20"/>
          <w:color w:val="auto"/>
        </w:rPr>
      </w:pPr>
    </w:p>
    <w:p>
      <w:pPr>
        <w:ind w:right="3019"/>
        <w:spacing w:after="0" w:line="262" w:lineRule="auto"/>
        <w:rPr>
          <w:sz w:val="20"/>
          <w:szCs w:val="20"/>
          <w:color w:val="auto"/>
        </w:rPr>
      </w:pPr>
      <w:r>
        <w:rPr>
          <w:rFonts w:ascii="Courier New" w:cs="Courier New" w:eastAsia="Courier New" w:hAnsi="Courier New"/>
          <w:sz w:val="15"/>
          <w:szCs w:val="15"/>
          <w:color w:val="auto"/>
        </w:rPr>
        <w:t>SFAS No. 123, "Accounting for Stock-Based Compensation," was issued in October, 1995 and must be adopted no later than fiscal 1997. The statement requires the use of fair values to measure stock-based compensation for non-employees, and recommends, but does not require, the use of such methods for employee stock-based compensation. The adoption of SFAS No. 123 will have no significant effect on net earnings. The Company intends to continue to measure compensation cost for employee stock compensation plans under APB Opinion No. 25, "Accounting for Stock Issued to Employees."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INFLATION</w:t>
      </w:r>
    </w:p>
    <w:p>
      <w:pPr>
        <w:spacing w:after="0" w:line="177" w:lineRule="exact"/>
        <w:rPr>
          <w:sz w:val="20"/>
          <w:szCs w:val="20"/>
          <w:color w:val="auto"/>
        </w:rPr>
      </w:pPr>
    </w:p>
    <w:p>
      <w:pPr>
        <w:ind w:right="3199"/>
        <w:spacing w:after="0" w:line="285" w:lineRule="auto"/>
        <w:rPr>
          <w:sz w:val="20"/>
          <w:szCs w:val="20"/>
          <w:color w:val="auto"/>
        </w:rPr>
      </w:pPr>
      <w:r>
        <w:rPr>
          <w:rFonts w:ascii="Courier New" w:cs="Courier New" w:eastAsia="Courier New" w:hAnsi="Courier New"/>
          <w:sz w:val="15"/>
          <w:szCs w:val="15"/>
          <w:color w:val="auto"/>
        </w:rPr>
        <w:t>Historically, the impact of inflation on the Company's operations has not been significantly detrimental, as the Company has usually been able to adjust its prices to reflect the inflationary impact on the cost of manufacturing its product.</w:t>
      </w:r>
    </w:p>
    <w:p>
      <w:pPr>
        <w:spacing w:after="0" w:line="23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29</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FINANCIAL DATA(1)</w:t>
      </w:r>
    </w:p>
    <w:p>
      <w:pPr>
        <w:sectPr>
          <w:pgSz w:w="11900" w:h="16838" w:orient="portrait"/>
          <w:cols w:equalWidth="0" w:num="1">
            <w:col w:w="10219"/>
          </w:cols>
          <w:pgMar w:left="240" w:top="113" w:right="1440" w:bottom="0" w:gutter="0" w:footer="0" w:header="0"/>
        </w:sectPr>
      </w:pPr>
    </w:p>
    <w:p>
      <w:pPr>
        <w:spacing w:after="0" w:line="200" w:lineRule="exact"/>
        <w:rPr>
          <w:sz w:val="20"/>
          <w:szCs w:val="20"/>
          <w:color w:val="auto"/>
        </w:rPr>
      </w:pPr>
    </w:p>
    <w:p>
      <w:pPr>
        <w:spacing w:after="0" w:line="324" w:lineRule="exact"/>
        <w:rPr>
          <w:sz w:val="20"/>
          <w:szCs w:val="20"/>
          <w:color w:val="auto"/>
        </w:rPr>
      </w:pPr>
    </w:p>
    <w:p>
      <w:pPr>
        <w:ind w:left="5040"/>
        <w:spacing w:after="0"/>
        <w:tabs>
          <w:tab w:leader="none" w:pos="6640" w:val="left"/>
          <w:tab w:leader="none" w:pos="8180" w:val="left"/>
        </w:tabs>
        <w:rPr>
          <w:sz w:val="20"/>
          <w:szCs w:val="20"/>
          <w:color w:val="auto"/>
        </w:rPr>
      </w:pPr>
      <w:r>
        <w:rPr>
          <w:rFonts w:ascii="Courier New" w:cs="Courier New" w:eastAsia="Courier New" w:hAnsi="Courier New"/>
          <w:sz w:val="15"/>
          <w:szCs w:val="15"/>
          <w:color w:val="auto"/>
        </w:rPr>
        <w:t>August 31,</w:t>
      </w:r>
      <w:r>
        <w:rPr>
          <w:sz w:val="20"/>
          <w:szCs w:val="20"/>
          <w:color w:val="auto"/>
        </w:rPr>
        <w:tab/>
      </w:r>
      <w:r>
        <w:rPr>
          <w:rFonts w:ascii="Courier New" w:cs="Courier New" w:eastAsia="Courier New" w:hAnsi="Courier New"/>
          <w:sz w:val="15"/>
          <w:szCs w:val="15"/>
          <w:color w:val="auto"/>
        </w:rPr>
        <w:t>August 26,</w:t>
      </w:r>
      <w:r>
        <w:rPr>
          <w:sz w:val="20"/>
          <w:szCs w:val="20"/>
          <w:color w:val="auto"/>
        </w:rPr>
        <w:tab/>
      </w:r>
      <w:r>
        <w:rPr>
          <w:rFonts w:ascii="Courier New" w:cs="Courier New" w:eastAsia="Courier New" w:hAnsi="Courier New"/>
          <w:sz w:val="14"/>
          <w:szCs w:val="14"/>
          <w:color w:val="auto"/>
        </w:rPr>
        <w:t>August 27,</w:t>
      </w:r>
    </w:p>
    <w:p>
      <w:pPr>
        <w:sectPr>
          <w:pgSz w:w="11900" w:h="16838" w:orient="portrait"/>
          <w:cols w:equalWidth="0" w:num="1">
            <w:col w:w="10219"/>
          </w:cols>
          <w:pgMar w:left="240" w:top="113" w:right="1440" w:bottom="0" w:gutter="0" w:footer="0" w:header="0"/>
          <w:type w:val="continuous"/>
        </w:sectPr>
      </w:pPr>
    </w:p>
    <w:bookmarkStart w:id="72" w:name="page73"/>
    <w:bookmarkEnd w:id="72"/>
    <w:p>
      <w:pPr>
        <w:spacing w:after="0" w:line="28" w:lineRule="exact"/>
        <w:rPr>
          <w:sz w:val="20"/>
          <w:szCs w:val="20"/>
          <w:color w:val="auto"/>
        </w:rPr>
      </w:pPr>
    </w:p>
    <w:tbl>
      <w:tblPr>
        <w:tblLayout w:type="fixed"/>
        <w:tblInd w:w="8" w:type="dxa"/>
        <w:tblCellMar>
          <w:top w:w="0" w:type="dxa"/>
          <w:left w:w="0" w:type="dxa"/>
          <w:bottom w:w="0" w:type="dxa"/>
          <w:right w:w="0" w:type="dxa"/>
        </w:tblCellMar>
      </w:tblPr>
      <w:tr>
        <w:trPr>
          <w:trHeight w:val="201"/>
        </w:trPr>
        <w:tc>
          <w:tcPr>
            <w:tcW w:w="4680" w:type="dxa"/>
            <w:vAlign w:val="bottom"/>
          </w:tcPr>
          <w:p>
            <w:pPr>
              <w:spacing w:after="0"/>
              <w:rPr>
                <w:sz w:val="20"/>
                <w:szCs w:val="20"/>
                <w:color w:val="auto"/>
              </w:rPr>
            </w:pPr>
            <w:r>
              <w:rPr>
                <w:rFonts w:ascii="Courier New" w:cs="Courier New" w:eastAsia="Courier New" w:hAnsi="Courier New"/>
                <w:sz w:val="15"/>
                <w:szCs w:val="15"/>
                <w:color w:val="auto"/>
              </w:rPr>
              <w:t>(dollars in thousands, except per share data)</w:t>
            </w:r>
          </w:p>
        </w:tc>
        <w:tc>
          <w:tcPr>
            <w:tcW w:w="16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1996</w:t>
            </w:r>
          </w:p>
        </w:tc>
        <w:tc>
          <w:tcPr>
            <w:tcW w:w="15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bl>
    <w:p>
      <w:pPr>
        <w:ind w:left="8"/>
        <w:spacing w:after="0"/>
        <w:rPr>
          <w:sz w:val="20"/>
          <w:szCs w:val="20"/>
          <w:color w:val="auto"/>
        </w:rPr>
      </w:pPr>
      <w:r>
        <w:rPr>
          <w:rFonts w:ascii="Courier New" w:cs="Courier New" w:eastAsia="Courier New" w:hAnsi="Courier New"/>
          <w:sz w:val="15"/>
          <w:szCs w:val="15"/>
          <w:color w:val="auto"/>
        </w:rPr>
        <w:t>- --------------------------------------------------- ----------------- ----------------- --------------</w:t>
      </w:r>
    </w:p>
    <w:p>
      <w:pPr>
        <w:spacing w:after="0" w:line="149"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440" w:type="dxa"/>
            <w:vAlign w:val="bottom"/>
            <w:vMerge w:val="restart"/>
          </w:tcPr>
          <w:p>
            <w:pPr>
              <w:ind w:left="36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w w:val="98"/>
              </w:rPr>
              <w:t>483,398</w:t>
            </w:r>
          </w:p>
        </w:tc>
        <w:tc>
          <w:tcPr>
            <w:tcW w:w="1680" w:type="dxa"/>
            <w:vAlign w:val="bottom"/>
            <w:gridSpan w:val="2"/>
            <w:vMerge w:val="restart"/>
          </w:tcPr>
          <w:p>
            <w:pPr>
              <w:jc w:val="right"/>
              <w:ind w:right="425"/>
              <w:spacing w:after="0"/>
              <w:rPr>
                <w:sz w:val="20"/>
                <w:szCs w:val="20"/>
                <w:color w:val="auto"/>
              </w:rPr>
            </w:pPr>
            <w:r>
              <w:rPr>
                <w:rFonts w:ascii="Courier New" w:cs="Courier New" w:eastAsia="Courier New" w:hAnsi="Courier New"/>
                <w:sz w:val="15"/>
                <w:szCs w:val="15"/>
                <w:color w:val="auto"/>
              </w:rPr>
              <w:t>$458,909</w:t>
            </w:r>
          </w:p>
        </w:tc>
        <w:tc>
          <w:tcPr>
            <w:tcW w:w="480" w:type="dxa"/>
            <w:vAlign w:val="bottom"/>
            <w:vMerge w:val="restart"/>
          </w:tcPr>
          <w:p>
            <w:pPr>
              <w:ind w:left="4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432,406</w:t>
            </w:r>
          </w:p>
        </w:tc>
        <w:tc>
          <w:tcPr>
            <w:tcW w:w="0" w:type="dxa"/>
            <w:vAlign w:val="bottom"/>
          </w:tcPr>
          <w:p>
            <w:pPr>
              <w:spacing w:after="0"/>
              <w:rPr>
                <w:sz w:val="1"/>
                <w:szCs w:val="1"/>
                <w:color w:val="auto"/>
              </w:rPr>
            </w:pPr>
          </w:p>
        </w:tc>
      </w:tr>
      <w:tr>
        <w:trPr>
          <w:trHeight w:val="173"/>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rPr>
              <w:t>Manufactured products</w:t>
            </w:r>
          </w:p>
        </w:tc>
        <w:tc>
          <w:tcPr>
            <w:tcW w:w="4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rPr>
              <w:t>Finance</w:t>
            </w:r>
          </w:p>
        </w:tc>
        <w:tc>
          <w:tcPr>
            <w:tcW w:w="44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1,406</w:t>
            </w:r>
          </w:p>
        </w:tc>
        <w:tc>
          <w:tcPr>
            <w:tcW w:w="54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1,220</w:t>
            </w:r>
          </w:p>
        </w:tc>
        <w:tc>
          <w:tcPr>
            <w:tcW w:w="48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831</w:t>
            </w:r>
          </w:p>
        </w:tc>
        <w:tc>
          <w:tcPr>
            <w:tcW w:w="0" w:type="dxa"/>
            <w:vAlign w:val="bottom"/>
          </w:tcPr>
          <w:p>
            <w:pPr>
              <w:spacing w:after="0"/>
              <w:rPr>
                <w:sz w:val="1"/>
                <w:szCs w:val="1"/>
                <w:color w:val="auto"/>
              </w:rPr>
            </w:pPr>
          </w:p>
        </w:tc>
      </w:tr>
      <w:tr>
        <w:trPr>
          <w:trHeight w:val="173"/>
        </w:trPr>
        <w:tc>
          <w:tcPr>
            <w:tcW w:w="4780" w:type="dxa"/>
            <w:vAlign w:val="bottom"/>
          </w:tcPr>
          <w:p>
            <w:pPr>
              <w:ind w:left="540"/>
              <w:spacing w:after="0"/>
              <w:rPr>
                <w:sz w:val="20"/>
                <w:szCs w:val="20"/>
                <w:color w:val="auto"/>
              </w:rPr>
            </w:pPr>
            <w:r>
              <w:rPr>
                <w:rFonts w:ascii="Courier New" w:cs="Courier New" w:eastAsia="Courier New" w:hAnsi="Courier New"/>
                <w:sz w:val="15"/>
                <w:szCs w:val="15"/>
                <w:color w:val="auto"/>
              </w:rPr>
              <w:t>Total net revenues</w:t>
            </w:r>
          </w:p>
        </w:tc>
        <w:tc>
          <w:tcPr>
            <w:tcW w:w="44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484,804</w:t>
            </w:r>
          </w:p>
        </w:tc>
        <w:tc>
          <w:tcPr>
            <w:tcW w:w="54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8"/>
              </w:rPr>
              <w:t>460,129</w:t>
            </w:r>
          </w:p>
        </w:tc>
        <w:tc>
          <w:tcPr>
            <w:tcW w:w="48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433,237</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Income (loss) before taxes</w:t>
            </w:r>
          </w:p>
        </w:tc>
        <w:tc>
          <w:tcPr>
            <w:tcW w:w="44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21,063</w:t>
            </w:r>
          </w:p>
        </w:tc>
        <w:tc>
          <w:tcPr>
            <w:tcW w:w="54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20,006</w:t>
            </w:r>
          </w:p>
        </w:tc>
        <w:tc>
          <w:tcPr>
            <w:tcW w:w="48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15,264</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Provision (credit) for income taxes</w:t>
            </w:r>
          </w:p>
        </w:tc>
        <w:tc>
          <w:tcPr>
            <w:tcW w:w="44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6,639</w:t>
            </w:r>
          </w:p>
        </w:tc>
        <w:tc>
          <w:tcPr>
            <w:tcW w:w="540" w:type="dxa"/>
            <w:vAlign w:val="bottom"/>
          </w:tcPr>
          <w:p>
            <w:pPr>
              <w:spacing w:after="0"/>
              <w:rPr>
                <w:sz w:val="15"/>
                <w:szCs w:val="15"/>
                <w:color w:val="auto"/>
              </w:rPr>
            </w:pPr>
          </w:p>
        </w:tc>
        <w:tc>
          <w:tcPr>
            <w:tcW w:w="11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(7,912)</w:t>
            </w:r>
          </w:p>
        </w:tc>
        <w:tc>
          <w:tcPr>
            <w:tcW w:w="4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(1,312)</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44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14,424</w:t>
            </w:r>
          </w:p>
        </w:tc>
        <w:tc>
          <w:tcPr>
            <w:tcW w:w="54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27,918</w:t>
            </w:r>
          </w:p>
        </w:tc>
        <w:tc>
          <w:tcPr>
            <w:tcW w:w="48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16,576</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(Loss) income from discontinued operations</w:t>
            </w:r>
          </w:p>
        </w:tc>
        <w:tc>
          <w:tcPr>
            <w:tcW w:w="44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(2,039)</w:t>
            </w:r>
          </w:p>
        </w:tc>
        <w:tc>
          <w:tcPr>
            <w:tcW w:w="540" w:type="dxa"/>
            <w:vAlign w:val="bottom"/>
          </w:tcPr>
          <w:p>
            <w:pPr>
              <w:spacing w:after="0"/>
              <w:rPr>
                <w:sz w:val="15"/>
                <w:szCs w:val="15"/>
                <w:color w:val="auto"/>
              </w:rPr>
            </w:pPr>
          </w:p>
        </w:tc>
        <w:tc>
          <w:tcPr>
            <w:tcW w:w="11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(162)</w:t>
            </w:r>
          </w:p>
        </w:tc>
        <w:tc>
          <w:tcPr>
            <w:tcW w:w="48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869</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Cumulative effect of accounting change</w:t>
            </w:r>
          </w:p>
        </w:tc>
        <w:tc>
          <w:tcPr>
            <w:tcW w:w="44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(20,420)</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44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12,385</w:t>
            </w:r>
          </w:p>
        </w:tc>
        <w:tc>
          <w:tcPr>
            <w:tcW w:w="54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27,756</w:t>
            </w:r>
          </w:p>
        </w:tc>
        <w:tc>
          <w:tcPr>
            <w:tcW w:w="4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(2,975)</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440" w:type="dxa"/>
            <w:vAlign w:val="bottom"/>
          </w:tcPr>
          <w:p>
            <w:pPr>
              <w:spacing w:after="0"/>
              <w:rPr>
                <w:sz w:val="15"/>
                <w:szCs w:val="15"/>
                <w:color w:val="auto"/>
              </w:rPr>
            </w:pPr>
          </w:p>
        </w:tc>
        <w:tc>
          <w:tcPr>
            <w:tcW w:w="108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.57</w:t>
            </w:r>
          </w:p>
        </w:tc>
        <w:tc>
          <w:tcPr>
            <w:tcW w:w="540" w:type="dxa"/>
            <w:vAlign w:val="bottom"/>
          </w:tcPr>
          <w:p>
            <w:pPr>
              <w:spacing w:after="0"/>
              <w:rPr>
                <w:sz w:val="15"/>
                <w:szCs w:val="15"/>
                <w:color w:val="auto"/>
              </w:rPr>
            </w:pPr>
          </w:p>
        </w:tc>
        <w:tc>
          <w:tcPr>
            <w:tcW w:w="114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1.11</w:t>
            </w:r>
          </w:p>
        </w:tc>
        <w:tc>
          <w:tcPr>
            <w:tcW w:w="480" w:type="dxa"/>
            <w:vAlign w:val="bottom"/>
          </w:tcPr>
          <w:p>
            <w:pPr>
              <w:spacing w:after="0"/>
              <w:rPr>
                <w:sz w:val="15"/>
                <w:szCs w:val="15"/>
                <w:color w:val="auto"/>
              </w:rPr>
            </w:pPr>
          </w:p>
        </w:tc>
        <w:tc>
          <w:tcPr>
            <w:tcW w:w="7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.66</w:t>
            </w:r>
          </w:p>
        </w:tc>
        <w:tc>
          <w:tcPr>
            <w:tcW w:w="0" w:type="dxa"/>
            <w:vAlign w:val="bottom"/>
          </w:tcPr>
          <w:p>
            <w:pPr>
              <w:spacing w:after="0"/>
              <w:rPr>
                <w:sz w:val="1"/>
                <w:szCs w:val="1"/>
                <w:color w:val="auto"/>
              </w:rPr>
            </w:pP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Income (loss) from continuing operations</w:t>
            </w:r>
          </w:p>
        </w:tc>
        <w:tc>
          <w:tcPr>
            <w:tcW w:w="4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(Loss) income from discontinued operations</w:t>
            </w:r>
          </w:p>
        </w:tc>
        <w:tc>
          <w:tcPr>
            <w:tcW w:w="44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(.08)</w:t>
            </w:r>
          </w:p>
        </w:tc>
        <w:tc>
          <w:tcPr>
            <w:tcW w:w="540" w:type="dxa"/>
            <w:vAlign w:val="bottom"/>
          </w:tcPr>
          <w:p>
            <w:pPr>
              <w:spacing w:after="0"/>
              <w:rPr>
                <w:sz w:val="15"/>
                <w:szCs w:val="15"/>
                <w:color w:val="auto"/>
              </w:rPr>
            </w:pPr>
          </w:p>
        </w:tc>
        <w:tc>
          <w:tcPr>
            <w:tcW w:w="11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(.01)</w:t>
            </w:r>
          </w:p>
        </w:tc>
        <w:tc>
          <w:tcPr>
            <w:tcW w:w="48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Cumulative effect of accounting change</w:t>
            </w:r>
          </w:p>
        </w:tc>
        <w:tc>
          <w:tcPr>
            <w:tcW w:w="44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c>
          <w:tcPr>
            <w:tcW w:w="0" w:type="dxa"/>
            <w:vAlign w:val="bottom"/>
          </w:tcPr>
          <w:p>
            <w:pPr>
              <w:spacing w:after="0"/>
              <w:rPr>
                <w:sz w:val="1"/>
                <w:szCs w:val="1"/>
                <w:color w:val="auto"/>
              </w:rPr>
            </w:pP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Net income (loss)</w:t>
            </w:r>
          </w:p>
        </w:tc>
        <w:tc>
          <w:tcPr>
            <w:tcW w:w="440" w:type="dxa"/>
            <w:vAlign w:val="bottom"/>
            <w:vMerge w:val="restart"/>
          </w:tcPr>
          <w:p>
            <w:pPr>
              <w:ind w:left="36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.49</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1.10</w:t>
            </w:r>
          </w:p>
        </w:tc>
        <w:tc>
          <w:tcPr>
            <w:tcW w:w="480" w:type="dxa"/>
            <w:vAlign w:val="bottom"/>
            <w:vMerge w:val="restart"/>
          </w:tcPr>
          <w:p>
            <w:pPr>
              <w:ind w:left="4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Cash dividends per share</w:t>
            </w:r>
          </w:p>
        </w:tc>
        <w:tc>
          <w:tcPr>
            <w:tcW w:w="440" w:type="dxa"/>
            <w:vAlign w:val="bottom"/>
            <w:vMerge w:val="continue"/>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.30</w:t>
            </w:r>
          </w:p>
        </w:tc>
        <w:tc>
          <w:tcPr>
            <w:tcW w:w="540" w:type="dxa"/>
            <w:vAlign w:val="bottom"/>
            <w:vMerge w:val="continue"/>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.30</w:t>
            </w:r>
          </w:p>
        </w:tc>
        <w:tc>
          <w:tcPr>
            <w:tcW w:w="480" w:type="dxa"/>
            <w:vAlign w:val="bottom"/>
            <w:vMerge w:val="continue"/>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of common stock</w:t>
            </w:r>
          </w:p>
        </w:tc>
        <w:tc>
          <w:tcPr>
            <w:tcW w:w="440" w:type="dxa"/>
            <w:vAlign w:val="bottom"/>
          </w:tcPr>
          <w:p>
            <w:pPr>
              <w:spacing w:after="0"/>
              <w:rPr>
                <w:sz w:val="15"/>
                <w:szCs w:val="15"/>
                <w:color w:val="auto"/>
              </w:rPr>
            </w:pPr>
          </w:p>
        </w:tc>
        <w:tc>
          <w:tcPr>
            <w:tcW w:w="108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25,349</w:t>
            </w:r>
          </w:p>
        </w:tc>
        <w:tc>
          <w:tcPr>
            <w:tcW w:w="540" w:type="dxa"/>
            <w:vAlign w:val="bottom"/>
          </w:tcPr>
          <w:p>
            <w:pPr>
              <w:spacing w:after="0"/>
              <w:rPr>
                <w:sz w:val="15"/>
                <w:szCs w:val="15"/>
                <w:color w:val="auto"/>
              </w:rPr>
            </w:pPr>
          </w:p>
        </w:tc>
        <w:tc>
          <w:tcPr>
            <w:tcW w:w="114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25,286</w:t>
            </w:r>
          </w:p>
        </w:tc>
        <w:tc>
          <w:tcPr>
            <w:tcW w:w="480" w:type="dxa"/>
            <w:vAlign w:val="bottom"/>
          </w:tcPr>
          <w:p>
            <w:pPr>
              <w:spacing w:after="0"/>
              <w:rPr>
                <w:sz w:val="15"/>
                <w:szCs w:val="15"/>
                <w:color w:val="auto"/>
              </w:rPr>
            </w:pPr>
          </w:p>
        </w:tc>
        <w:tc>
          <w:tcPr>
            <w:tcW w:w="7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25,187</w:t>
            </w:r>
          </w:p>
        </w:tc>
        <w:tc>
          <w:tcPr>
            <w:tcW w:w="0" w:type="dxa"/>
            <w:vAlign w:val="bottom"/>
          </w:tcPr>
          <w:p>
            <w:pPr>
              <w:spacing w:after="0"/>
              <w:rPr>
                <w:sz w:val="1"/>
                <w:szCs w:val="1"/>
                <w:color w:val="auto"/>
              </w:rPr>
            </w:pPr>
          </w:p>
        </w:tc>
      </w:tr>
      <w:tr>
        <w:trPr>
          <w:trHeight w:val="255"/>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44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780" w:type="dxa"/>
            <w:vAlign w:val="bottom"/>
          </w:tcPr>
          <w:p>
            <w:pPr>
              <w:spacing w:after="0"/>
              <w:rPr>
                <w:sz w:val="20"/>
                <w:szCs w:val="20"/>
                <w:color w:val="auto"/>
              </w:rPr>
            </w:pPr>
            <w:r>
              <w:rPr>
                <w:rFonts w:ascii="Courier New" w:cs="Courier New" w:eastAsia="Courier New" w:hAnsi="Courier New"/>
                <w:sz w:val="15"/>
                <w:szCs w:val="15"/>
                <w:color w:val="auto"/>
              </w:rPr>
              <w:t>BALANCE SHEET</w:t>
            </w:r>
          </w:p>
        </w:tc>
        <w:tc>
          <w:tcPr>
            <w:tcW w:w="440" w:type="dxa"/>
            <w:vAlign w:val="bottom"/>
            <w:vMerge w:val="restart"/>
          </w:tcPr>
          <w:p>
            <w:pPr>
              <w:ind w:left="36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w w:val="98"/>
              </w:rPr>
              <w:t>220,596</w:t>
            </w:r>
          </w:p>
        </w:tc>
        <w:tc>
          <w:tcPr>
            <w:tcW w:w="1680" w:type="dxa"/>
            <w:vAlign w:val="bottom"/>
            <w:gridSpan w:val="2"/>
            <w:vMerge w:val="restart"/>
          </w:tcPr>
          <w:p>
            <w:pPr>
              <w:jc w:val="right"/>
              <w:ind w:right="525"/>
              <w:spacing w:after="0"/>
              <w:rPr>
                <w:sz w:val="20"/>
                <w:szCs w:val="20"/>
                <w:color w:val="auto"/>
              </w:rPr>
            </w:pPr>
            <w:r>
              <w:rPr>
                <w:rFonts w:ascii="Courier New" w:cs="Courier New" w:eastAsia="Courier New" w:hAnsi="Courier New"/>
                <w:sz w:val="15"/>
                <w:szCs w:val="15"/>
                <w:color w:val="auto"/>
              </w:rPr>
              <w:t>$211,630</w:t>
            </w:r>
          </w:p>
        </w:tc>
        <w:tc>
          <w:tcPr>
            <w:tcW w:w="480" w:type="dxa"/>
            <w:vAlign w:val="bottom"/>
            <w:vMerge w:val="restart"/>
          </w:tcPr>
          <w:p>
            <w:pPr>
              <w:ind w:left="4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181,748</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4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44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105,311</w:t>
            </w:r>
          </w:p>
        </w:tc>
        <w:tc>
          <w:tcPr>
            <w:tcW w:w="1680" w:type="dxa"/>
            <w:vAlign w:val="bottom"/>
            <w:gridSpan w:val="2"/>
          </w:tcPr>
          <w:p>
            <w:pPr>
              <w:jc w:val="right"/>
              <w:ind w:right="525"/>
              <w:spacing w:after="0"/>
              <w:rPr>
                <w:sz w:val="20"/>
                <w:szCs w:val="20"/>
                <w:color w:val="auto"/>
              </w:rPr>
            </w:pPr>
            <w:r>
              <w:rPr>
                <w:rFonts w:ascii="Courier New" w:cs="Courier New" w:eastAsia="Courier New" w:hAnsi="Courier New"/>
                <w:sz w:val="15"/>
                <w:szCs w:val="15"/>
                <w:color w:val="auto"/>
              </w:rPr>
              <w:t>100,448</w:t>
            </w:r>
          </w:p>
        </w:tc>
        <w:tc>
          <w:tcPr>
            <w:tcW w:w="48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79,710</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440" w:type="dxa"/>
            <w:vAlign w:val="bottom"/>
            <w:vMerge w:val="restart"/>
          </w:tcPr>
          <w:p>
            <w:pPr>
              <w:ind w:left="36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62,155</w:t>
            </w:r>
          </w:p>
        </w:tc>
        <w:tc>
          <w:tcPr>
            <w:tcW w:w="54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25"/>
              <w:spacing w:after="0"/>
              <w:rPr>
                <w:sz w:val="20"/>
                <w:szCs w:val="20"/>
                <w:color w:val="auto"/>
              </w:rPr>
            </w:pPr>
            <w:r>
              <w:rPr>
                <w:rFonts w:ascii="Courier New" w:cs="Courier New" w:eastAsia="Courier New" w:hAnsi="Courier New"/>
                <w:sz w:val="15"/>
                <w:szCs w:val="15"/>
                <w:color w:val="auto"/>
                <w:w w:val="96"/>
              </w:rPr>
              <w:t>69,694</w:t>
            </w:r>
          </w:p>
        </w:tc>
        <w:tc>
          <w:tcPr>
            <w:tcW w:w="480" w:type="dxa"/>
            <w:vAlign w:val="bottom"/>
            <w:vMerge w:val="restart"/>
          </w:tcPr>
          <w:p>
            <w:pPr>
              <w:ind w:left="4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58,523</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Long-term debt of continuing operations</w:t>
            </w:r>
          </w:p>
        </w:tc>
        <w:tc>
          <w:tcPr>
            <w:tcW w:w="440" w:type="dxa"/>
            <w:vAlign w:val="bottom"/>
            <w:vMerge w:val="continue"/>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1,692</w:t>
            </w:r>
          </w:p>
        </w:tc>
        <w:tc>
          <w:tcPr>
            <w:tcW w:w="540" w:type="dxa"/>
            <w:vAlign w:val="bottom"/>
            <w:vMerge w:val="continue"/>
          </w:tcPr>
          <w:p>
            <w:pPr>
              <w:spacing w:after="0"/>
              <w:rPr>
                <w:sz w:val="15"/>
                <w:szCs w:val="15"/>
                <w:color w:val="auto"/>
              </w:rPr>
            </w:pPr>
          </w:p>
        </w:tc>
        <w:tc>
          <w:tcPr>
            <w:tcW w:w="11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3,810</w:t>
            </w:r>
          </w:p>
        </w:tc>
        <w:tc>
          <w:tcPr>
            <w:tcW w:w="480" w:type="dxa"/>
            <w:vAlign w:val="bottom"/>
            <w:vMerge w:val="continue"/>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2,693</w:t>
            </w:r>
          </w:p>
        </w:tc>
        <w:tc>
          <w:tcPr>
            <w:tcW w:w="0" w:type="dxa"/>
            <w:vAlign w:val="bottom"/>
          </w:tcPr>
          <w:p>
            <w:pPr>
              <w:spacing w:after="0"/>
              <w:rPr>
                <w:sz w:val="1"/>
                <w:szCs w:val="1"/>
                <w:color w:val="auto"/>
              </w:rPr>
            </w:pPr>
          </w:p>
        </w:tc>
      </w:tr>
      <w:tr>
        <w:trPr>
          <w:trHeight w:val="255"/>
        </w:trPr>
        <w:tc>
          <w:tcPr>
            <w:tcW w:w="4780" w:type="dxa"/>
            <w:vAlign w:val="bottom"/>
          </w:tcPr>
          <w:p>
            <w:pPr>
              <w:spacing w:after="0"/>
              <w:rPr>
                <w:sz w:val="20"/>
                <w:szCs w:val="20"/>
                <w:color w:val="auto"/>
              </w:rPr>
            </w:pPr>
            <w:r>
              <w:rPr>
                <w:rFonts w:ascii="Courier New" w:cs="Courier New" w:eastAsia="Courier New" w:hAnsi="Courier New"/>
                <w:sz w:val="15"/>
                <w:szCs w:val="15"/>
                <w:color w:val="auto"/>
              </w:rPr>
              <w:t>Current ratio</w:t>
            </w:r>
          </w:p>
        </w:tc>
        <w:tc>
          <w:tcPr>
            <w:tcW w:w="15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2.0 to 1</w:t>
            </w:r>
          </w:p>
        </w:tc>
        <w:tc>
          <w:tcPr>
            <w:tcW w:w="16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2.4 to 1</w:t>
            </w:r>
          </w:p>
        </w:tc>
        <w:tc>
          <w:tcPr>
            <w:tcW w:w="12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2.1 to 1</w:t>
            </w:r>
          </w:p>
        </w:tc>
        <w:tc>
          <w:tcPr>
            <w:tcW w:w="0" w:type="dxa"/>
            <w:vAlign w:val="bottom"/>
          </w:tcPr>
          <w:p>
            <w:pPr>
              <w:spacing w:after="0"/>
              <w:rPr>
                <w:sz w:val="1"/>
                <w:szCs w:val="1"/>
                <w:color w:val="auto"/>
              </w:rPr>
            </w:pPr>
          </w:p>
        </w:tc>
      </w:tr>
      <w:tr>
        <w:trPr>
          <w:trHeight w:val="265"/>
        </w:trPr>
        <w:tc>
          <w:tcPr>
            <w:tcW w:w="4780" w:type="dxa"/>
            <w:vAlign w:val="bottom"/>
          </w:tcPr>
          <w:p>
            <w:pPr>
              <w:spacing w:after="0"/>
              <w:rPr>
                <w:sz w:val="20"/>
                <w:szCs w:val="20"/>
                <w:color w:val="auto"/>
              </w:rPr>
            </w:pPr>
            <w:r>
              <w:rPr>
                <w:rFonts w:ascii="Courier New" w:cs="Courier New" w:eastAsia="Courier New" w:hAnsi="Courier New"/>
                <w:sz w:val="15"/>
                <w:szCs w:val="15"/>
                <w:color w:val="auto"/>
              </w:rPr>
              <w:t>Motor home unit sales:</w:t>
            </w:r>
          </w:p>
        </w:tc>
        <w:tc>
          <w:tcPr>
            <w:tcW w:w="440" w:type="dxa"/>
            <w:vAlign w:val="bottom"/>
          </w:tcPr>
          <w:p>
            <w:pPr>
              <w:spacing w:after="0"/>
              <w:rPr>
                <w:sz w:val="23"/>
                <w:szCs w:val="23"/>
                <w:color w:val="auto"/>
              </w:rPr>
            </w:pPr>
          </w:p>
        </w:tc>
        <w:tc>
          <w:tcPr>
            <w:tcW w:w="108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5,893</w:t>
            </w:r>
          </w:p>
        </w:tc>
        <w:tc>
          <w:tcPr>
            <w:tcW w:w="540" w:type="dxa"/>
            <w:vAlign w:val="bottom"/>
          </w:tcPr>
          <w:p>
            <w:pPr>
              <w:spacing w:after="0"/>
              <w:rPr>
                <w:sz w:val="23"/>
                <w:szCs w:val="23"/>
                <w:color w:val="auto"/>
              </w:rPr>
            </w:pPr>
          </w:p>
        </w:tc>
        <w:tc>
          <w:tcPr>
            <w:tcW w:w="1140" w:type="dxa"/>
            <w:vAlign w:val="bottom"/>
            <w:vMerge w:val="restart"/>
          </w:tcPr>
          <w:p>
            <w:pPr>
              <w:jc w:val="right"/>
              <w:ind w:right="525"/>
              <w:spacing w:after="0"/>
              <w:rPr>
                <w:sz w:val="20"/>
                <w:szCs w:val="20"/>
                <w:color w:val="auto"/>
              </w:rPr>
            </w:pPr>
            <w:r>
              <w:rPr>
                <w:rFonts w:ascii="Courier New" w:cs="Courier New" w:eastAsia="Courier New" w:hAnsi="Courier New"/>
                <w:sz w:val="15"/>
                <w:szCs w:val="15"/>
                <w:color w:val="auto"/>
              </w:rPr>
              <w:t>5,993</w:t>
            </w:r>
          </w:p>
        </w:tc>
        <w:tc>
          <w:tcPr>
            <w:tcW w:w="480" w:type="dxa"/>
            <w:vAlign w:val="bottom"/>
          </w:tcPr>
          <w:p>
            <w:pPr>
              <w:spacing w:after="0"/>
              <w:rPr>
                <w:sz w:val="23"/>
                <w:szCs w:val="23"/>
                <w:color w:val="auto"/>
              </w:rPr>
            </w:pPr>
          </w:p>
        </w:tc>
        <w:tc>
          <w:tcPr>
            <w:tcW w:w="7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6,820</w:t>
            </w:r>
          </w:p>
        </w:tc>
        <w:tc>
          <w:tcPr>
            <w:tcW w:w="0" w:type="dxa"/>
            <w:vAlign w:val="bottom"/>
          </w:tcPr>
          <w:p>
            <w:pPr>
              <w:spacing w:after="0"/>
              <w:rPr>
                <w:sz w:val="1"/>
                <w:szCs w:val="1"/>
                <w:color w:val="auto"/>
              </w:rPr>
            </w:pPr>
          </w:p>
        </w:tc>
      </w:tr>
      <w:tr>
        <w:trPr>
          <w:trHeight w:val="173"/>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rPr>
              <w:t>Class A</w:t>
            </w:r>
          </w:p>
        </w:tc>
        <w:tc>
          <w:tcPr>
            <w:tcW w:w="4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rPr>
              <w:t>Class B</w:t>
            </w:r>
          </w:p>
        </w:tc>
        <w:tc>
          <w:tcPr>
            <w:tcW w:w="44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857</w:t>
            </w:r>
          </w:p>
        </w:tc>
        <w:tc>
          <w:tcPr>
            <w:tcW w:w="540" w:type="dxa"/>
            <w:vAlign w:val="bottom"/>
          </w:tcPr>
          <w:p>
            <w:pPr>
              <w:spacing w:after="0"/>
              <w:rPr>
                <w:sz w:val="15"/>
                <w:szCs w:val="15"/>
                <w:color w:val="auto"/>
              </w:rPr>
            </w:pPr>
          </w:p>
        </w:tc>
        <w:tc>
          <w:tcPr>
            <w:tcW w:w="11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1,014</w:t>
            </w:r>
          </w:p>
        </w:tc>
        <w:tc>
          <w:tcPr>
            <w:tcW w:w="48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376</w:t>
            </w:r>
          </w:p>
        </w:tc>
        <w:tc>
          <w:tcPr>
            <w:tcW w:w="0" w:type="dxa"/>
            <w:vAlign w:val="bottom"/>
          </w:tcPr>
          <w:p>
            <w:pPr>
              <w:spacing w:after="0"/>
              <w:rPr>
                <w:sz w:val="1"/>
                <w:szCs w:val="1"/>
                <w:color w:val="auto"/>
              </w:rPr>
            </w:pPr>
          </w:p>
        </w:tc>
      </w:tr>
      <w:tr>
        <w:trPr>
          <w:trHeight w:val="173"/>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rPr>
              <w:t>Class C</w:t>
            </w:r>
          </w:p>
        </w:tc>
        <w:tc>
          <w:tcPr>
            <w:tcW w:w="44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2,857</w:t>
            </w:r>
          </w:p>
        </w:tc>
        <w:tc>
          <w:tcPr>
            <w:tcW w:w="540" w:type="dxa"/>
            <w:vAlign w:val="bottom"/>
          </w:tcPr>
          <w:p>
            <w:pPr>
              <w:spacing w:after="0"/>
              <w:rPr>
                <w:sz w:val="15"/>
                <w:szCs w:val="15"/>
                <w:color w:val="auto"/>
              </w:rPr>
            </w:pPr>
          </w:p>
        </w:tc>
        <w:tc>
          <w:tcPr>
            <w:tcW w:w="11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2,853</w:t>
            </w:r>
          </w:p>
        </w:tc>
        <w:tc>
          <w:tcPr>
            <w:tcW w:w="48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1,862</w:t>
            </w:r>
          </w:p>
        </w:tc>
        <w:tc>
          <w:tcPr>
            <w:tcW w:w="0" w:type="dxa"/>
            <w:vAlign w:val="bottom"/>
          </w:tcPr>
          <w:p>
            <w:pPr>
              <w:spacing w:after="0"/>
              <w:rPr>
                <w:sz w:val="1"/>
                <w:szCs w:val="1"/>
                <w:color w:val="auto"/>
              </w:rPr>
            </w:pPr>
          </w:p>
        </w:tc>
      </w:tr>
      <w:tr>
        <w:trPr>
          <w:trHeight w:val="255"/>
        </w:trPr>
        <w:tc>
          <w:tcPr>
            <w:tcW w:w="4780" w:type="dxa"/>
            <w:vAlign w:val="bottom"/>
          </w:tcPr>
          <w:p>
            <w:pPr>
              <w:ind w:left="540"/>
              <w:spacing w:after="0"/>
              <w:rPr>
                <w:sz w:val="20"/>
                <w:szCs w:val="20"/>
                <w:color w:val="auto"/>
              </w:rPr>
            </w:pPr>
            <w:r>
              <w:rPr>
                <w:rFonts w:ascii="Courier New" w:cs="Courier New" w:eastAsia="Courier New" w:hAnsi="Courier New"/>
                <w:sz w:val="15"/>
                <w:szCs w:val="15"/>
                <w:color w:val="auto"/>
              </w:rPr>
              <w:t>Total</w:t>
            </w:r>
          </w:p>
        </w:tc>
        <w:tc>
          <w:tcPr>
            <w:tcW w:w="440" w:type="dxa"/>
            <w:vAlign w:val="bottom"/>
          </w:tcPr>
          <w:p>
            <w:pPr>
              <w:spacing w:after="0"/>
              <w:rPr>
                <w:sz w:val="22"/>
                <w:szCs w:val="22"/>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9,607</w:t>
            </w:r>
          </w:p>
        </w:tc>
        <w:tc>
          <w:tcPr>
            <w:tcW w:w="540" w:type="dxa"/>
            <w:vAlign w:val="bottom"/>
          </w:tcPr>
          <w:p>
            <w:pPr>
              <w:spacing w:after="0"/>
              <w:rPr>
                <w:sz w:val="22"/>
                <w:szCs w:val="22"/>
                <w:color w:val="auto"/>
              </w:rPr>
            </w:pPr>
          </w:p>
        </w:tc>
        <w:tc>
          <w:tcPr>
            <w:tcW w:w="11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9,860</w:t>
            </w:r>
          </w:p>
        </w:tc>
        <w:tc>
          <w:tcPr>
            <w:tcW w:w="480" w:type="dxa"/>
            <w:vAlign w:val="bottom"/>
          </w:tcPr>
          <w:p>
            <w:pPr>
              <w:spacing w:after="0"/>
              <w:rPr>
                <w:sz w:val="22"/>
                <w:szCs w:val="22"/>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9,058</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 Restated to reflect Cycle-Sat and NIE as discontinued operations</w:t>
      </w:r>
    </w:p>
    <w:p>
      <w:pPr>
        <w:spacing w:after="0" w:line="350" w:lineRule="exact"/>
        <w:rPr>
          <w:sz w:val="20"/>
          <w:szCs w:val="20"/>
          <w:color w:val="auto"/>
        </w:rPr>
      </w:pPr>
    </w:p>
    <w:p>
      <w:pPr>
        <w:ind w:left="2788"/>
        <w:spacing w:after="0"/>
        <w:rPr>
          <w:sz w:val="20"/>
          <w:szCs w:val="20"/>
          <w:color w:val="auto"/>
        </w:rPr>
      </w:pPr>
      <w:r>
        <w:rPr>
          <w:rFonts w:ascii="Courier New" w:cs="Courier New" w:eastAsia="Courier New" w:hAnsi="Courier New"/>
          <w:sz w:val="15"/>
          <w:szCs w:val="15"/>
          <w:color w:val="auto"/>
        </w:rPr>
        <w:t>TOTAL NET REVENUES</w:t>
      </w:r>
    </w:p>
    <w:p>
      <w:pPr>
        <w:spacing w:after="0" w:line="31" w:lineRule="exact"/>
        <w:rPr>
          <w:sz w:val="20"/>
          <w:szCs w:val="20"/>
          <w:color w:val="auto"/>
        </w:rPr>
      </w:pPr>
    </w:p>
    <w:p>
      <w:pPr>
        <w:ind w:left="2608"/>
        <w:spacing w:after="0"/>
        <w:rPr>
          <w:sz w:val="20"/>
          <w:szCs w:val="20"/>
          <w:color w:val="auto"/>
        </w:rPr>
      </w:pPr>
      <w:r>
        <w:rPr>
          <w:rFonts w:ascii="Courier New" w:cs="Courier New" w:eastAsia="Courier New" w:hAnsi="Courier New"/>
          <w:sz w:val="15"/>
          <w:szCs w:val="15"/>
          <w:color w:val="auto"/>
        </w:rPr>
        <w:t>(Dollars in millions)</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[BAR CHART]</w:t>
      </w:r>
    </w:p>
    <w:p>
      <w:pPr>
        <w:spacing w:after="0" w:line="177"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485</w:t>
      </w:r>
    </w:p>
    <w:p>
      <w:pPr>
        <w:spacing w:after="0" w:line="31"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460</w:t>
      </w:r>
    </w:p>
    <w:p>
      <w:pPr>
        <w:spacing w:after="0" w:line="3"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433</w:t>
      </w:r>
    </w:p>
    <w:p>
      <w:pPr>
        <w:spacing w:after="0" w:line="3"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365</w:t>
      </w:r>
    </w:p>
    <w:p>
      <w:pPr>
        <w:spacing w:after="0" w:line="3"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1992</w:t>
      </w:r>
      <w:r>
        <w:rPr>
          <w:sz w:val="20"/>
          <w:szCs w:val="20"/>
          <w:color w:val="auto"/>
        </w:rPr>
        <w:tab/>
      </w:r>
      <w:r>
        <w:rPr>
          <w:rFonts w:ascii="Courier New" w:cs="Courier New" w:eastAsia="Courier New" w:hAnsi="Courier New"/>
          <w:sz w:val="15"/>
          <w:szCs w:val="15"/>
          <w:color w:val="auto"/>
        </w:rPr>
        <w:t>281</w:t>
      </w:r>
    </w:p>
    <w:p>
      <w:pPr>
        <w:spacing w:after="0" w:line="3"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1991</w:t>
      </w:r>
      <w:r>
        <w:rPr>
          <w:sz w:val="20"/>
          <w:szCs w:val="20"/>
          <w:color w:val="auto"/>
        </w:rPr>
        <w:tab/>
      </w:r>
      <w:r>
        <w:rPr>
          <w:rFonts w:ascii="Courier New" w:cs="Courier New" w:eastAsia="Courier New" w:hAnsi="Courier New"/>
          <w:sz w:val="15"/>
          <w:szCs w:val="15"/>
          <w:color w:val="auto"/>
        </w:rPr>
        <w:t>210</w:t>
      </w:r>
    </w:p>
    <w:p>
      <w:pPr>
        <w:spacing w:after="0" w:line="3"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1990</w:t>
      </w:r>
      <w:r>
        <w:rPr>
          <w:sz w:val="20"/>
          <w:szCs w:val="20"/>
          <w:color w:val="auto"/>
        </w:rPr>
        <w:tab/>
      </w:r>
      <w:r>
        <w:rPr>
          <w:rFonts w:ascii="Courier New" w:cs="Courier New" w:eastAsia="Courier New" w:hAnsi="Courier New"/>
          <w:sz w:val="15"/>
          <w:szCs w:val="15"/>
          <w:color w:val="auto"/>
        </w:rPr>
        <w:t>322</w:t>
      </w:r>
    </w:p>
    <w:p>
      <w:pPr>
        <w:spacing w:after="0" w:line="3"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1989</w:t>
      </w:r>
      <w:r>
        <w:rPr>
          <w:sz w:val="20"/>
          <w:szCs w:val="20"/>
          <w:color w:val="auto"/>
        </w:rPr>
        <w:tab/>
      </w:r>
      <w:r>
        <w:rPr>
          <w:rFonts w:ascii="Courier New" w:cs="Courier New" w:eastAsia="Courier New" w:hAnsi="Courier New"/>
          <w:sz w:val="15"/>
          <w:szCs w:val="15"/>
          <w:color w:val="auto"/>
        </w:rPr>
        <w:t>429</w:t>
      </w:r>
    </w:p>
    <w:p>
      <w:pPr>
        <w:spacing w:after="0" w:line="3"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1988</w:t>
      </w:r>
      <w:r>
        <w:rPr>
          <w:sz w:val="20"/>
          <w:szCs w:val="20"/>
          <w:color w:val="auto"/>
        </w:rPr>
        <w:tab/>
      </w:r>
      <w:r>
        <w:rPr>
          <w:rFonts w:ascii="Courier New" w:cs="Courier New" w:eastAsia="Courier New" w:hAnsi="Courier New"/>
          <w:sz w:val="15"/>
          <w:szCs w:val="15"/>
          <w:color w:val="auto"/>
        </w:rPr>
        <w:t>425</w:t>
      </w:r>
    </w:p>
    <w:p>
      <w:pPr>
        <w:spacing w:after="0" w:line="3"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1987</w:t>
      </w:r>
      <w:r>
        <w:rPr>
          <w:sz w:val="20"/>
          <w:szCs w:val="20"/>
          <w:color w:val="auto"/>
        </w:rPr>
        <w:tab/>
      </w:r>
      <w:r>
        <w:rPr>
          <w:rFonts w:ascii="Courier New" w:cs="Courier New" w:eastAsia="Courier New" w:hAnsi="Courier New"/>
          <w:sz w:val="15"/>
          <w:szCs w:val="15"/>
          <w:color w:val="auto"/>
        </w:rPr>
        <w:t>413</w:t>
      </w:r>
    </w:p>
    <w:p>
      <w:pPr>
        <w:spacing w:after="0" w:line="200" w:lineRule="exact"/>
        <w:rPr>
          <w:sz w:val="20"/>
          <w:szCs w:val="20"/>
          <w:color w:val="auto"/>
        </w:rPr>
      </w:pPr>
    </w:p>
    <w:p>
      <w:pPr>
        <w:spacing w:after="0" w:line="296" w:lineRule="exact"/>
        <w:rPr>
          <w:sz w:val="20"/>
          <w:szCs w:val="20"/>
          <w:color w:val="auto"/>
        </w:rPr>
      </w:pPr>
    </w:p>
    <w:p>
      <w:pPr>
        <w:jc w:val="center"/>
        <w:ind w:right="3772"/>
        <w:spacing w:after="0"/>
        <w:rPr>
          <w:sz w:val="20"/>
          <w:szCs w:val="20"/>
          <w:color w:val="auto"/>
        </w:rPr>
      </w:pPr>
      <w:r>
        <w:rPr>
          <w:rFonts w:ascii="Courier New" w:cs="Courier New" w:eastAsia="Courier New" w:hAnsi="Courier New"/>
          <w:sz w:val="15"/>
          <w:szCs w:val="15"/>
          <w:color w:val="auto"/>
        </w:rPr>
        <w:t>INCOME (LOSS) FROM CONTINUING OPERATIONS*</w:t>
      </w:r>
    </w:p>
    <w:p>
      <w:pPr>
        <w:spacing w:after="0" w:line="31" w:lineRule="exact"/>
        <w:rPr>
          <w:sz w:val="20"/>
          <w:szCs w:val="20"/>
          <w:color w:val="auto"/>
        </w:rPr>
      </w:pPr>
    </w:p>
    <w:p>
      <w:pPr>
        <w:jc w:val="center"/>
        <w:ind w:right="3772"/>
        <w:spacing w:after="0"/>
        <w:rPr>
          <w:sz w:val="20"/>
          <w:szCs w:val="20"/>
          <w:color w:val="auto"/>
        </w:rPr>
      </w:pPr>
      <w:r>
        <w:rPr>
          <w:rFonts w:ascii="Courier New" w:cs="Courier New" w:eastAsia="Courier New" w:hAnsi="Courier New"/>
          <w:sz w:val="15"/>
          <w:szCs w:val="15"/>
          <w:color w:val="auto"/>
        </w:rPr>
        <w:t>(Dollars in millions)</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[BAR CHART]</w:t>
      </w:r>
    </w:p>
    <w:p>
      <w:pPr>
        <w:spacing w:after="0" w:line="177"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14.4</w:t>
      </w:r>
    </w:p>
    <w:p>
      <w:pPr>
        <w:spacing w:after="0" w:line="31"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27.9</w:t>
      </w:r>
    </w:p>
    <w:p>
      <w:pPr>
        <w:spacing w:after="0" w:line="3"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16.6</w:t>
      </w:r>
    </w:p>
    <w:p>
      <w:pPr>
        <w:spacing w:after="0" w:line="3"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11.6</w:t>
      </w:r>
    </w:p>
    <w:p>
      <w:pPr>
        <w:spacing w:after="0" w:line="3" w:lineRule="exact"/>
        <w:rPr>
          <w:sz w:val="20"/>
          <w:szCs w:val="20"/>
          <w:color w:val="auto"/>
        </w:rPr>
      </w:pPr>
    </w:p>
    <w:p>
      <w:pPr>
        <w:ind w:left="8"/>
        <w:spacing w:after="0"/>
        <w:tabs>
          <w:tab w:leader="none" w:pos="1067" w:val="left"/>
        </w:tabs>
        <w:rPr>
          <w:sz w:val="20"/>
          <w:szCs w:val="20"/>
          <w:color w:val="auto"/>
        </w:rPr>
      </w:pPr>
      <w:r>
        <w:rPr>
          <w:rFonts w:ascii="Courier New" w:cs="Courier New" w:eastAsia="Courier New" w:hAnsi="Courier New"/>
          <w:sz w:val="15"/>
          <w:szCs w:val="15"/>
          <w:color w:val="auto"/>
        </w:rPr>
        <w:t>1992</w:t>
      </w:r>
      <w:r>
        <w:rPr>
          <w:sz w:val="20"/>
          <w:szCs w:val="20"/>
          <w:color w:val="auto"/>
        </w:rPr>
        <w:tab/>
      </w:r>
      <w:r>
        <w:rPr>
          <w:rFonts w:ascii="Courier New" w:cs="Courier New" w:eastAsia="Courier New" w:hAnsi="Courier New"/>
          <w:sz w:val="15"/>
          <w:szCs w:val="15"/>
          <w:color w:val="auto"/>
        </w:rPr>
        <w:t>.9</w:t>
      </w:r>
    </w:p>
    <w:p>
      <w:pPr>
        <w:spacing w:after="0" w:line="3" w:lineRule="exact"/>
        <w:rPr>
          <w:sz w:val="20"/>
          <w:szCs w:val="20"/>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color w:val="auto"/>
        </w:rPr>
        <w:t>1991</w:t>
      </w:r>
      <w:r>
        <w:rPr>
          <w:sz w:val="20"/>
          <w:szCs w:val="20"/>
          <w:color w:val="auto"/>
        </w:rPr>
        <w:tab/>
      </w:r>
      <w:r>
        <w:rPr>
          <w:rFonts w:ascii="Courier New" w:cs="Courier New" w:eastAsia="Courier New" w:hAnsi="Courier New"/>
          <w:sz w:val="15"/>
          <w:szCs w:val="15"/>
          <w:color w:val="auto"/>
        </w:rPr>
        <w:t>(14.1)</w:t>
      </w:r>
    </w:p>
    <w:p>
      <w:pPr>
        <w:spacing w:after="0" w:line="3" w:lineRule="exact"/>
        <w:rPr>
          <w:sz w:val="20"/>
          <w:szCs w:val="20"/>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color w:val="auto"/>
        </w:rPr>
        <w:t>1990</w:t>
      </w:r>
      <w:r>
        <w:rPr>
          <w:sz w:val="20"/>
          <w:szCs w:val="20"/>
          <w:color w:val="auto"/>
        </w:rPr>
        <w:tab/>
      </w:r>
      <w:r>
        <w:rPr>
          <w:rFonts w:ascii="Courier New" w:cs="Courier New" w:eastAsia="Courier New" w:hAnsi="Courier New"/>
          <w:sz w:val="15"/>
          <w:szCs w:val="15"/>
          <w:color w:val="auto"/>
        </w:rPr>
        <w:t>(10.5)</w:t>
      </w:r>
    </w:p>
    <w:p>
      <w:pPr>
        <w:spacing w:after="0" w:line="3" w:lineRule="exact"/>
        <w:rPr>
          <w:sz w:val="20"/>
          <w:szCs w:val="20"/>
          <w:color w:val="auto"/>
        </w:rPr>
      </w:pPr>
    </w:p>
    <w:p>
      <w:pPr>
        <w:ind w:left="8"/>
        <w:spacing w:after="0"/>
        <w:tabs>
          <w:tab w:leader="none" w:pos="967" w:val="left"/>
        </w:tabs>
        <w:rPr>
          <w:sz w:val="20"/>
          <w:szCs w:val="20"/>
          <w:color w:val="auto"/>
        </w:rPr>
      </w:pPr>
      <w:r>
        <w:rPr>
          <w:rFonts w:ascii="Courier New" w:cs="Courier New" w:eastAsia="Courier New" w:hAnsi="Courier New"/>
          <w:sz w:val="15"/>
          <w:szCs w:val="15"/>
          <w:color w:val="auto"/>
        </w:rPr>
        <w:t>1989</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ind w:left="8"/>
        <w:spacing w:after="0"/>
        <w:tabs>
          <w:tab w:leader="none" w:pos="967" w:val="left"/>
        </w:tabs>
        <w:rPr>
          <w:sz w:val="20"/>
          <w:szCs w:val="20"/>
          <w:color w:val="auto"/>
        </w:rPr>
      </w:pPr>
      <w:r>
        <w:rPr>
          <w:rFonts w:ascii="Courier New" w:cs="Courier New" w:eastAsia="Courier New" w:hAnsi="Courier New"/>
          <w:sz w:val="15"/>
          <w:szCs w:val="15"/>
          <w:color w:val="auto"/>
        </w:rPr>
        <w:t>1988</w:t>
      </w:r>
      <w:r>
        <w:rPr>
          <w:sz w:val="20"/>
          <w:szCs w:val="20"/>
          <w:color w:val="auto"/>
        </w:rPr>
        <w:tab/>
      </w:r>
      <w:r>
        <w:rPr>
          <w:rFonts w:ascii="Courier New" w:cs="Courier New" w:eastAsia="Courier New" w:hAnsi="Courier New"/>
          <w:sz w:val="15"/>
          <w:szCs w:val="15"/>
          <w:color w:val="auto"/>
        </w:rPr>
        <w:t>6.2</w:t>
      </w:r>
    </w:p>
    <w:p>
      <w:pPr>
        <w:spacing w:after="0" w:line="3"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1987</w:t>
      </w:r>
      <w:r>
        <w:rPr>
          <w:sz w:val="20"/>
          <w:szCs w:val="20"/>
          <w:color w:val="auto"/>
        </w:rPr>
        <w:tab/>
      </w:r>
      <w:r>
        <w:rPr>
          <w:rFonts w:ascii="Courier New" w:cs="Courier New" w:eastAsia="Courier New" w:hAnsi="Courier New"/>
          <w:sz w:val="15"/>
          <w:szCs w:val="15"/>
          <w:color w:val="auto"/>
        </w:rPr>
        <w:t>20.9</w:t>
      </w:r>
    </w:p>
    <w:p>
      <w:pPr>
        <w:spacing w:after="0" w:line="149" w:lineRule="exact"/>
        <w:rPr>
          <w:sz w:val="20"/>
          <w:szCs w:val="20"/>
          <w:color w:val="auto"/>
        </w:rPr>
      </w:pPr>
    </w:p>
    <w:p>
      <w:pPr>
        <w:ind w:left="3248" w:right="6760" w:hanging="3248"/>
        <w:spacing w:after="0" w:line="855" w:lineRule="auto"/>
        <w:tabs>
          <w:tab w:leader="none" w:pos="182"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cumulative effect of accounting change. PAGE 30</w:t>
      </w:r>
    </w:p>
    <w:p>
      <w:pPr>
        <w:spacing w:after="0" w:line="200" w:lineRule="exact"/>
        <w:rPr>
          <w:sz w:val="20"/>
          <w:szCs w:val="20"/>
          <w:color w:val="auto"/>
        </w:rPr>
      </w:pPr>
    </w:p>
    <w:p>
      <w:pPr>
        <w:spacing w:after="0" w:line="323"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464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 except per share data)</w:t>
            </w:r>
          </w:p>
        </w:tc>
        <w:tc>
          <w:tcPr>
            <w:tcW w:w="18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August 28,</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9"/>
              </w:rPr>
              <w:t>August 29,</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9"/>
              </w:rPr>
              <w:t>August 31,</w:t>
            </w:r>
          </w:p>
        </w:tc>
        <w:tc>
          <w:tcPr>
            <w:tcW w:w="1220" w:type="dxa"/>
            <w:vAlign w:val="bottom"/>
          </w:tcPr>
          <w:p>
            <w:pPr>
              <w:jc w:val="center"/>
              <w:ind w:left="225"/>
              <w:spacing w:after="0"/>
              <w:rPr>
                <w:sz w:val="20"/>
                <w:szCs w:val="20"/>
                <w:color w:val="auto"/>
              </w:rPr>
            </w:pPr>
            <w:r>
              <w:rPr>
                <w:rFonts w:ascii="Courier New" w:cs="Courier New" w:eastAsia="Courier New" w:hAnsi="Courier New"/>
                <w:sz w:val="15"/>
                <w:szCs w:val="15"/>
                <w:color w:val="auto"/>
              </w:rPr>
              <w:t>August 25,</w:t>
            </w:r>
          </w:p>
        </w:tc>
        <w:tc>
          <w:tcPr>
            <w:tcW w:w="0" w:type="dxa"/>
            <w:vAlign w:val="bottom"/>
          </w:tcPr>
          <w:p>
            <w:pPr>
              <w:spacing w:after="0"/>
              <w:rPr>
                <w:sz w:val="1"/>
                <w:szCs w:val="1"/>
                <w:color w:val="auto"/>
              </w:rPr>
            </w:pPr>
          </w:p>
        </w:tc>
      </w:tr>
      <w:tr>
        <w:trPr>
          <w:trHeight w:val="201"/>
        </w:trPr>
        <w:tc>
          <w:tcPr>
            <w:tcW w:w="4640" w:type="dxa"/>
            <w:vAlign w:val="bottom"/>
            <w:vMerge w:val="continue"/>
          </w:tcPr>
          <w:p>
            <w:pPr>
              <w:spacing w:after="0"/>
              <w:rPr>
                <w:sz w:val="17"/>
                <w:szCs w:val="17"/>
                <w:color w:val="auto"/>
              </w:rPr>
            </w:pPr>
          </w:p>
        </w:tc>
        <w:tc>
          <w:tcPr>
            <w:tcW w:w="18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1993</w:t>
            </w:r>
          </w:p>
        </w:tc>
        <w:tc>
          <w:tcPr>
            <w:tcW w:w="15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1992</w:t>
            </w:r>
          </w:p>
        </w:tc>
        <w:tc>
          <w:tcPr>
            <w:tcW w:w="15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1991</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1990</w:t>
            </w:r>
          </w:p>
        </w:tc>
        <w:tc>
          <w:tcPr>
            <w:tcW w:w="0" w:type="dxa"/>
            <w:vAlign w:val="bottom"/>
          </w:tcPr>
          <w:p>
            <w:pPr>
              <w:spacing w:after="0"/>
              <w:rPr>
                <w:sz w:val="1"/>
                <w:szCs w:val="1"/>
                <w:color w:val="auto"/>
              </w:rPr>
            </w:pPr>
          </w:p>
        </w:tc>
      </w:tr>
    </w:tbl>
    <w:p>
      <w:pPr>
        <w:ind w:left="8"/>
        <w:spacing w:after="0"/>
        <w:rPr>
          <w:sz w:val="20"/>
          <w:szCs w:val="20"/>
          <w:color w:val="auto"/>
        </w:rPr>
      </w:pPr>
      <w:r>
        <w:rPr>
          <w:rFonts w:ascii="Courier New" w:cs="Courier New" w:eastAsia="Courier New" w:hAnsi="Courier New"/>
          <w:sz w:val="15"/>
          <w:szCs w:val="15"/>
          <w:color w:val="auto"/>
        </w:rPr>
        <w:t>- --------------------------------------------------- ----------------- ---------------- ----------------- ----------------</w:t>
      </w:r>
    </w:p>
    <w:p>
      <w:pPr>
        <w:spacing w:after="0" w:line="149"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2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26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$364,860</w:t>
            </w:r>
          </w:p>
        </w:tc>
        <w:tc>
          <w:tcPr>
            <w:tcW w:w="1500" w:type="dxa"/>
            <w:vAlign w:val="bottom"/>
            <w:vMerge w:val="restart"/>
          </w:tcPr>
          <w:p>
            <w:pPr>
              <w:jc w:val="right"/>
              <w:ind w:right="345"/>
              <w:spacing w:after="0"/>
              <w:rPr>
                <w:sz w:val="20"/>
                <w:szCs w:val="20"/>
                <w:color w:val="auto"/>
              </w:rPr>
            </w:pPr>
            <w:r>
              <w:rPr>
                <w:rFonts w:ascii="Courier New" w:cs="Courier New" w:eastAsia="Courier New" w:hAnsi="Courier New"/>
                <w:sz w:val="15"/>
                <w:szCs w:val="15"/>
                <w:color w:val="auto"/>
              </w:rPr>
              <w:t>$281,124</w:t>
            </w:r>
          </w:p>
        </w:tc>
        <w:tc>
          <w:tcPr>
            <w:tcW w:w="162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$210,438</w:t>
            </w:r>
          </w:p>
        </w:tc>
        <w:tc>
          <w:tcPr>
            <w:tcW w:w="12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$320,175</w:t>
            </w:r>
          </w:p>
        </w:tc>
        <w:tc>
          <w:tcPr>
            <w:tcW w:w="0" w:type="dxa"/>
            <w:vAlign w:val="bottom"/>
          </w:tcPr>
          <w:p>
            <w:pPr>
              <w:spacing w:after="0"/>
              <w:rPr>
                <w:sz w:val="1"/>
                <w:szCs w:val="1"/>
                <w:color w:val="auto"/>
              </w:rPr>
            </w:pPr>
          </w:p>
        </w:tc>
      </w:tr>
      <w:tr>
        <w:trPr>
          <w:trHeight w:val="173"/>
        </w:trPr>
        <w:tc>
          <w:tcPr>
            <w:tcW w:w="4220" w:type="dxa"/>
            <w:vAlign w:val="bottom"/>
          </w:tcPr>
          <w:p>
            <w:pPr>
              <w:ind w:left="260"/>
              <w:spacing w:after="0"/>
              <w:rPr>
                <w:sz w:val="20"/>
                <w:szCs w:val="20"/>
                <w:color w:val="auto"/>
              </w:rPr>
            </w:pPr>
            <w:r>
              <w:rPr>
                <w:rFonts w:ascii="Courier New" w:cs="Courier New" w:eastAsia="Courier New" w:hAnsi="Courier New"/>
                <w:sz w:val="15"/>
                <w:szCs w:val="15"/>
                <w:color w:val="auto"/>
              </w:rPr>
              <w:t>Manufactured products</w:t>
            </w:r>
          </w:p>
        </w:tc>
        <w:tc>
          <w:tcPr>
            <w:tcW w:w="226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tcPr>
          <w:p>
            <w:pPr>
              <w:ind w:left="260"/>
              <w:spacing w:after="0"/>
              <w:rPr>
                <w:sz w:val="20"/>
                <w:szCs w:val="20"/>
                <w:color w:val="auto"/>
              </w:rPr>
            </w:pPr>
            <w:r>
              <w:rPr>
                <w:rFonts w:ascii="Courier New" w:cs="Courier New" w:eastAsia="Courier New" w:hAnsi="Courier New"/>
                <w:sz w:val="15"/>
                <w:szCs w:val="15"/>
                <w:color w:val="auto"/>
              </w:rPr>
              <w:t>Finance</w:t>
            </w:r>
          </w:p>
        </w:tc>
        <w:tc>
          <w:tcPr>
            <w:tcW w:w="2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595</w:t>
            </w:r>
          </w:p>
        </w:tc>
        <w:tc>
          <w:tcPr>
            <w:tcW w:w="15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12</w:t>
            </w:r>
          </w:p>
        </w:tc>
        <w:tc>
          <w:tcPr>
            <w:tcW w:w="16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2,113</w:t>
            </w:r>
          </w:p>
        </w:tc>
        <w:tc>
          <w:tcPr>
            <w:tcW w:w="0" w:type="dxa"/>
            <w:vAlign w:val="bottom"/>
          </w:tcPr>
          <w:p>
            <w:pPr>
              <w:spacing w:after="0"/>
              <w:rPr>
                <w:sz w:val="1"/>
                <w:szCs w:val="1"/>
                <w:color w:val="auto"/>
              </w:rPr>
            </w:pPr>
          </w:p>
        </w:tc>
      </w:tr>
      <w:tr>
        <w:trPr>
          <w:trHeight w:val="173"/>
        </w:trPr>
        <w:tc>
          <w:tcPr>
            <w:tcW w:w="4220" w:type="dxa"/>
            <w:vAlign w:val="bottom"/>
          </w:tcPr>
          <w:p>
            <w:pPr>
              <w:ind w:left="540"/>
              <w:spacing w:after="0"/>
              <w:rPr>
                <w:sz w:val="20"/>
                <w:szCs w:val="20"/>
                <w:color w:val="auto"/>
              </w:rPr>
            </w:pPr>
            <w:r>
              <w:rPr>
                <w:rFonts w:ascii="Courier New" w:cs="Courier New" w:eastAsia="Courier New" w:hAnsi="Courier New"/>
                <w:sz w:val="15"/>
                <w:szCs w:val="15"/>
                <w:color w:val="auto"/>
              </w:rPr>
              <w:t>Total net revenues</w:t>
            </w:r>
          </w:p>
        </w:tc>
        <w:tc>
          <w:tcPr>
            <w:tcW w:w="2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365,455</w:t>
            </w:r>
          </w:p>
        </w:tc>
        <w:tc>
          <w:tcPr>
            <w:tcW w:w="15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281,136</w:t>
            </w:r>
          </w:p>
        </w:tc>
        <w:tc>
          <w:tcPr>
            <w:tcW w:w="16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210,448</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322,288</w:t>
            </w:r>
          </w:p>
        </w:tc>
        <w:tc>
          <w:tcPr>
            <w:tcW w:w="0" w:type="dxa"/>
            <w:vAlign w:val="bottom"/>
          </w:tcPr>
          <w:p>
            <w:pPr>
              <w:spacing w:after="0"/>
              <w:rPr>
                <w:sz w:val="1"/>
                <w:szCs w:val="1"/>
                <w:color w:val="auto"/>
              </w:rPr>
            </w:pP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Income (loss) before taxes</w:t>
            </w:r>
          </w:p>
        </w:tc>
        <w:tc>
          <w:tcPr>
            <w:tcW w:w="2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10,513</w:t>
            </w:r>
          </w:p>
        </w:tc>
        <w:tc>
          <w:tcPr>
            <w:tcW w:w="15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2,940</w:t>
            </w:r>
          </w:p>
        </w:tc>
        <w:tc>
          <w:tcPr>
            <w:tcW w:w="16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(15,737)</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(20,353)</w:t>
            </w:r>
          </w:p>
        </w:tc>
        <w:tc>
          <w:tcPr>
            <w:tcW w:w="0" w:type="dxa"/>
            <w:vAlign w:val="bottom"/>
          </w:tcPr>
          <w:p>
            <w:pPr>
              <w:spacing w:after="0"/>
              <w:rPr>
                <w:sz w:val="1"/>
                <w:szCs w:val="1"/>
                <w:color w:val="auto"/>
              </w:rPr>
            </w:pPr>
          </w:p>
        </w:tc>
      </w:tr>
      <w:tr>
        <w:trPr>
          <w:trHeight w:val="255"/>
        </w:trPr>
        <w:tc>
          <w:tcPr>
            <w:tcW w:w="4220" w:type="dxa"/>
            <w:vAlign w:val="bottom"/>
          </w:tcPr>
          <w:p>
            <w:pPr>
              <w:spacing w:after="0"/>
              <w:rPr>
                <w:sz w:val="20"/>
                <w:szCs w:val="20"/>
                <w:color w:val="auto"/>
              </w:rPr>
            </w:pPr>
            <w:r>
              <w:rPr>
                <w:rFonts w:ascii="Courier New" w:cs="Courier New" w:eastAsia="Courier New" w:hAnsi="Courier New"/>
                <w:sz w:val="15"/>
                <w:szCs w:val="15"/>
                <w:color w:val="auto"/>
              </w:rPr>
              <w:t>Provision (credit) for income taxes</w:t>
            </w:r>
          </w:p>
        </w:tc>
        <w:tc>
          <w:tcPr>
            <w:tcW w:w="2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(1,087)</w:t>
            </w:r>
          </w:p>
        </w:tc>
        <w:tc>
          <w:tcPr>
            <w:tcW w:w="15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2,013</w:t>
            </w:r>
          </w:p>
        </w:tc>
        <w:tc>
          <w:tcPr>
            <w:tcW w:w="16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(1,684)</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(9,888)</w:t>
            </w:r>
          </w:p>
        </w:tc>
        <w:tc>
          <w:tcPr>
            <w:tcW w:w="0" w:type="dxa"/>
            <w:vAlign w:val="bottom"/>
          </w:tcPr>
          <w:p>
            <w:pPr>
              <w:spacing w:after="0"/>
              <w:rPr>
                <w:sz w:val="1"/>
                <w:szCs w:val="1"/>
                <w:color w:val="auto"/>
              </w:rPr>
            </w:pPr>
          </w:p>
        </w:tc>
      </w:tr>
    </w:tbl>
    <w:p>
      <w:pPr>
        <w:sectPr>
          <w:pgSz w:w="11900" w:h="16867" w:orient="portrait"/>
          <w:cols w:equalWidth="0" w:num="1">
            <w:col w:w="11088"/>
          </w:cols>
          <w:pgMar w:left="232" w:top="113" w:right="579" w:bottom="0" w:gutter="0" w:footer="0" w:header="0"/>
        </w:sectPr>
      </w:pPr>
    </w:p>
    <w:bookmarkStart w:id="73" w:name="page74"/>
    <w:bookmarkEnd w:id="73"/>
    <w:p>
      <w:pPr>
        <w:spacing w:after="0" w:line="117"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11,600</w:t>
            </w:r>
          </w:p>
        </w:tc>
        <w:tc>
          <w:tcPr>
            <w:tcW w:w="15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927</w:t>
            </w:r>
          </w:p>
        </w:tc>
        <w:tc>
          <w:tcPr>
            <w:tcW w:w="15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(14,053)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(10,465)</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(Loss) income from discontinued operations</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(2,322)</w:t>
            </w:r>
          </w:p>
        </w:tc>
        <w:tc>
          <w:tcPr>
            <w:tcW w:w="15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(3,722)</w:t>
            </w:r>
          </w:p>
        </w:tc>
        <w:tc>
          <w:tcPr>
            <w:tcW w:w="15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(15,328)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(7,370)</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Cumulative effect of accounting change</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(7,774)</w:t>
            </w:r>
          </w:p>
        </w:tc>
        <w:tc>
          <w:tcPr>
            <w:tcW w:w="1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9,278</w:t>
            </w:r>
          </w:p>
        </w:tc>
        <w:tc>
          <w:tcPr>
            <w:tcW w:w="15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(10,569)</w:t>
            </w:r>
          </w:p>
        </w:tc>
        <w:tc>
          <w:tcPr>
            <w:tcW w:w="15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(29,381)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(17,835)</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170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.46</w:t>
            </w:r>
          </w:p>
        </w:tc>
        <w:tc>
          <w:tcPr>
            <w:tcW w:w="154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.04</w:t>
            </w:r>
          </w:p>
        </w:tc>
        <w:tc>
          <w:tcPr>
            <w:tcW w:w="1580" w:type="dxa"/>
            <w:vAlign w:val="bottom"/>
            <w:vMerge w:val="restart"/>
          </w:tcPr>
          <w:p>
            <w:pPr>
              <w:jc w:val="right"/>
              <w:ind w:right="385"/>
              <w:spacing w:after="0"/>
              <w:rPr>
                <w:sz w:val="20"/>
                <w:szCs w:val="20"/>
                <w:color w:val="auto"/>
              </w:rPr>
            </w:pPr>
            <w:r>
              <w:rPr>
                <w:rFonts w:ascii="Courier New" w:cs="Courier New" w:eastAsia="Courier New" w:hAnsi="Courier New"/>
                <w:sz w:val="15"/>
                <w:szCs w:val="15"/>
                <w:color w:val="auto"/>
              </w:rPr>
              <w:t>(.56)</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(.42)</w:t>
            </w:r>
          </w:p>
        </w:tc>
        <w:tc>
          <w:tcPr>
            <w:tcW w:w="0" w:type="dxa"/>
            <w:vAlign w:val="bottom"/>
          </w:tcPr>
          <w:p>
            <w:pPr>
              <w:spacing w:after="0"/>
              <w:rPr>
                <w:sz w:val="1"/>
                <w:szCs w:val="1"/>
                <w:color w:val="auto"/>
              </w:rPr>
            </w:pPr>
          </w:p>
        </w:tc>
      </w:tr>
      <w:tr>
        <w:trPr>
          <w:trHeight w:val="173"/>
        </w:trPr>
        <w:tc>
          <w:tcPr>
            <w:tcW w:w="4820" w:type="dxa"/>
            <w:vAlign w:val="bottom"/>
          </w:tcPr>
          <w:p>
            <w:pPr>
              <w:ind w:left="360"/>
              <w:spacing w:after="0"/>
              <w:rPr>
                <w:sz w:val="20"/>
                <w:szCs w:val="20"/>
                <w:color w:val="auto"/>
              </w:rPr>
            </w:pPr>
            <w:r>
              <w:rPr>
                <w:rFonts w:ascii="Courier New" w:cs="Courier New" w:eastAsia="Courier New" w:hAnsi="Courier New"/>
                <w:sz w:val="15"/>
                <w:szCs w:val="15"/>
                <w:color w:val="auto"/>
              </w:rPr>
              <w:t>Income (loss) from continuing operations</w:t>
            </w:r>
          </w:p>
        </w:tc>
        <w:tc>
          <w:tcPr>
            <w:tcW w:w="170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820" w:type="dxa"/>
            <w:vAlign w:val="bottom"/>
          </w:tcPr>
          <w:p>
            <w:pPr>
              <w:ind w:left="360"/>
              <w:spacing w:after="0"/>
              <w:rPr>
                <w:sz w:val="20"/>
                <w:szCs w:val="20"/>
                <w:color w:val="auto"/>
              </w:rPr>
            </w:pPr>
            <w:r>
              <w:rPr>
                <w:rFonts w:ascii="Courier New" w:cs="Courier New" w:eastAsia="Courier New" w:hAnsi="Courier New"/>
                <w:sz w:val="15"/>
                <w:szCs w:val="15"/>
                <w:color w:val="auto"/>
              </w:rPr>
              <w:t>(Loss) income from discontinued operations</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(.09)</w:t>
            </w:r>
          </w:p>
        </w:tc>
        <w:tc>
          <w:tcPr>
            <w:tcW w:w="15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w:t>
            </w:r>
          </w:p>
        </w:tc>
        <w:tc>
          <w:tcPr>
            <w:tcW w:w="15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45"/>
        </w:trPr>
        <w:tc>
          <w:tcPr>
            <w:tcW w:w="4860" w:type="dxa"/>
            <w:vAlign w:val="bottom"/>
          </w:tcPr>
          <w:p>
            <w:pPr>
              <w:ind w:left="360"/>
              <w:spacing w:after="0" w:line="146" w:lineRule="exact"/>
              <w:rPr>
                <w:sz w:val="20"/>
                <w:szCs w:val="20"/>
                <w:color w:val="auto"/>
              </w:rPr>
            </w:pPr>
            <w:r>
              <w:rPr>
                <w:rFonts w:ascii="Courier New" w:cs="Courier New" w:eastAsia="Courier New" w:hAnsi="Courier New"/>
                <w:sz w:val="15"/>
                <w:szCs w:val="15"/>
                <w:color w:val="auto"/>
              </w:rPr>
              <w:t>Cumulative effect of accounting change</w:t>
            </w:r>
          </w:p>
        </w:tc>
        <w:tc>
          <w:tcPr>
            <w:tcW w:w="540" w:type="dxa"/>
            <w:vAlign w:val="bottom"/>
          </w:tcPr>
          <w:p>
            <w:pPr>
              <w:spacing w:after="0"/>
              <w:rPr>
                <w:sz w:val="12"/>
                <w:szCs w:val="12"/>
                <w:color w:val="auto"/>
              </w:rPr>
            </w:pPr>
          </w:p>
        </w:tc>
        <w:tc>
          <w:tcPr>
            <w:tcW w:w="1040" w:type="dxa"/>
            <w:vAlign w:val="bottom"/>
          </w:tcPr>
          <w:p>
            <w:pPr>
              <w:jc w:val="right"/>
              <w:ind w:right="325"/>
              <w:spacing w:after="0" w:line="146"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2"/>
                <w:szCs w:val="12"/>
                <w:color w:val="auto"/>
              </w:rPr>
            </w:pPr>
          </w:p>
        </w:tc>
        <w:tc>
          <w:tcPr>
            <w:tcW w:w="1080" w:type="dxa"/>
            <w:vAlign w:val="bottom"/>
          </w:tcPr>
          <w:p>
            <w:pPr>
              <w:jc w:val="right"/>
              <w:ind w:right="285"/>
              <w:spacing w:after="0" w:line="146" w:lineRule="exact"/>
              <w:rPr>
                <w:sz w:val="20"/>
                <w:szCs w:val="20"/>
                <w:color w:val="auto"/>
              </w:rPr>
            </w:pPr>
            <w:r>
              <w:rPr>
                <w:rFonts w:ascii="Courier New" w:cs="Courier New" w:eastAsia="Courier New" w:hAnsi="Courier New"/>
                <w:sz w:val="15"/>
                <w:szCs w:val="15"/>
                <w:color w:val="auto"/>
              </w:rPr>
              <w:t>(.31)</w:t>
            </w:r>
          </w:p>
        </w:tc>
        <w:tc>
          <w:tcPr>
            <w:tcW w:w="440" w:type="dxa"/>
            <w:vAlign w:val="bottom"/>
          </w:tcPr>
          <w:p>
            <w:pPr>
              <w:spacing w:after="0"/>
              <w:rPr>
                <w:sz w:val="12"/>
                <w:szCs w:val="12"/>
                <w:color w:val="auto"/>
              </w:rPr>
            </w:pPr>
          </w:p>
        </w:tc>
        <w:tc>
          <w:tcPr>
            <w:tcW w:w="1140" w:type="dxa"/>
            <w:vAlign w:val="bottom"/>
          </w:tcPr>
          <w:p>
            <w:pPr>
              <w:jc w:val="right"/>
              <w:ind w:right="425"/>
              <w:spacing w:after="0" w:line="146"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2"/>
                <w:szCs w:val="12"/>
                <w:color w:val="auto"/>
              </w:rPr>
            </w:pPr>
          </w:p>
        </w:tc>
        <w:tc>
          <w:tcPr>
            <w:tcW w:w="720" w:type="dxa"/>
            <w:vAlign w:val="bottom"/>
          </w:tcPr>
          <w:p>
            <w:pPr>
              <w:jc w:val="right"/>
              <w:ind w:right="25"/>
              <w:spacing w:after="0" w:line="146"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Net income (loss)</w:t>
            </w:r>
          </w:p>
        </w:tc>
        <w:tc>
          <w:tcPr>
            <w:tcW w:w="540" w:type="dxa"/>
            <w:vAlign w:val="bottom"/>
            <w:vMerge w:val="restart"/>
          </w:tcPr>
          <w:p>
            <w:pPr>
              <w:ind w:left="4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w:t>
            </w:r>
          </w:p>
        </w:tc>
        <w:tc>
          <w:tcPr>
            <w:tcW w:w="500" w:type="dxa"/>
            <w:vAlign w:val="bottom"/>
            <w:vMerge w:val="restart"/>
          </w:tcPr>
          <w:p>
            <w:pPr>
              <w:ind w:left="40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w:t>
            </w:r>
          </w:p>
        </w:tc>
        <w:tc>
          <w:tcPr>
            <w:tcW w:w="440" w:type="dxa"/>
            <w:vAlign w:val="bottom"/>
            <w:vMerge w:val="restart"/>
          </w:tcPr>
          <w:p>
            <w:pPr>
              <w:ind w:left="36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(1.18)</w:t>
            </w:r>
          </w:p>
        </w:tc>
        <w:tc>
          <w:tcPr>
            <w:tcW w:w="500" w:type="dxa"/>
            <w:vAlign w:val="bottom"/>
            <w:vMerge w:val="restart"/>
          </w:tcPr>
          <w:p>
            <w:pPr>
              <w:ind w:left="40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0" w:type="dxa"/>
            <w:vAlign w:val="bottom"/>
          </w:tcPr>
          <w:p>
            <w:pPr>
              <w:spacing w:after="0"/>
              <w:rPr>
                <w:sz w:val="1"/>
                <w:szCs w:val="1"/>
                <w:color w:val="auto"/>
              </w:rPr>
            </w:pPr>
          </w:p>
        </w:tc>
      </w:tr>
      <w:tr>
        <w:trPr>
          <w:trHeight w:val="173"/>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Cash dividends per share</w:t>
            </w:r>
          </w:p>
        </w:tc>
        <w:tc>
          <w:tcPr>
            <w:tcW w:w="540" w:type="dxa"/>
            <w:vAlign w:val="bottom"/>
            <w:vMerge w:val="continue"/>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500" w:type="dxa"/>
            <w:vAlign w:val="bottom"/>
            <w:vMerge w:val="continue"/>
          </w:tcPr>
          <w:p>
            <w:pPr>
              <w:spacing w:after="0"/>
              <w:rPr>
                <w:sz w:val="15"/>
                <w:szCs w:val="15"/>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440" w:type="dxa"/>
            <w:vAlign w:val="bottom"/>
            <w:vMerge w:val="continue"/>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500" w:type="dxa"/>
            <w:vAlign w:val="bottom"/>
            <w:vMerge w:val="continue"/>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of common stock</w:t>
            </w:r>
          </w:p>
        </w:tc>
        <w:tc>
          <w:tcPr>
            <w:tcW w:w="540" w:type="dxa"/>
            <w:vAlign w:val="bottom"/>
          </w:tcPr>
          <w:p>
            <w:pPr>
              <w:spacing w:after="0"/>
              <w:rPr>
                <w:sz w:val="15"/>
                <w:szCs w:val="15"/>
                <w:color w:val="auto"/>
              </w:rPr>
            </w:pPr>
          </w:p>
        </w:tc>
        <w:tc>
          <w:tcPr>
            <w:tcW w:w="10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25,042</w:t>
            </w:r>
          </w:p>
        </w:tc>
        <w:tc>
          <w:tcPr>
            <w:tcW w:w="500" w:type="dxa"/>
            <w:vAlign w:val="bottom"/>
          </w:tcPr>
          <w:p>
            <w:pPr>
              <w:spacing w:after="0"/>
              <w:rPr>
                <w:sz w:val="15"/>
                <w:szCs w:val="15"/>
                <w:color w:val="auto"/>
              </w:rPr>
            </w:pPr>
          </w:p>
        </w:tc>
        <w:tc>
          <w:tcPr>
            <w:tcW w:w="1080" w:type="dxa"/>
            <w:vAlign w:val="bottom"/>
            <w:vMerge w:val="restart"/>
          </w:tcPr>
          <w:p>
            <w:pPr>
              <w:jc w:val="right"/>
              <w:ind w:right="385"/>
              <w:spacing w:after="0"/>
              <w:rPr>
                <w:sz w:val="20"/>
                <w:szCs w:val="20"/>
                <w:color w:val="auto"/>
              </w:rPr>
            </w:pPr>
            <w:r>
              <w:rPr>
                <w:rFonts w:ascii="Courier New" w:cs="Courier New" w:eastAsia="Courier New" w:hAnsi="Courier New"/>
                <w:sz w:val="15"/>
                <w:szCs w:val="15"/>
                <w:color w:val="auto"/>
              </w:rPr>
              <w:t>25,016</w:t>
            </w:r>
          </w:p>
        </w:tc>
        <w:tc>
          <w:tcPr>
            <w:tcW w:w="440" w:type="dxa"/>
            <w:vAlign w:val="bottom"/>
          </w:tcPr>
          <w:p>
            <w:pPr>
              <w:spacing w:after="0"/>
              <w:rPr>
                <w:sz w:val="15"/>
                <w:szCs w:val="15"/>
                <w:color w:val="auto"/>
              </w:rPr>
            </w:pPr>
          </w:p>
        </w:tc>
        <w:tc>
          <w:tcPr>
            <w:tcW w:w="114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24,986</w:t>
            </w:r>
          </w:p>
        </w:tc>
        <w:tc>
          <w:tcPr>
            <w:tcW w:w="500" w:type="dxa"/>
            <w:vAlign w:val="bottom"/>
          </w:tcPr>
          <w:p>
            <w:pPr>
              <w:spacing w:after="0"/>
              <w:rPr>
                <w:sz w:val="15"/>
                <w:szCs w:val="15"/>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24,748</w:t>
            </w:r>
          </w:p>
        </w:tc>
        <w:tc>
          <w:tcPr>
            <w:tcW w:w="0" w:type="dxa"/>
            <w:vAlign w:val="bottom"/>
          </w:tcPr>
          <w:p>
            <w:pPr>
              <w:spacing w:after="0"/>
              <w:rPr>
                <w:sz w:val="1"/>
                <w:szCs w:val="1"/>
                <w:color w:val="auto"/>
              </w:rPr>
            </w:pPr>
          </w:p>
        </w:tc>
      </w:tr>
      <w:tr>
        <w:trPr>
          <w:trHeight w:val="255"/>
        </w:trPr>
        <w:tc>
          <w:tcPr>
            <w:tcW w:w="486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54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860" w:type="dxa"/>
            <w:vAlign w:val="bottom"/>
          </w:tcPr>
          <w:p>
            <w:pPr>
              <w:spacing w:after="0"/>
              <w:rPr>
                <w:sz w:val="20"/>
                <w:szCs w:val="20"/>
                <w:color w:val="auto"/>
              </w:rPr>
            </w:pPr>
            <w:r>
              <w:rPr>
                <w:rFonts w:ascii="Courier New" w:cs="Courier New" w:eastAsia="Courier New" w:hAnsi="Courier New"/>
                <w:sz w:val="15"/>
                <w:szCs w:val="15"/>
                <w:color w:val="auto"/>
              </w:rPr>
              <w:t>BALANCE SHEET</w:t>
            </w:r>
          </w:p>
        </w:tc>
        <w:tc>
          <w:tcPr>
            <w:tcW w:w="540" w:type="dxa"/>
            <w:vAlign w:val="bottom"/>
            <w:vMerge w:val="restart"/>
          </w:tcPr>
          <w:p>
            <w:pPr>
              <w:ind w:left="4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w w:val="98"/>
              </w:rPr>
              <w:t>155,227</w:t>
            </w:r>
          </w:p>
        </w:tc>
        <w:tc>
          <w:tcPr>
            <w:tcW w:w="500" w:type="dxa"/>
            <w:vAlign w:val="bottom"/>
            <w:vMerge w:val="restart"/>
          </w:tcPr>
          <w:p>
            <w:pPr>
              <w:ind w:left="40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vMerge w:val="restart"/>
          </w:tcPr>
          <w:p>
            <w:pPr>
              <w:jc w:val="right"/>
              <w:ind w:right="385"/>
              <w:spacing w:after="0"/>
              <w:rPr>
                <w:sz w:val="20"/>
                <w:szCs w:val="20"/>
                <w:color w:val="auto"/>
              </w:rPr>
            </w:pPr>
            <w:r>
              <w:rPr>
                <w:rFonts w:ascii="Courier New" w:cs="Courier New" w:eastAsia="Courier New" w:hAnsi="Courier New"/>
                <w:sz w:val="15"/>
                <w:szCs w:val="15"/>
                <w:color w:val="auto"/>
                <w:w w:val="95"/>
              </w:rPr>
              <w:t>139,761</w:t>
            </w:r>
          </w:p>
        </w:tc>
        <w:tc>
          <w:tcPr>
            <w:tcW w:w="440" w:type="dxa"/>
            <w:vAlign w:val="bottom"/>
            <w:vMerge w:val="restart"/>
          </w:tcPr>
          <w:p>
            <w:pPr>
              <w:ind w:left="36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w w:val="98"/>
              </w:rPr>
              <w:t>133,139</w:t>
            </w:r>
          </w:p>
        </w:tc>
        <w:tc>
          <w:tcPr>
            <w:tcW w:w="500" w:type="dxa"/>
            <w:vAlign w:val="bottom"/>
            <w:vMerge w:val="restart"/>
          </w:tcPr>
          <w:p>
            <w:pPr>
              <w:ind w:left="40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5"/>
              </w:rPr>
              <w:t>186,247</w:t>
            </w:r>
          </w:p>
        </w:tc>
        <w:tc>
          <w:tcPr>
            <w:tcW w:w="0" w:type="dxa"/>
            <w:vAlign w:val="bottom"/>
          </w:tcPr>
          <w:p>
            <w:pPr>
              <w:spacing w:after="0"/>
              <w:rPr>
                <w:sz w:val="1"/>
                <w:szCs w:val="1"/>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5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54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81,693</w:t>
            </w:r>
          </w:p>
        </w:tc>
        <w:tc>
          <w:tcPr>
            <w:tcW w:w="500" w:type="dxa"/>
            <w:vAlign w:val="bottom"/>
          </w:tcPr>
          <w:p>
            <w:pPr>
              <w:spacing w:after="0"/>
              <w:rPr>
                <w:sz w:val="15"/>
                <w:szCs w:val="15"/>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72,078</w:t>
            </w:r>
          </w:p>
        </w:tc>
        <w:tc>
          <w:tcPr>
            <w:tcW w:w="44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82,584</w:t>
            </w:r>
          </w:p>
        </w:tc>
        <w:tc>
          <w:tcPr>
            <w:tcW w:w="5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111,162</w:t>
            </w:r>
          </w:p>
        </w:tc>
        <w:tc>
          <w:tcPr>
            <w:tcW w:w="0" w:type="dxa"/>
            <w:vAlign w:val="bottom"/>
          </w:tcPr>
          <w:p>
            <w:pPr>
              <w:spacing w:after="0"/>
              <w:rPr>
                <w:sz w:val="1"/>
                <w:szCs w:val="1"/>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540" w:type="dxa"/>
            <w:vAlign w:val="bottom"/>
            <w:vMerge w:val="restart"/>
          </w:tcPr>
          <w:p>
            <w:pPr>
              <w:ind w:left="4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44,633</w:t>
            </w:r>
          </w:p>
        </w:tc>
        <w:tc>
          <w:tcPr>
            <w:tcW w:w="500" w:type="dxa"/>
            <w:vAlign w:val="bottom"/>
            <w:vMerge w:val="restart"/>
          </w:tcPr>
          <w:p>
            <w:pPr>
              <w:ind w:left="40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37,424</w:t>
            </w:r>
          </w:p>
        </w:tc>
        <w:tc>
          <w:tcPr>
            <w:tcW w:w="440" w:type="dxa"/>
            <w:vAlign w:val="bottom"/>
            <w:vMerge w:val="restart"/>
          </w:tcPr>
          <w:p>
            <w:pPr>
              <w:ind w:left="36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35,442</w:t>
            </w:r>
          </w:p>
        </w:tc>
        <w:tc>
          <w:tcPr>
            <w:tcW w:w="500" w:type="dxa"/>
            <w:vAlign w:val="bottom"/>
            <w:vMerge w:val="restart"/>
          </w:tcPr>
          <w:p>
            <w:pPr>
              <w:ind w:left="40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48,120</w:t>
            </w:r>
          </w:p>
        </w:tc>
        <w:tc>
          <w:tcPr>
            <w:tcW w:w="0" w:type="dxa"/>
            <w:vAlign w:val="bottom"/>
          </w:tcPr>
          <w:p>
            <w:pPr>
              <w:spacing w:after="0"/>
              <w:rPr>
                <w:sz w:val="1"/>
                <w:szCs w:val="1"/>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Long-term debt of continuing operations</w:t>
            </w:r>
          </w:p>
        </w:tc>
        <w:tc>
          <w:tcPr>
            <w:tcW w:w="540" w:type="dxa"/>
            <w:vAlign w:val="bottom"/>
            <w:vMerge w:val="continue"/>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633</w:t>
            </w:r>
          </w:p>
        </w:tc>
        <w:tc>
          <w:tcPr>
            <w:tcW w:w="500" w:type="dxa"/>
            <w:vAlign w:val="bottom"/>
            <w:vMerge w:val="continue"/>
          </w:tcPr>
          <w:p>
            <w:pPr>
              <w:spacing w:after="0"/>
              <w:rPr>
                <w:sz w:val="15"/>
                <w:szCs w:val="15"/>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57</w:t>
            </w:r>
          </w:p>
        </w:tc>
        <w:tc>
          <w:tcPr>
            <w:tcW w:w="440" w:type="dxa"/>
            <w:vAlign w:val="bottom"/>
            <w:vMerge w:val="continue"/>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93</w:t>
            </w:r>
          </w:p>
        </w:tc>
        <w:tc>
          <w:tcPr>
            <w:tcW w:w="500" w:type="dxa"/>
            <w:vAlign w:val="bottom"/>
            <w:vMerge w:val="continue"/>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190</w:t>
            </w:r>
          </w:p>
        </w:tc>
        <w:tc>
          <w:tcPr>
            <w:tcW w:w="0" w:type="dxa"/>
            <w:vAlign w:val="bottom"/>
          </w:tcPr>
          <w:p>
            <w:pPr>
              <w:spacing w:after="0"/>
              <w:rPr>
                <w:sz w:val="1"/>
                <w:szCs w:val="1"/>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Current ratio</w:t>
            </w:r>
          </w:p>
        </w:tc>
        <w:tc>
          <w:tcPr>
            <w:tcW w:w="15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1.9 to 1</w:t>
            </w:r>
          </w:p>
        </w:tc>
        <w:tc>
          <w:tcPr>
            <w:tcW w:w="15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1.8 to 1</w:t>
            </w:r>
          </w:p>
        </w:tc>
        <w:tc>
          <w:tcPr>
            <w:tcW w:w="15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1.9 to 1</w:t>
            </w:r>
          </w:p>
        </w:tc>
        <w:tc>
          <w:tcPr>
            <w:tcW w:w="12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1.8 to 1</w:t>
            </w:r>
          </w:p>
        </w:tc>
        <w:tc>
          <w:tcPr>
            <w:tcW w:w="0" w:type="dxa"/>
            <w:vAlign w:val="bottom"/>
          </w:tcPr>
          <w:p>
            <w:pPr>
              <w:spacing w:after="0"/>
              <w:rPr>
                <w:sz w:val="1"/>
                <w:szCs w:val="1"/>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Motor home unit sales:</w:t>
            </w:r>
          </w:p>
        </w:tc>
        <w:tc>
          <w:tcPr>
            <w:tcW w:w="540" w:type="dxa"/>
            <w:vAlign w:val="bottom"/>
          </w:tcPr>
          <w:p>
            <w:pPr>
              <w:spacing w:after="0"/>
              <w:rPr>
                <w:sz w:val="15"/>
                <w:szCs w:val="15"/>
                <w:color w:val="auto"/>
              </w:rPr>
            </w:pPr>
          </w:p>
        </w:tc>
        <w:tc>
          <w:tcPr>
            <w:tcW w:w="10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6,095</w:t>
            </w:r>
          </w:p>
        </w:tc>
        <w:tc>
          <w:tcPr>
            <w:tcW w:w="500" w:type="dxa"/>
            <w:vAlign w:val="bottom"/>
          </w:tcPr>
          <w:p>
            <w:pPr>
              <w:spacing w:after="0"/>
              <w:rPr>
                <w:sz w:val="15"/>
                <w:szCs w:val="15"/>
                <w:color w:val="auto"/>
              </w:rPr>
            </w:pPr>
          </w:p>
        </w:tc>
        <w:tc>
          <w:tcPr>
            <w:tcW w:w="1080" w:type="dxa"/>
            <w:vAlign w:val="bottom"/>
            <w:vMerge w:val="restart"/>
          </w:tcPr>
          <w:p>
            <w:pPr>
              <w:jc w:val="right"/>
              <w:ind w:right="385"/>
              <w:spacing w:after="0"/>
              <w:rPr>
                <w:sz w:val="20"/>
                <w:szCs w:val="20"/>
                <w:color w:val="auto"/>
              </w:rPr>
            </w:pPr>
            <w:r>
              <w:rPr>
                <w:rFonts w:ascii="Courier New" w:cs="Courier New" w:eastAsia="Courier New" w:hAnsi="Courier New"/>
                <w:sz w:val="15"/>
                <w:szCs w:val="15"/>
                <w:color w:val="auto"/>
              </w:rPr>
              <w:t>4,161</w:t>
            </w:r>
          </w:p>
        </w:tc>
        <w:tc>
          <w:tcPr>
            <w:tcW w:w="440" w:type="dxa"/>
            <w:vAlign w:val="bottom"/>
          </w:tcPr>
          <w:p>
            <w:pPr>
              <w:spacing w:after="0"/>
              <w:rPr>
                <w:sz w:val="15"/>
                <w:szCs w:val="15"/>
                <w:color w:val="auto"/>
              </w:rPr>
            </w:pPr>
          </w:p>
        </w:tc>
        <w:tc>
          <w:tcPr>
            <w:tcW w:w="114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2,814</w:t>
            </w:r>
          </w:p>
        </w:tc>
        <w:tc>
          <w:tcPr>
            <w:tcW w:w="500" w:type="dxa"/>
            <w:vAlign w:val="bottom"/>
          </w:tcPr>
          <w:p>
            <w:pPr>
              <w:spacing w:after="0"/>
              <w:rPr>
                <w:sz w:val="15"/>
                <w:szCs w:val="15"/>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4,613</w:t>
            </w:r>
          </w:p>
        </w:tc>
        <w:tc>
          <w:tcPr>
            <w:tcW w:w="0" w:type="dxa"/>
            <w:vAlign w:val="bottom"/>
          </w:tcPr>
          <w:p>
            <w:pPr>
              <w:spacing w:after="0"/>
              <w:rPr>
                <w:sz w:val="1"/>
                <w:szCs w:val="1"/>
                <w:color w:val="auto"/>
              </w:rPr>
            </w:pPr>
          </w:p>
        </w:tc>
      </w:tr>
      <w:tr>
        <w:trPr>
          <w:trHeight w:val="173"/>
        </w:trPr>
        <w:tc>
          <w:tcPr>
            <w:tcW w:w="4860" w:type="dxa"/>
            <w:vAlign w:val="bottom"/>
          </w:tcPr>
          <w:p>
            <w:pPr>
              <w:ind w:left="260"/>
              <w:spacing w:after="0"/>
              <w:rPr>
                <w:sz w:val="20"/>
                <w:szCs w:val="20"/>
                <w:color w:val="auto"/>
              </w:rPr>
            </w:pPr>
            <w:r>
              <w:rPr>
                <w:rFonts w:ascii="Courier New" w:cs="Courier New" w:eastAsia="Courier New" w:hAnsi="Courier New"/>
                <w:sz w:val="15"/>
                <w:szCs w:val="15"/>
                <w:color w:val="auto"/>
              </w:rPr>
              <w:t>Class A</w:t>
            </w:r>
          </w:p>
        </w:tc>
        <w:tc>
          <w:tcPr>
            <w:tcW w:w="5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60" w:type="dxa"/>
            <w:vAlign w:val="bottom"/>
          </w:tcPr>
          <w:p>
            <w:pPr>
              <w:ind w:left="260"/>
              <w:spacing w:after="0"/>
              <w:rPr>
                <w:sz w:val="20"/>
                <w:szCs w:val="20"/>
                <w:color w:val="auto"/>
              </w:rPr>
            </w:pPr>
            <w:r>
              <w:rPr>
                <w:rFonts w:ascii="Courier New" w:cs="Courier New" w:eastAsia="Courier New" w:hAnsi="Courier New"/>
                <w:sz w:val="15"/>
                <w:szCs w:val="15"/>
                <w:color w:val="auto"/>
              </w:rPr>
              <w:t>Class B</w:t>
            </w:r>
          </w:p>
        </w:tc>
        <w:tc>
          <w:tcPr>
            <w:tcW w:w="54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860" w:type="dxa"/>
            <w:vAlign w:val="bottom"/>
          </w:tcPr>
          <w:p>
            <w:pPr>
              <w:ind w:left="260"/>
              <w:spacing w:after="0"/>
              <w:rPr>
                <w:sz w:val="20"/>
                <w:szCs w:val="20"/>
                <w:color w:val="auto"/>
              </w:rPr>
            </w:pPr>
            <w:r>
              <w:rPr>
                <w:rFonts w:ascii="Courier New" w:cs="Courier New" w:eastAsia="Courier New" w:hAnsi="Courier New"/>
                <w:sz w:val="15"/>
                <w:szCs w:val="15"/>
                <w:color w:val="auto"/>
              </w:rPr>
              <w:t>Class C</w:t>
            </w:r>
          </w:p>
        </w:tc>
        <w:tc>
          <w:tcPr>
            <w:tcW w:w="54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500" w:type="dxa"/>
            <w:vAlign w:val="bottom"/>
          </w:tcPr>
          <w:p>
            <w:pPr>
              <w:spacing w:after="0"/>
              <w:rPr>
                <w:sz w:val="15"/>
                <w:szCs w:val="15"/>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2,425</w:t>
            </w:r>
          </w:p>
        </w:tc>
        <w:tc>
          <w:tcPr>
            <w:tcW w:w="44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2,647</w:t>
            </w:r>
          </w:p>
        </w:tc>
        <w:tc>
          <w:tcPr>
            <w:tcW w:w="5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3,820</w:t>
            </w:r>
          </w:p>
        </w:tc>
        <w:tc>
          <w:tcPr>
            <w:tcW w:w="0" w:type="dxa"/>
            <w:vAlign w:val="bottom"/>
          </w:tcPr>
          <w:p>
            <w:pPr>
              <w:spacing w:after="0"/>
              <w:rPr>
                <w:sz w:val="1"/>
                <w:szCs w:val="1"/>
                <w:color w:val="auto"/>
              </w:rPr>
            </w:pPr>
          </w:p>
        </w:tc>
      </w:tr>
      <w:tr>
        <w:trPr>
          <w:trHeight w:val="255"/>
        </w:trPr>
        <w:tc>
          <w:tcPr>
            <w:tcW w:w="4860" w:type="dxa"/>
            <w:vAlign w:val="bottom"/>
          </w:tcPr>
          <w:p>
            <w:pPr>
              <w:ind w:left="540"/>
              <w:spacing w:after="0"/>
              <w:rPr>
                <w:sz w:val="20"/>
                <w:szCs w:val="20"/>
                <w:color w:val="auto"/>
              </w:rPr>
            </w:pPr>
            <w:r>
              <w:rPr>
                <w:rFonts w:ascii="Courier New" w:cs="Courier New" w:eastAsia="Courier New" w:hAnsi="Courier New"/>
                <w:sz w:val="15"/>
                <w:szCs w:val="15"/>
                <w:color w:val="auto"/>
              </w:rPr>
              <w:t>Total</w:t>
            </w:r>
          </w:p>
        </w:tc>
        <w:tc>
          <w:tcPr>
            <w:tcW w:w="540" w:type="dxa"/>
            <w:vAlign w:val="bottom"/>
          </w:tcPr>
          <w:p>
            <w:pPr>
              <w:spacing w:after="0"/>
              <w:rPr>
                <w:sz w:val="22"/>
                <w:szCs w:val="22"/>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8,093</w:t>
            </w:r>
          </w:p>
        </w:tc>
        <w:tc>
          <w:tcPr>
            <w:tcW w:w="500" w:type="dxa"/>
            <w:vAlign w:val="bottom"/>
          </w:tcPr>
          <w:p>
            <w:pPr>
              <w:spacing w:after="0"/>
              <w:rPr>
                <w:sz w:val="22"/>
                <w:szCs w:val="22"/>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6,586</w:t>
            </w:r>
          </w:p>
        </w:tc>
        <w:tc>
          <w:tcPr>
            <w:tcW w:w="440" w:type="dxa"/>
            <w:vAlign w:val="bottom"/>
          </w:tcPr>
          <w:p>
            <w:pPr>
              <w:spacing w:after="0"/>
              <w:rPr>
                <w:sz w:val="22"/>
                <w:szCs w:val="22"/>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5,461</w:t>
            </w:r>
          </w:p>
        </w:tc>
        <w:tc>
          <w:tcPr>
            <w:tcW w:w="500" w:type="dxa"/>
            <w:vAlign w:val="bottom"/>
          </w:tcPr>
          <w:p>
            <w:pPr>
              <w:spacing w:after="0"/>
              <w:rPr>
                <w:sz w:val="22"/>
                <w:szCs w:val="22"/>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8,433</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368" w:hanging="368"/>
        <w:spacing w:after="0"/>
        <w:tabs>
          <w:tab w:leader="none" w:pos="36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to reflect Cycle-Sat and NIE as discontinued operations</w:t>
      </w:r>
    </w:p>
    <w:p>
      <w:pPr>
        <w:spacing w:after="0" w:line="350" w:lineRule="exact"/>
        <w:rPr>
          <w:rFonts w:ascii="Courier New" w:cs="Courier New" w:eastAsia="Courier New" w:hAnsi="Courier New"/>
          <w:sz w:val="15"/>
          <w:szCs w:val="15"/>
          <w:color w:val="auto"/>
        </w:rPr>
      </w:pPr>
    </w:p>
    <w:p>
      <w:pPr>
        <w:ind w:left="20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[WIDE TABLE CONTINUED FROM ABOVE]</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454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 except per share data)</w:t>
            </w:r>
          </w:p>
        </w:tc>
        <w:tc>
          <w:tcPr>
            <w:tcW w:w="176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August 26,</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9"/>
              </w:rPr>
              <w:t>August 27,</w:t>
            </w:r>
          </w:p>
        </w:tc>
        <w:tc>
          <w:tcPr>
            <w:tcW w:w="122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99"/>
              </w:rPr>
              <w:t>August 29,</w:t>
            </w:r>
          </w:p>
        </w:tc>
        <w:tc>
          <w:tcPr>
            <w:tcW w:w="0" w:type="dxa"/>
            <w:vAlign w:val="bottom"/>
          </w:tcPr>
          <w:p>
            <w:pPr>
              <w:spacing w:after="0"/>
              <w:rPr>
                <w:sz w:val="1"/>
                <w:szCs w:val="1"/>
                <w:color w:val="auto"/>
              </w:rPr>
            </w:pPr>
          </w:p>
        </w:tc>
      </w:tr>
      <w:tr>
        <w:trPr>
          <w:trHeight w:val="201"/>
        </w:trPr>
        <w:tc>
          <w:tcPr>
            <w:tcW w:w="4540" w:type="dxa"/>
            <w:vAlign w:val="bottom"/>
            <w:vMerge w:val="continue"/>
          </w:tcPr>
          <w:p>
            <w:pPr>
              <w:spacing w:after="0"/>
              <w:rPr>
                <w:sz w:val="17"/>
                <w:szCs w:val="17"/>
                <w:color w:val="auto"/>
              </w:rPr>
            </w:pPr>
          </w:p>
        </w:tc>
        <w:tc>
          <w:tcPr>
            <w:tcW w:w="17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1989</w:t>
            </w:r>
          </w:p>
        </w:tc>
        <w:tc>
          <w:tcPr>
            <w:tcW w:w="15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1988</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1987</w:t>
            </w:r>
          </w:p>
        </w:tc>
        <w:tc>
          <w:tcPr>
            <w:tcW w:w="0" w:type="dxa"/>
            <w:vAlign w:val="bottom"/>
          </w:tcPr>
          <w:p>
            <w:pPr>
              <w:spacing w:after="0"/>
              <w:rPr>
                <w:sz w:val="1"/>
                <w:szCs w:val="1"/>
                <w:color w:val="auto"/>
              </w:rPr>
            </w:pPr>
          </w:p>
        </w:tc>
      </w:tr>
    </w:tbl>
    <w:p>
      <w:pPr>
        <w:ind w:left="8"/>
        <w:spacing w:after="0"/>
        <w:rPr>
          <w:sz w:val="20"/>
          <w:szCs w:val="20"/>
          <w:color w:val="auto"/>
        </w:rPr>
      </w:pPr>
      <w:r>
        <w:rPr>
          <w:rFonts w:ascii="Courier New" w:cs="Courier New" w:eastAsia="Courier New" w:hAnsi="Courier New"/>
          <w:sz w:val="15"/>
          <w:szCs w:val="15"/>
          <w:color w:val="auto"/>
        </w:rPr>
        <w:t>- --------------------------------------------------- --------------- ----------------- ---------------</w:t>
      </w:r>
    </w:p>
    <w:p>
      <w:pPr>
        <w:spacing w:after="0" w:line="149"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420" w:type="dxa"/>
            <w:vAlign w:val="bottom"/>
            <w:vMerge w:val="restart"/>
          </w:tcPr>
          <w:p>
            <w:pPr>
              <w:ind w:left="32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w w:val="95"/>
              </w:rPr>
              <w:t>422,423</w:t>
            </w:r>
          </w:p>
        </w:tc>
        <w:tc>
          <w:tcPr>
            <w:tcW w:w="500" w:type="dxa"/>
            <w:vAlign w:val="bottom"/>
            <w:vMerge w:val="restart"/>
          </w:tcPr>
          <w:p>
            <w:pPr>
              <w:ind w:left="40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w w:val="95"/>
              </w:rPr>
              <w:t>420,043</w:t>
            </w:r>
          </w:p>
        </w:tc>
        <w:tc>
          <w:tcPr>
            <w:tcW w:w="500" w:type="dxa"/>
            <w:vAlign w:val="bottom"/>
            <w:vMerge w:val="restart"/>
          </w:tcPr>
          <w:p>
            <w:pPr>
              <w:ind w:left="40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5"/>
              </w:rPr>
              <w:t>406,321</w:t>
            </w:r>
          </w:p>
        </w:tc>
        <w:tc>
          <w:tcPr>
            <w:tcW w:w="0" w:type="dxa"/>
            <w:vAlign w:val="bottom"/>
          </w:tcPr>
          <w:p>
            <w:pPr>
              <w:spacing w:after="0"/>
              <w:rPr>
                <w:sz w:val="1"/>
                <w:szCs w:val="1"/>
                <w:color w:val="auto"/>
              </w:rPr>
            </w:pPr>
          </w:p>
        </w:tc>
      </w:tr>
      <w:tr>
        <w:trPr>
          <w:trHeight w:val="173"/>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Manufactured products</w:t>
            </w:r>
          </w:p>
        </w:tc>
        <w:tc>
          <w:tcPr>
            <w:tcW w:w="4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Finance</w:t>
            </w:r>
          </w:p>
        </w:tc>
        <w:tc>
          <w:tcPr>
            <w:tcW w:w="420" w:type="dxa"/>
            <w:vAlign w:val="bottom"/>
          </w:tcPr>
          <w:p>
            <w:pPr>
              <w:spacing w:after="0"/>
              <w:rPr>
                <w:sz w:val="15"/>
                <w:szCs w:val="15"/>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6,651</w:t>
            </w:r>
          </w:p>
        </w:tc>
        <w:tc>
          <w:tcPr>
            <w:tcW w:w="500" w:type="dxa"/>
            <w:vAlign w:val="bottom"/>
          </w:tcPr>
          <w:p>
            <w:pPr>
              <w:spacing w:after="0"/>
              <w:rPr>
                <w:sz w:val="15"/>
                <w:szCs w:val="15"/>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5,204</w:t>
            </w:r>
          </w:p>
        </w:tc>
        <w:tc>
          <w:tcPr>
            <w:tcW w:w="5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6,831</w:t>
            </w:r>
          </w:p>
        </w:tc>
        <w:tc>
          <w:tcPr>
            <w:tcW w:w="0" w:type="dxa"/>
            <w:vAlign w:val="bottom"/>
          </w:tcPr>
          <w:p>
            <w:pPr>
              <w:spacing w:after="0"/>
              <w:rPr>
                <w:sz w:val="1"/>
                <w:szCs w:val="1"/>
                <w:color w:val="auto"/>
              </w:rPr>
            </w:pPr>
          </w:p>
        </w:tc>
      </w:tr>
      <w:tr>
        <w:trPr>
          <w:trHeight w:val="173"/>
        </w:trPr>
        <w:tc>
          <w:tcPr>
            <w:tcW w:w="4720" w:type="dxa"/>
            <w:vAlign w:val="bottom"/>
          </w:tcPr>
          <w:p>
            <w:pPr>
              <w:ind w:left="540"/>
              <w:spacing w:after="0"/>
              <w:rPr>
                <w:sz w:val="20"/>
                <w:szCs w:val="20"/>
                <w:color w:val="auto"/>
              </w:rPr>
            </w:pPr>
            <w:r>
              <w:rPr>
                <w:rFonts w:ascii="Courier New" w:cs="Courier New" w:eastAsia="Courier New" w:hAnsi="Courier New"/>
                <w:sz w:val="15"/>
                <w:szCs w:val="15"/>
                <w:color w:val="auto"/>
              </w:rPr>
              <w:t>Total net revenues</w:t>
            </w:r>
          </w:p>
        </w:tc>
        <w:tc>
          <w:tcPr>
            <w:tcW w:w="420" w:type="dxa"/>
            <w:vAlign w:val="bottom"/>
          </w:tcPr>
          <w:p>
            <w:pPr>
              <w:spacing w:after="0"/>
              <w:rPr>
                <w:sz w:val="15"/>
                <w:szCs w:val="15"/>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5"/>
              </w:rPr>
              <w:t>429,074</w:t>
            </w:r>
          </w:p>
        </w:tc>
        <w:tc>
          <w:tcPr>
            <w:tcW w:w="500" w:type="dxa"/>
            <w:vAlign w:val="bottom"/>
          </w:tcPr>
          <w:p>
            <w:pPr>
              <w:spacing w:after="0"/>
              <w:rPr>
                <w:sz w:val="15"/>
                <w:szCs w:val="15"/>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5"/>
              </w:rPr>
              <w:t>425,247</w:t>
            </w:r>
          </w:p>
        </w:tc>
        <w:tc>
          <w:tcPr>
            <w:tcW w:w="5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413,152</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Income (loss) before taxes</w:t>
            </w:r>
          </w:p>
        </w:tc>
        <w:tc>
          <w:tcPr>
            <w:tcW w:w="420" w:type="dxa"/>
            <w:vAlign w:val="bottom"/>
          </w:tcPr>
          <w:p>
            <w:pPr>
              <w:spacing w:after="0"/>
              <w:rPr>
                <w:sz w:val="15"/>
                <w:szCs w:val="15"/>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2,550</w:t>
            </w:r>
          </w:p>
        </w:tc>
        <w:tc>
          <w:tcPr>
            <w:tcW w:w="500" w:type="dxa"/>
            <w:vAlign w:val="bottom"/>
          </w:tcPr>
          <w:p>
            <w:pPr>
              <w:spacing w:after="0"/>
              <w:rPr>
                <w:sz w:val="15"/>
                <w:szCs w:val="15"/>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6,207</w:t>
            </w:r>
          </w:p>
        </w:tc>
        <w:tc>
          <w:tcPr>
            <w:tcW w:w="5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36,904</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Provision (credit) for income taxes</w:t>
            </w:r>
          </w:p>
        </w:tc>
        <w:tc>
          <w:tcPr>
            <w:tcW w:w="420" w:type="dxa"/>
            <w:vAlign w:val="bottom"/>
          </w:tcPr>
          <w:p>
            <w:pPr>
              <w:spacing w:after="0"/>
              <w:rPr>
                <w:sz w:val="15"/>
                <w:szCs w:val="15"/>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59</w:t>
            </w:r>
          </w:p>
        </w:tc>
        <w:tc>
          <w:tcPr>
            <w:tcW w:w="500" w:type="dxa"/>
            <w:vAlign w:val="bottom"/>
          </w:tcPr>
          <w:p>
            <w:pPr>
              <w:spacing w:after="0"/>
              <w:rPr>
                <w:sz w:val="15"/>
                <w:szCs w:val="15"/>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w:t>
            </w:r>
          </w:p>
        </w:tc>
        <w:tc>
          <w:tcPr>
            <w:tcW w:w="5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15,961</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420" w:type="dxa"/>
            <w:vAlign w:val="bottom"/>
          </w:tcPr>
          <w:p>
            <w:pPr>
              <w:spacing w:after="0"/>
              <w:rPr>
                <w:sz w:val="15"/>
                <w:szCs w:val="15"/>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2,491</w:t>
            </w:r>
          </w:p>
        </w:tc>
        <w:tc>
          <w:tcPr>
            <w:tcW w:w="500" w:type="dxa"/>
            <w:vAlign w:val="bottom"/>
          </w:tcPr>
          <w:p>
            <w:pPr>
              <w:spacing w:after="0"/>
              <w:rPr>
                <w:sz w:val="15"/>
                <w:szCs w:val="15"/>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6,239</w:t>
            </w:r>
          </w:p>
        </w:tc>
        <w:tc>
          <w:tcPr>
            <w:tcW w:w="5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20,943</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(Loss) income from discontinued operations</w:t>
            </w:r>
          </w:p>
        </w:tc>
        <w:tc>
          <w:tcPr>
            <w:tcW w:w="420" w:type="dxa"/>
            <w:vAlign w:val="bottom"/>
          </w:tcPr>
          <w:p>
            <w:pPr>
              <w:spacing w:after="0"/>
              <w:rPr>
                <w:sz w:val="15"/>
                <w:szCs w:val="15"/>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(7,166)</w:t>
            </w:r>
          </w:p>
        </w:tc>
        <w:tc>
          <w:tcPr>
            <w:tcW w:w="500" w:type="dxa"/>
            <w:vAlign w:val="bottom"/>
          </w:tcPr>
          <w:p>
            <w:pPr>
              <w:spacing w:after="0"/>
              <w:rPr>
                <w:sz w:val="15"/>
                <w:szCs w:val="15"/>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(3,513)</w:t>
            </w:r>
          </w:p>
        </w:tc>
        <w:tc>
          <w:tcPr>
            <w:tcW w:w="5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(967)</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Cumulative effect of accounting change</w:t>
            </w:r>
          </w:p>
        </w:tc>
        <w:tc>
          <w:tcPr>
            <w:tcW w:w="420" w:type="dxa"/>
            <w:vAlign w:val="bottom"/>
          </w:tcPr>
          <w:p>
            <w:pPr>
              <w:spacing w:after="0"/>
              <w:rPr>
                <w:sz w:val="15"/>
                <w:szCs w:val="15"/>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420" w:type="dxa"/>
            <w:vAlign w:val="bottom"/>
          </w:tcPr>
          <w:p>
            <w:pPr>
              <w:spacing w:after="0"/>
              <w:rPr>
                <w:sz w:val="15"/>
                <w:szCs w:val="15"/>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(4,675)</w:t>
            </w:r>
          </w:p>
        </w:tc>
        <w:tc>
          <w:tcPr>
            <w:tcW w:w="500" w:type="dxa"/>
            <w:vAlign w:val="bottom"/>
          </w:tcPr>
          <w:p>
            <w:pPr>
              <w:spacing w:after="0"/>
              <w:rPr>
                <w:sz w:val="15"/>
                <w:szCs w:val="15"/>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2,726</w:t>
            </w:r>
          </w:p>
        </w:tc>
        <w:tc>
          <w:tcPr>
            <w:tcW w:w="5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19,976</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420" w:type="dxa"/>
            <w:vAlign w:val="bottom"/>
          </w:tcPr>
          <w:p>
            <w:pPr>
              <w:spacing w:after="0"/>
              <w:rPr>
                <w:sz w:val="15"/>
                <w:szCs w:val="15"/>
                <w:color w:val="auto"/>
              </w:rPr>
            </w:pPr>
          </w:p>
        </w:tc>
        <w:tc>
          <w:tcPr>
            <w:tcW w:w="112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spacing w:after="0"/>
              <w:rPr>
                <w:sz w:val="15"/>
                <w:szCs w:val="15"/>
                <w:color w:val="auto"/>
              </w:rPr>
            </w:pPr>
          </w:p>
        </w:tc>
        <w:tc>
          <w:tcPr>
            <w:tcW w:w="112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.25</w:t>
            </w:r>
          </w:p>
        </w:tc>
        <w:tc>
          <w:tcPr>
            <w:tcW w:w="500" w:type="dxa"/>
            <w:vAlign w:val="bottom"/>
          </w:tcPr>
          <w:p>
            <w:pPr>
              <w:spacing w:after="0"/>
              <w:rPr>
                <w:sz w:val="15"/>
                <w:szCs w:val="15"/>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.82</w:t>
            </w:r>
          </w:p>
        </w:tc>
        <w:tc>
          <w:tcPr>
            <w:tcW w:w="0" w:type="dxa"/>
            <w:vAlign w:val="bottom"/>
          </w:tcPr>
          <w:p>
            <w:pPr>
              <w:spacing w:after="0"/>
              <w:rPr>
                <w:sz w:val="1"/>
                <w:szCs w:val="1"/>
                <w:color w:val="auto"/>
              </w:rPr>
            </w:pPr>
          </w:p>
        </w:tc>
      </w:tr>
      <w:tr>
        <w:trPr>
          <w:trHeight w:val="173"/>
        </w:trPr>
        <w:tc>
          <w:tcPr>
            <w:tcW w:w="4720" w:type="dxa"/>
            <w:vAlign w:val="bottom"/>
          </w:tcPr>
          <w:p>
            <w:pPr>
              <w:ind w:left="360"/>
              <w:spacing w:after="0"/>
              <w:rPr>
                <w:sz w:val="20"/>
                <w:szCs w:val="20"/>
                <w:color w:val="auto"/>
              </w:rPr>
            </w:pPr>
            <w:r>
              <w:rPr>
                <w:rFonts w:ascii="Courier New" w:cs="Courier New" w:eastAsia="Courier New" w:hAnsi="Courier New"/>
                <w:sz w:val="15"/>
                <w:szCs w:val="15"/>
                <w:color w:val="auto"/>
              </w:rPr>
              <w:t>Income (loss) from continuing operations</w:t>
            </w:r>
          </w:p>
        </w:tc>
        <w:tc>
          <w:tcPr>
            <w:tcW w:w="4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20" w:type="dxa"/>
            <w:vAlign w:val="bottom"/>
          </w:tcPr>
          <w:p>
            <w:pPr>
              <w:ind w:left="360"/>
              <w:spacing w:after="0"/>
              <w:rPr>
                <w:sz w:val="20"/>
                <w:szCs w:val="20"/>
                <w:color w:val="auto"/>
              </w:rPr>
            </w:pPr>
            <w:r>
              <w:rPr>
                <w:rFonts w:ascii="Courier New" w:cs="Courier New" w:eastAsia="Courier New" w:hAnsi="Courier New"/>
                <w:sz w:val="15"/>
                <w:szCs w:val="15"/>
                <w:color w:val="auto"/>
              </w:rPr>
              <w:t>(Loss) income from discontinued operations</w:t>
            </w:r>
          </w:p>
        </w:tc>
        <w:tc>
          <w:tcPr>
            <w:tcW w:w="420" w:type="dxa"/>
            <w:vAlign w:val="bottom"/>
          </w:tcPr>
          <w:p>
            <w:pPr>
              <w:spacing w:after="0"/>
              <w:rPr>
                <w:sz w:val="15"/>
                <w:szCs w:val="15"/>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w:t>
            </w:r>
          </w:p>
        </w:tc>
        <w:tc>
          <w:tcPr>
            <w:tcW w:w="500" w:type="dxa"/>
            <w:vAlign w:val="bottom"/>
          </w:tcPr>
          <w:p>
            <w:pPr>
              <w:spacing w:after="0"/>
              <w:rPr>
                <w:sz w:val="15"/>
                <w:szCs w:val="15"/>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w:t>
            </w:r>
          </w:p>
        </w:tc>
        <w:tc>
          <w:tcPr>
            <w:tcW w:w="5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c>
          <w:tcPr>
            <w:tcW w:w="0" w:type="dxa"/>
            <w:vAlign w:val="bottom"/>
          </w:tcPr>
          <w:p>
            <w:pPr>
              <w:spacing w:after="0"/>
              <w:rPr>
                <w:sz w:val="1"/>
                <w:szCs w:val="1"/>
                <w:color w:val="auto"/>
              </w:rPr>
            </w:pPr>
          </w:p>
        </w:tc>
      </w:tr>
      <w:tr>
        <w:trPr>
          <w:trHeight w:val="173"/>
        </w:trPr>
        <w:tc>
          <w:tcPr>
            <w:tcW w:w="4720" w:type="dxa"/>
            <w:vAlign w:val="bottom"/>
          </w:tcPr>
          <w:p>
            <w:pPr>
              <w:ind w:left="360"/>
              <w:spacing w:after="0"/>
              <w:rPr>
                <w:sz w:val="20"/>
                <w:szCs w:val="20"/>
                <w:color w:val="auto"/>
              </w:rPr>
            </w:pPr>
            <w:r>
              <w:rPr>
                <w:rFonts w:ascii="Courier New" w:cs="Courier New" w:eastAsia="Courier New" w:hAnsi="Courier New"/>
                <w:sz w:val="15"/>
                <w:szCs w:val="15"/>
                <w:color w:val="auto"/>
              </w:rPr>
              <w:t>Cumulative effect of accounting change</w:t>
            </w:r>
          </w:p>
        </w:tc>
        <w:tc>
          <w:tcPr>
            <w:tcW w:w="420" w:type="dxa"/>
            <w:vAlign w:val="bottom"/>
          </w:tcPr>
          <w:p>
            <w:pPr>
              <w:spacing w:after="0"/>
              <w:rPr>
                <w:sz w:val="15"/>
                <w:szCs w:val="15"/>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720" w:type="dxa"/>
            <w:vAlign w:val="bottom"/>
          </w:tcPr>
          <w:p>
            <w:pPr>
              <w:ind w:left="360"/>
              <w:spacing w:after="0"/>
              <w:rPr>
                <w:sz w:val="20"/>
                <w:szCs w:val="20"/>
                <w:color w:val="auto"/>
              </w:rPr>
            </w:pPr>
            <w:r>
              <w:rPr>
                <w:rFonts w:ascii="Courier New" w:cs="Courier New" w:eastAsia="Courier New" w:hAnsi="Courier New"/>
                <w:sz w:val="15"/>
                <w:szCs w:val="15"/>
                <w:color w:val="auto"/>
              </w:rPr>
              <w:t>Net income (loss)</w:t>
            </w:r>
          </w:p>
        </w:tc>
        <w:tc>
          <w:tcPr>
            <w:tcW w:w="420" w:type="dxa"/>
            <w:vAlign w:val="bottom"/>
            <w:vMerge w:val="restart"/>
          </w:tcPr>
          <w:p>
            <w:pPr>
              <w:ind w:left="32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w:t>
            </w:r>
          </w:p>
        </w:tc>
        <w:tc>
          <w:tcPr>
            <w:tcW w:w="500" w:type="dxa"/>
            <w:vAlign w:val="bottom"/>
            <w:vMerge w:val="restart"/>
          </w:tcPr>
          <w:p>
            <w:pPr>
              <w:ind w:left="40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.11</w:t>
            </w:r>
          </w:p>
        </w:tc>
        <w:tc>
          <w:tcPr>
            <w:tcW w:w="500" w:type="dxa"/>
            <w:vAlign w:val="bottom"/>
            <w:vMerge w:val="restart"/>
          </w:tcPr>
          <w:p>
            <w:pPr>
              <w:ind w:left="40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w:t>
            </w:r>
          </w:p>
        </w:tc>
        <w:tc>
          <w:tcPr>
            <w:tcW w:w="0" w:type="dxa"/>
            <w:vAlign w:val="bottom"/>
          </w:tcPr>
          <w:p>
            <w:pPr>
              <w:spacing w:after="0"/>
              <w:rPr>
                <w:sz w:val="1"/>
                <w:szCs w:val="1"/>
                <w:color w:val="auto"/>
              </w:rPr>
            </w:pPr>
          </w:p>
        </w:tc>
      </w:tr>
      <w:tr>
        <w:trPr>
          <w:trHeight w:val="173"/>
        </w:trPr>
        <w:tc>
          <w:tcPr>
            <w:tcW w:w="4720" w:type="dxa"/>
            <w:vAlign w:val="bottom"/>
          </w:tcPr>
          <w:p>
            <w:pPr>
              <w:ind w:left="360"/>
              <w:spacing w:after="0"/>
              <w:rPr>
                <w:sz w:val="20"/>
                <w:szCs w:val="20"/>
                <w:color w:val="auto"/>
              </w:rPr>
            </w:pPr>
            <w:r>
              <w:rPr>
                <w:rFonts w:ascii="Courier New" w:cs="Courier New" w:eastAsia="Courier New" w:hAnsi="Courier New"/>
                <w:sz w:val="15"/>
                <w:szCs w:val="15"/>
                <w:color w:val="auto"/>
              </w:rPr>
              <w:t>Cash dividends per share</w:t>
            </w:r>
          </w:p>
        </w:tc>
        <w:tc>
          <w:tcPr>
            <w:tcW w:w="420" w:type="dxa"/>
            <w:vAlign w:val="bottom"/>
            <w:vMerge w:val="continue"/>
          </w:tcPr>
          <w:p>
            <w:pPr>
              <w:spacing w:after="0"/>
              <w:rPr>
                <w:sz w:val="15"/>
                <w:szCs w:val="15"/>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w:t>
            </w:r>
          </w:p>
        </w:tc>
        <w:tc>
          <w:tcPr>
            <w:tcW w:w="500" w:type="dxa"/>
            <w:vAlign w:val="bottom"/>
            <w:vMerge w:val="continue"/>
          </w:tcPr>
          <w:p>
            <w:pPr>
              <w:spacing w:after="0"/>
              <w:rPr>
                <w:sz w:val="15"/>
                <w:szCs w:val="15"/>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w:t>
            </w:r>
          </w:p>
        </w:tc>
        <w:tc>
          <w:tcPr>
            <w:tcW w:w="500" w:type="dxa"/>
            <w:vAlign w:val="bottom"/>
            <w:vMerge w:val="continue"/>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of common stock</w:t>
            </w:r>
          </w:p>
        </w:tc>
        <w:tc>
          <w:tcPr>
            <w:tcW w:w="420" w:type="dxa"/>
            <w:vAlign w:val="bottom"/>
          </w:tcPr>
          <w:p>
            <w:pPr>
              <w:spacing w:after="0"/>
              <w:rPr>
                <w:sz w:val="15"/>
                <w:szCs w:val="15"/>
                <w:color w:val="auto"/>
              </w:rPr>
            </w:pPr>
          </w:p>
        </w:tc>
        <w:tc>
          <w:tcPr>
            <w:tcW w:w="112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24,695</w:t>
            </w:r>
          </w:p>
        </w:tc>
        <w:tc>
          <w:tcPr>
            <w:tcW w:w="500" w:type="dxa"/>
            <w:vAlign w:val="bottom"/>
          </w:tcPr>
          <w:p>
            <w:pPr>
              <w:spacing w:after="0"/>
              <w:rPr>
                <w:sz w:val="15"/>
                <w:szCs w:val="15"/>
                <w:color w:val="auto"/>
              </w:rPr>
            </w:pPr>
          </w:p>
        </w:tc>
        <w:tc>
          <w:tcPr>
            <w:tcW w:w="112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24,724</w:t>
            </w:r>
          </w:p>
        </w:tc>
        <w:tc>
          <w:tcPr>
            <w:tcW w:w="500" w:type="dxa"/>
            <w:vAlign w:val="bottom"/>
          </w:tcPr>
          <w:p>
            <w:pPr>
              <w:spacing w:after="0"/>
              <w:rPr>
                <w:sz w:val="15"/>
                <w:szCs w:val="15"/>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25,545</w:t>
            </w:r>
          </w:p>
        </w:tc>
        <w:tc>
          <w:tcPr>
            <w:tcW w:w="0" w:type="dxa"/>
            <w:vAlign w:val="bottom"/>
          </w:tcPr>
          <w:p>
            <w:pPr>
              <w:spacing w:after="0"/>
              <w:rPr>
                <w:sz w:val="1"/>
                <w:szCs w:val="1"/>
                <w:color w:val="auto"/>
              </w:rPr>
            </w:pPr>
          </w:p>
        </w:tc>
      </w:tr>
      <w:tr>
        <w:trPr>
          <w:trHeight w:val="255"/>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42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720" w:type="dxa"/>
            <w:vAlign w:val="bottom"/>
          </w:tcPr>
          <w:p>
            <w:pPr>
              <w:spacing w:after="0"/>
              <w:rPr>
                <w:sz w:val="20"/>
                <w:szCs w:val="20"/>
                <w:color w:val="auto"/>
              </w:rPr>
            </w:pPr>
            <w:r>
              <w:rPr>
                <w:rFonts w:ascii="Courier New" w:cs="Courier New" w:eastAsia="Courier New" w:hAnsi="Courier New"/>
                <w:sz w:val="15"/>
                <w:szCs w:val="15"/>
                <w:color w:val="auto"/>
              </w:rPr>
              <w:t>BALANCE SHEET</w:t>
            </w:r>
          </w:p>
        </w:tc>
        <w:tc>
          <w:tcPr>
            <w:tcW w:w="420" w:type="dxa"/>
            <w:vAlign w:val="bottom"/>
            <w:vMerge w:val="restart"/>
          </w:tcPr>
          <w:p>
            <w:pPr>
              <w:ind w:left="32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w w:val="95"/>
              </w:rPr>
              <w:t>276,802</w:t>
            </w:r>
          </w:p>
        </w:tc>
        <w:tc>
          <w:tcPr>
            <w:tcW w:w="500" w:type="dxa"/>
            <w:vAlign w:val="bottom"/>
            <w:vMerge w:val="restart"/>
          </w:tcPr>
          <w:p>
            <w:pPr>
              <w:ind w:left="40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w w:val="95"/>
              </w:rPr>
              <w:t>314,630</w:t>
            </w:r>
          </w:p>
        </w:tc>
        <w:tc>
          <w:tcPr>
            <w:tcW w:w="500" w:type="dxa"/>
            <w:vAlign w:val="bottom"/>
            <w:vMerge w:val="restart"/>
          </w:tcPr>
          <w:p>
            <w:pPr>
              <w:ind w:left="40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5"/>
              </w:rPr>
              <w:t>226,391</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4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420" w:type="dxa"/>
            <w:vAlign w:val="bottom"/>
          </w:tcPr>
          <w:p>
            <w:pPr>
              <w:spacing w:after="0"/>
              <w:rPr>
                <w:sz w:val="15"/>
                <w:szCs w:val="15"/>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5"/>
              </w:rPr>
              <w:t>130,966</w:t>
            </w:r>
          </w:p>
        </w:tc>
        <w:tc>
          <w:tcPr>
            <w:tcW w:w="500" w:type="dxa"/>
            <w:vAlign w:val="bottom"/>
          </w:tcPr>
          <w:p>
            <w:pPr>
              <w:spacing w:after="0"/>
              <w:rPr>
                <w:sz w:val="15"/>
                <w:szCs w:val="15"/>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5"/>
              </w:rPr>
              <w:t>145,013</w:t>
            </w:r>
          </w:p>
        </w:tc>
        <w:tc>
          <w:tcPr>
            <w:tcW w:w="5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156,940</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420" w:type="dxa"/>
            <w:vAlign w:val="bottom"/>
            <w:vMerge w:val="restart"/>
          </w:tcPr>
          <w:p>
            <w:pPr>
              <w:ind w:left="32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62,768</w:t>
            </w:r>
          </w:p>
        </w:tc>
        <w:tc>
          <w:tcPr>
            <w:tcW w:w="500" w:type="dxa"/>
            <w:vAlign w:val="bottom"/>
            <w:vMerge w:val="restart"/>
          </w:tcPr>
          <w:p>
            <w:pPr>
              <w:ind w:left="40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72,328</w:t>
            </w:r>
          </w:p>
        </w:tc>
        <w:tc>
          <w:tcPr>
            <w:tcW w:w="500" w:type="dxa"/>
            <w:vAlign w:val="bottom"/>
            <w:vMerge w:val="restart"/>
          </w:tcPr>
          <w:p>
            <w:pPr>
              <w:ind w:left="40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68,316</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Long-term debt of continuing operations</w:t>
            </w:r>
          </w:p>
        </w:tc>
        <w:tc>
          <w:tcPr>
            <w:tcW w:w="420" w:type="dxa"/>
            <w:vAlign w:val="bottom"/>
            <w:vMerge w:val="continue"/>
          </w:tcPr>
          <w:p>
            <w:pPr>
              <w:spacing w:after="0"/>
              <w:rPr>
                <w:sz w:val="15"/>
                <w:szCs w:val="15"/>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6,412</w:t>
            </w:r>
          </w:p>
        </w:tc>
        <w:tc>
          <w:tcPr>
            <w:tcW w:w="500" w:type="dxa"/>
            <w:vAlign w:val="bottom"/>
            <w:vMerge w:val="continue"/>
          </w:tcPr>
          <w:p>
            <w:pPr>
              <w:spacing w:after="0"/>
              <w:rPr>
                <w:sz w:val="15"/>
                <w:szCs w:val="15"/>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16,810</w:t>
            </w:r>
          </w:p>
        </w:tc>
        <w:tc>
          <w:tcPr>
            <w:tcW w:w="500" w:type="dxa"/>
            <w:vAlign w:val="bottom"/>
            <w:vMerge w:val="continue"/>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2,180</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Current ratio</w:t>
            </w:r>
          </w:p>
        </w:tc>
        <w:tc>
          <w:tcPr>
            <w:tcW w:w="15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1.5 to 1</w:t>
            </w:r>
          </w:p>
        </w:tc>
        <w:tc>
          <w:tcPr>
            <w:tcW w:w="16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1.5 to 1</w:t>
            </w:r>
          </w:p>
        </w:tc>
        <w:tc>
          <w:tcPr>
            <w:tcW w:w="12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2.1 to 1</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Motor home unit sales:</w:t>
            </w:r>
          </w:p>
        </w:tc>
        <w:tc>
          <w:tcPr>
            <w:tcW w:w="420" w:type="dxa"/>
            <w:vAlign w:val="bottom"/>
          </w:tcPr>
          <w:p>
            <w:pPr>
              <w:spacing w:after="0"/>
              <w:rPr>
                <w:sz w:val="15"/>
                <w:szCs w:val="15"/>
                <w:color w:val="auto"/>
              </w:rPr>
            </w:pPr>
          </w:p>
        </w:tc>
        <w:tc>
          <w:tcPr>
            <w:tcW w:w="112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7,367</w:t>
            </w:r>
          </w:p>
        </w:tc>
        <w:tc>
          <w:tcPr>
            <w:tcW w:w="500" w:type="dxa"/>
            <w:vAlign w:val="bottom"/>
          </w:tcPr>
          <w:p>
            <w:pPr>
              <w:spacing w:after="0"/>
              <w:rPr>
                <w:sz w:val="15"/>
                <w:szCs w:val="15"/>
                <w:color w:val="auto"/>
              </w:rPr>
            </w:pPr>
          </w:p>
        </w:tc>
        <w:tc>
          <w:tcPr>
            <w:tcW w:w="112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7,517</w:t>
            </w:r>
          </w:p>
        </w:tc>
        <w:tc>
          <w:tcPr>
            <w:tcW w:w="500" w:type="dxa"/>
            <w:vAlign w:val="bottom"/>
          </w:tcPr>
          <w:p>
            <w:pPr>
              <w:spacing w:after="0"/>
              <w:rPr>
                <w:sz w:val="15"/>
                <w:szCs w:val="15"/>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7,351</w:t>
            </w:r>
          </w:p>
        </w:tc>
        <w:tc>
          <w:tcPr>
            <w:tcW w:w="0" w:type="dxa"/>
            <w:vAlign w:val="bottom"/>
          </w:tcPr>
          <w:p>
            <w:pPr>
              <w:spacing w:after="0"/>
              <w:rPr>
                <w:sz w:val="1"/>
                <w:szCs w:val="1"/>
                <w:color w:val="auto"/>
              </w:rPr>
            </w:pPr>
          </w:p>
        </w:tc>
      </w:tr>
      <w:tr>
        <w:trPr>
          <w:trHeight w:val="173"/>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Class A</w:t>
            </w:r>
          </w:p>
        </w:tc>
        <w:tc>
          <w:tcPr>
            <w:tcW w:w="4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Class B</w:t>
            </w:r>
          </w:p>
        </w:tc>
        <w:tc>
          <w:tcPr>
            <w:tcW w:w="420" w:type="dxa"/>
            <w:vAlign w:val="bottom"/>
          </w:tcPr>
          <w:p>
            <w:pPr>
              <w:spacing w:after="0"/>
              <w:rPr>
                <w:sz w:val="15"/>
                <w:szCs w:val="15"/>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Class C</w:t>
            </w:r>
          </w:p>
        </w:tc>
        <w:tc>
          <w:tcPr>
            <w:tcW w:w="420" w:type="dxa"/>
            <w:vAlign w:val="bottom"/>
          </w:tcPr>
          <w:p>
            <w:pPr>
              <w:spacing w:after="0"/>
              <w:rPr>
                <w:sz w:val="15"/>
                <w:szCs w:val="15"/>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3,401</w:t>
            </w:r>
          </w:p>
        </w:tc>
        <w:tc>
          <w:tcPr>
            <w:tcW w:w="500" w:type="dxa"/>
            <w:vAlign w:val="bottom"/>
          </w:tcPr>
          <w:p>
            <w:pPr>
              <w:spacing w:after="0"/>
              <w:rPr>
                <w:sz w:val="15"/>
                <w:szCs w:val="15"/>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4,014</w:t>
            </w:r>
          </w:p>
        </w:tc>
        <w:tc>
          <w:tcPr>
            <w:tcW w:w="5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4,732</w:t>
            </w:r>
          </w:p>
        </w:tc>
        <w:tc>
          <w:tcPr>
            <w:tcW w:w="0" w:type="dxa"/>
            <w:vAlign w:val="bottom"/>
          </w:tcPr>
          <w:p>
            <w:pPr>
              <w:spacing w:after="0"/>
              <w:rPr>
                <w:sz w:val="1"/>
                <w:szCs w:val="1"/>
                <w:color w:val="auto"/>
              </w:rPr>
            </w:pPr>
          </w:p>
        </w:tc>
      </w:tr>
      <w:tr>
        <w:trPr>
          <w:trHeight w:val="255"/>
        </w:trPr>
        <w:tc>
          <w:tcPr>
            <w:tcW w:w="4720" w:type="dxa"/>
            <w:vAlign w:val="bottom"/>
          </w:tcPr>
          <w:p>
            <w:pPr>
              <w:ind w:left="540"/>
              <w:spacing w:after="0"/>
              <w:rPr>
                <w:sz w:val="20"/>
                <w:szCs w:val="20"/>
                <w:color w:val="auto"/>
              </w:rPr>
            </w:pPr>
            <w:r>
              <w:rPr>
                <w:rFonts w:ascii="Courier New" w:cs="Courier New" w:eastAsia="Courier New" w:hAnsi="Courier New"/>
                <w:sz w:val="15"/>
                <w:szCs w:val="15"/>
                <w:color w:val="auto"/>
              </w:rPr>
              <w:t>Total</w:t>
            </w:r>
          </w:p>
        </w:tc>
        <w:tc>
          <w:tcPr>
            <w:tcW w:w="420" w:type="dxa"/>
            <w:vAlign w:val="bottom"/>
          </w:tcPr>
          <w:p>
            <w:pPr>
              <w:spacing w:after="0"/>
              <w:rPr>
                <w:sz w:val="22"/>
                <w:szCs w:val="22"/>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10,768</w:t>
            </w:r>
          </w:p>
        </w:tc>
        <w:tc>
          <w:tcPr>
            <w:tcW w:w="500" w:type="dxa"/>
            <w:vAlign w:val="bottom"/>
          </w:tcPr>
          <w:p>
            <w:pPr>
              <w:spacing w:after="0"/>
              <w:rPr>
                <w:sz w:val="22"/>
                <w:szCs w:val="22"/>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11,531</w:t>
            </w:r>
          </w:p>
        </w:tc>
        <w:tc>
          <w:tcPr>
            <w:tcW w:w="500" w:type="dxa"/>
            <w:vAlign w:val="bottom"/>
          </w:tcPr>
          <w:p>
            <w:pPr>
              <w:spacing w:after="0"/>
              <w:rPr>
                <w:sz w:val="22"/>
                <w:szCs w:val="22"/>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12,083</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 Restated to reflect Cycle-Sat and NIE as discontinued operations</w:t>
      </w:r>
    </w:p>
    <w:p>
      <w:pPr>
        <w:spacing w:after="0" w:line="350" w:lineRule="exact"/>
        <w:rPr>
          <w:sz w:val="20"/>
          <w:szCs w:val="20"/>
          <w:color w:val="auto"/>
        </w:rPr>
      </w:pPr>
    </w:p>
    <w:p>
      <w:pPr>
        <w:jc w:val="center"/>
        <w:ind w:right="3512"/>
        <w:spacing w:after="0"/>
        <w:rPr>
          <w:sz w:val="20"/>
          <w:szCs w:val="20"/>
          <w:color w:val="auto"/>
        </w:rPr>
      </w:pPr>
      <w:r>
        <w:rPr>
          <w:rFonts w:ascii="Courier New" w:cs="Courier New" w:eastAsia="Courier New" w:hAnsi="Courier New"/>
          <w:sz w:val="15"/>
          <w:szCs w:val="15"/>
          <w:color w:val="auto"/>
        </w:rPr>
        <w:t>INCOME (LOSS) FROM CONTINUING OPERATIONS PER SHARE*</w:t>
      </w:r>
    </w:p>
    <w:p>
      <w:pPr>
        <w:spacing w:after="0" w:line="31" w:lineRule="exact"/>
        <w:rPr>
          <w:sz w:val="20"/>
          <w:szCs w:val="20"/>
          <w:color w:val="auto"/>
        </w:rPr>
      </w:pPr>
    </w:p>
    <w:p>
      <w:pPr>
        <w:jc w:val="center"/>
        <w:ind w:right="3512"/>
        <w:spacing w:after="0"/>
        <w:rPr>
          <w:sz w:val="20"/>
          <w:szCs w:val="20"/>
          <w:color w:val="auto"/>
        </w:rPr>
      </w:pPr>
      <w:r>
        <w:rPr>
          <w:rFonts w:ascii="Courier New" w:cs="Courier New" w:eastAsia="Courier New" w:hAnsi="Courier New"/>
          <w:sz w:val="15"/>
          <w:szCs w:val="15"/>
          <w:color w:val="auto"/>
        </w:rPr>
        <w:t>(Dollars)</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[BAR CHART]</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1996</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w:t>
            </w:r>
          </w:p>
        </w:tc>
      </w:tr>
      <w:tr>
        <w:trPr>
          <w:trHeight w:val="173"/>
        </w:trPr>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1995</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1.11</w:t>
            </w:r>
          </w:p>
        </w:tc>
      </w:tr>
      <w:tr>
        <w:trPr>
          <w:trHeight w:val="173"/>
        </w:trPr>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1994</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w:t>
            </w:r>
          </w:p>
        </w:tc>
      </w:tr>
      <w:tr>
        <w:trPr>
          <w:trHeight w:val="173"/>
        </w:trPr>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1993</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w:t>
            </w:r>
          </w:p>
        </w:tc>
      </w:tr>
      <w:tr>
        <w:trPr>
          <w:trHeight w:val="173"/>
        </w:trPr>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1992</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.04</w:t>
            </w:r>
          </w:p>
        </w:tc>
      </w:tr>
      <w:tr>
        <w:trPr>
          <w:trHeight w:val="173"/>
        </w:trPr>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1991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3"/>
        </w:trPr>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1990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3"/>
        </w:trPr>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1989</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w:t>
            </w:r>
          </w:p>
        </w:tc>
      </w:tr>
      <w:tr>
        <w:trPr>
          <w:trHeight w:val="173"/>
        </w:trPr>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1988</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w:t>
            </w:r>
          </w:p>
        </w:tc>
      </w:tr>
      <w:tr>
        <w:trPr>
          <w:trHeight w:val="255"/>
        </w:trPr>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1987</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w:t>
            </w:r>
          </w:p>
        </w:tc>
      </w:tr>
    </w:tbl>
    <w:p>
      <w:pPr>
        <w:spacing w:after="0" w:line="92" w:lineRule="exact"/>
        <w:rPr>
          <w:sz w:val="20"/>
          <w:szCs w:val="20"/>
          <w:color w:val="auto"/>
        </w:rPr>
      </w:pPr>
    </w:p>
    <w:p>
      <w:pPr>
        <w:ind w:left="3248" w:right="6500" w:hanging="3248"/>
        <w:spacing w:after="0" w:line="855" w:lineRule="auto"/>
        <w:tabs>
          <w:tab w:leader="none" w:pos="182"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cumulative effect of accounting change. PAGE 31</w:t>
      </w:r>
    </w:p>
    <w:p>
      <w:pPr>
        <w:sectPr>
          <w:pgSz w:w="11900" w:h="16955" w:orient="portrait"/>
          <w:cols w:equalWidth="0" w:num="1">
            <w:col w:w="10828"/>
          </w:cols>
          <w:pgMar w:left="232" w:top="114" w:right="839" w:bottom="0" w:gutter="0" w:footer="0" w:header="0"/>
        </w:sectPr>
      </w:pPr>
    </w:p>
    <w:bookmarkStart w:id="74" w:name="page75"/>
    <w:bookmarkEnd w:id="74"/>
    <w:p>
      <w:pPr>
        <w:spacing w:after="0"/>
        <w:rPr>
          <w:sz w:val="20"/>
          <w:szCs w:val="20"/>
          <w:color w:val="auto"/>
        </w:rPr>
      </w:pPr>
      <w:r>
        <w:rPr>
          <w:rFonts w:ascii="Courier New" w:cs="Courier New" w:eastAsia="Courier New" w:hAnsi="Courier New"/>
          <w:sz w:val="15"/>
          <w:szCs w:val="15"/>
          <w:color w:val="auto"/>
        </w:rPr>
        <w:t>SHAREHOLDER INFORMATION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PUBLICATIONS</w:t>
      </w:r>
    </w:p>
    <w:p>
      <w:pPr>
        <w:spacing w:after="0" w:line="177" w:lineRule="exact"/>
        <w:rPr>
          <w:sz w:val="20"/>
          <w:szCs w:val="20"/>
          <w:color w:val="auto"/>
        </w:rPr>
      </w:pPr>
    </w:p>
    <w:p>
      <w:pPr>
        <w:ind w:right="3620"/>
        <w:spacing w:after="0" w:line="365" w:lineRule="auto"/>
        <w:rPr>
          <w:sz w:val="20"/>
          <w:szCs w:val="20"/>
          <w:color w:val="auto"/>
        </w:rPr>
      </w:pPr>
      <w:r>
        <w:rPr>
          <w:rFonts w:ascii="Courier New" w:cs="Courier New" w:eastAsia="Courier New" w:hAnsi="Courier New"/>
          <w:sz w:val="15"/>
          <w:szCs w:val="15"/>
          <w:color w:val="auto"/>
        </w:rPr>
        <w:t>A notice of Annual Meeting of Shareholders and Proxy Statement is furnished to shareholders in advance of the annual meeting.</w:t>
      </w:r>
    </w:p>
    <w:p>
      <w:pPr>
        <w:spacing w:after="0" w:line="3" w:lineRule="exact"/>
        <w:rPr>
          <w:sz w:val="20"/>
          <w:szCs w:val="20"/>
          <w:color w:val="auto"/>
        </w:rPr>
      </w:pPr>
    </w:p>
    <w:p>
      <w:pPr>
        <w:ind w:right="3440"/>
        <w:spacing w:after="0" w:line="285" w:lineRule="auto"/>
        <w:rPr>
          <w:sz w:val="20"/>
          <w:szCs w:val="20"/>
          <w:color w:val="auto"/>
        </w:rPr>
      </w:pPr>
      <w:r>
        <w:rPr>
          <w:rFonts w:ascii="Courier New" w:cs="Courier New" w:eastAsia="Courier New" w:hAnsi="Courier New"/>
          <w:sz w:val="15"/>
          <w:szCs w:val="15"/>
          <w:color w:val="auto"/>
        </w:rPr>
        <w:t>Copies of the Company's quarterly financial news releases and the annual Form 10-K (without exhibits), required to be filed by the Company with the Securities and Exchange Commission, may be obtained without charge from the corporate offices as follows:</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 Relations Department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152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605 West Crystal Lake Road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Forest City, Iowa 50436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(515) 582-3535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(515) 582-6966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E-mail: 72262.472@compuserve.com</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annual report may also be viewed online at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following address: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http://www.prnewswire.com/cnoc/exec/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menu?105967</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ACCOUNT ASSISTANCE</w:t>
      </w:r>
    </w:p>
    <w:p>
      <w:pPr>
        <w:spacing w:after="0" w:line="177" w:lineRule="exact"/>
        <w:rPr>
          <w:sz w:val="20"/>
          <w:szCs w:val="20"/>
          <w:color w:val="auto"/>
        </w:rPr>
      </w:pPr>
    </w:p>
    <w:p>
      <w:pPr>
        <w:ind w:right="4240"/>
        <w:spacing w:after="0" w:line="365" w:lineRule="auto"/>
        <w:rPr>
          <w:sz w:val="20"/>
          <w:szCs w:val="20"/>
          <w:color w:val="auto"/>
        </w:rPr>
      </w:pPr>
      <w:r>
        <w:rPr>
          <w:rFonts w:ascii="Courier New" w:cs="Courier New" w:eastAsia="Courier New" w:hAnsi="Courier New"/>
          <w:sz w:val="15"/>
          <w:szCs w:val="15"/>
          <w:color w:val="auto"/>
        </w:rPr>
        <w:t>Registration and Transfer Agent to contact for address changes, account certificates and stock holdings: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Norwest Bank Minnesota, N.A.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161 North Concord Exchange, P.O. Box 738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South St. Paul, Minnesota 55075-0738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64854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Paul, Minnesota 55164-0854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(800) 468-9716 or (612) 450-4064</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w:t>
      </w:r>
    </w:p>
    <w:p>
      <w:pPr>
        <w:spacing w:after="0" w:line="177" w:lineRule="exact"/>
        <w:rPr>
          <w:sz w:val="20"/>
          <w:szCs w:val="20"/>
          <w:color w:val="auto"/>
        </w:rPr>
      </w:pPr>
    </w:p>
    <w:p>
      <w:pPr>
        <w:ind w:right="3520"/>
        <w:spacing w:after="0" w:line="365" w:lineRule="auto"/>
        <w:rPr>
          <w:sz w:val="20"/>
          <w:szCs w:val="20"/>
          <w:color w:val="auto"/>
        </w:rPr>
      </w:pPr>
      <w:r>
        <w:rPr>
          <w:rFonts w:ascii="Courier New" w:cs="Courier New" w:eastAsia="Courier New" w:hAnsi="Courier New"/>
          <w:sz w:val="15"/>
          <w:szCs w:val="15"/>
          <w:color w:val="auto"/>
        </w:rPr>
        <w:t>The Annual Meeting of shareholders will be held on Wednesday, December 18, 1996 at 7:30 p.m. (CST) in Friendship Hall, Highway 69 South, Forest City, Iowa.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AUDITOR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400 One Financial Plaza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120 South Sixth Street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 55402-1844</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DATA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common stock is listed on the New York, Chicago and Pacific Stock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Ticker symbol: WGO</w:t>
      </w:r>
    </w:p>
    <w:p>
      <w:pPr>
        <w:spacing w:after="0" w:line="3"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5"/>
          <w:szCs w:val="15"/>
          <w:color w:val="auto"/>
        </w:rPr>
        <w:t>Shareholders of record as of October 14, 1996:</w:t>
        <w:tab/>
        <w:t>12,137</w:t>
      </w:r>
    </w:p>
    <w:p>
      <w:pPr>
        <w:spacing w:after="0" w:line="3"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5"/>
          <w:szCs w:val="15"/>
          <w:color w:val="auto"/>
        </w:rPr>
        <w:t>Shares outstanding at year-end:</w:t>
        <w:tab/>
        <w:t>25,353,222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Below are the New York Stock Exchange high, low and closing prices of Winnebago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Industries, Inc. stock for each quarter of fiscal 1996 and fiscal 1995.</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2400" w:val="left"/>
          <w:tab w:leader="none" w:pos="3480" w:val="left"/>
          <w:tab w:leader="none" w:pos="4400" w:val="left"/>
          <w:tab w:leader="none" w:pos="5120" w:val="left"/>
          <w:tab w:leader="none" w:pos="7460" w:val="left"/>
          <w:tab w:leader="none" w:pos="8800" w:val="left"/>
          <w:tab w:leader="none" w:pos="9980" w:val="left"/>
        </w:tabs>
        <w:rPr>
          <w:sz w:val="20"/>
          <w:szCs w:val="20"/>
          <w:color w:val="auto"/>
        </w:rPr>
      </w:pPr>
      <w:r>
        <w:rPr>
          <w:rFonts w:ascii="Courier New" w:cs="Courier New" w:eastAsia="Courier New" w:hAnsi="Courier New"/>
          <w:sz w:val="15"/>
          <w:szCs w:val="15"/>
          <w:color w:val="auto"/>
        </w:rPr>
        <w:t>FISCAL 1996</w:t>
      </w:r>
      <w:r>
        <w:rPr>
          <w:sz w:val="20"/>
          <w:szCs w:val="20"/>
          <w:color w:val="auto"/>
        </w:rPr>
        <w:tab/>
      </w: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5"/>
          <w:szCs w:val="15"/>
          <w:color w:val="auto"/>
        </w:rPr>
        <w:t>Low</w:t>
      </w:r>
      <w:r>
        <w:rPr>
          <w:sz w:val="20"/>
          <w:szCs w:val="20"/>
          <w:color w:val="auto"/>
        </w:rPr>
        <w:tab/>
      </w:r>
      <w:r>
        <w:rPr>
          <w:rFonts w:ascii="Courier New" w:cs="Courier New" w:eastAsia="Courier New" w:hAnsi="Courier New"/>
          <w:sz w:val="15"/>
          <w:szCs w:val="15"/>
          <w:color w:val="auto"/>
        </w:rPr>
        <w:t>Close</w:t>
      </w:r>
      <w:r>
        <w:rPr>
          <w:sz w:val="20"/>
          <w:szCs w:val="20"/>
          <w:color w:val="auto"/>
        </w:rPr>
        <w:tab/>
      </w:r>
      <w:r>
        <w:rPr>
          <w:rFonts w:ascii="Courier New" w:cs="Courier New" w:eastAsia="Courier New" w:hAnsi="Courier New"/>
          <w:sz w:val="15"/>
          <w:szCs w:val="15"/>
          <w:color w:val="auto"/>
        </w:rPr>
        <w:t>FISCAL 1995</w:t>
      </w:r>
      <w:r>
        <w:rPr>
          <w:sz w:val="20"/>
          <w:szCs w:val="20"/>
          <w:color w:val="auto"/>
        </w:rPr>
        <w:tab/>
      </w: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5"/>
          <w:szCs w:val="15"/>
          <w:color w:val="auto"/>
        </w:rPr>
        <w:t>Low</w:t>
      </w:r>
      <w:r>
        <w:rPr>
          <w:sz w:val="20"/>
          <w:szCs w:val="20"/>
          <w:color w:val="auto"/>
        </w:rPr>
        <w:tab/>
      </w:r>
      <w:r>
        <w:rPr>
          <w:rFonts w:ascii="Courier New" w:cs="Courier New" w:eastAsia="Courier New" w:hAnsi="Courier New"/>
          <w:sz w:val="15"/>
          <w:szCs w:val="15"/>
          <w:color w:val="auto"/>
        </w:rPr>
        <w:t>Close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6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$ 8.500</w:t>
            </w: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6"/>
              </w:rPr>
              <w:t>$7.375</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$7.625</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5"/>
              </w:rPr>
              <w:t>$11.375</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$7.625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$9.250</w:t>
            </w:r>
          </w:p>
        </w:tc>
      </w:tr>
      <w:tr>
        <w:trPr>
          <w:trHeight w:val="173"/>
        </w:trPr>
        <w:tc>
          <w:tcPr>
            <w:tcW w:w="216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8.375</w:t>
            </w: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6.750</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8.000</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10.375</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8.750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9.625</w:t>
            </w:r>
          </w:p>
        </w:tc>
      </w:tr>
      <w:tr>
        <w:trPr>
          <w:trHeight w:val="173"/>
        </w:trPr>
        <w:tc>
          <w:tcPr>
            <w:tcW w:w="216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10.375</w:t>
            </w: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7.750</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10.250</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10.750</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9.125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9.625</w:t>
            </w:r>
          </w:p>
        </w:tc>
      </w:tr>
      <w:tr>
        <w:trPr>
          <w:trHeight w:val="255"/>
        </w:trPr>
        <w:tc>
          <w:tcPr>
            <w:tcW w:w="216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10.250</w:t>
            </w: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7.625</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8.125</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9.625</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7.875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8.375</w:t>
            </w:r>
          </w:p>
        </w:tc>
      </w:tr>
      <w:tr>
        <w:trPr>
          <w:trHeight w:val="1214"/>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CASH DIVIDENDS PER SHARE</w:t>
            </w: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65"/>
        </w:trPr>
        <w:tc>
          <w:tcPr>
            <w:tcW w:w="2160" w:type="dxa"/>
            <w:vAlign w:val="bottom"/>
          </w:tcPr>
          <w:p>
            <w:pPr>
              <w:spacing w:after="0"/>
              <w:rPr>
                <w:sz w:val="20"/>
                <w:szCs w:val="20"/>
                <w:color w:val="auto"/>
              </w:rPr>
            </w:pPr>
            <w:r>
              <w:rPr>
                <w:rFonts w:ascii="Courier New" w:cs="Courier New" w:eastAsia="Courier New" w:hAnsi="Courier New"/>
                <w:sz w:val="15"/>
                <w:szCs w:val="15"/>
                <w:color w:val="auto"/>
              </w:rPr>
              <w:t>FISCAL 1996</w:t>
            </w:r>
          </w:p>
        </w:tc>
        <w:tc>
          <w:tcPr>
            <w:tcW w:w="1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FISCAL 1995</w:t>
            </w:r>
          </w:p>
        </w:tc>
        <w:tc>
          <w:tcPr>
            <w:tcW w:w="10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173"/>
        </w:trPr>
        <w:tc>
          <w:tcPr>
            <w:tcW w:w="8340" w:type="dxa"/>
            <w:vAlign w:val="bottom"/>
            <w:gridSpan w:val="6"/>
          </w:tcPr>
          <w:p>
            <w:pPr>
              <w:spacing w:after="0"/>
              <w:rPr>
                <w:sz w:val="20"/>
                <w:szCs w:val="20"/>
                <w:color w:val="auto"/>
              </w:rPr>
            </w:pPr>
            <w:r>
              <w:rPr>
                <w:rFonts w:ascii="Courier New" w:cs="Courier New" w:eastAsia="Courier New" w:hAnsi="Courier New"/>
                <w:sz w:val="15"/>
                <w:szCs w:val="15"/>
                <w:color w:val="auto"/>
              </w:rPr>
              <w:t>- ----------------------- ------------------------ ------------------- ---------------</w:t>
            </w: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216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Date Paid</w:t>
            </w:r>
          </w:p>
        </w:tc>
        <w:tc>
          <w:tcPr>
            <w:tcW w:w="780" w:type="dxa"/>
            <w:vAlign w:val="bottom"/>
          </w:tcPr>
          <w:p>
            <w:pPr>
              <w:spacing w:after="0"/>
              <w:rPr>
                <w:sz w:val="15"/>
                <w:szCs w:val="15"/>
                <w:color w:val="auto"/>
              </w:rPr>
            </w:pP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Amount</w:t>
            </w:r>
          </w:p>
        </w:tc>
        <w:tc>
          <w:tcPr>
            <w:tcW w:w="2160" w:type="dxa"/>
            <w:vAlign w:val="bottom"/>
          </w:tcPr>
          <w:p>
            <w:pPr>
              <w:ind w:left="1080"/>
              <w:spacing w:after="0"/>
              <w:rPr>
                <w:sz w:val="20"/>
                <w:szCs w:val="20"/>
                <w:color w:val="auto"/>
              </w:rPr>
            </w:pPr>
            <w:r>
              <w:rPr>
                <w:rFonts w:ascii="Courier New" w:cs="Courier New" w:eastAsia="Courier New" w:hAnsi="Courier New"/>
                <w:sz w:val="15"/>
                <w:szCs w:val="15"/>
                <w:color w:val="auto"/>
              </w:rPr>
              <w:t>Date Paid</w:t>
            </w:r>
          </w:p>
        </w:tc>
        <w:tc>
          <w:tcPr>
            <w:tcW w:w="1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55"/>
        </w:trPr>
        <w:tc>
          <w:tcPr>
            <w:tcW w:w="2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ind w:left="126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65"/>
        </w:trPr>
        <w:tc>
          <w:tcPr>
            <w:tcW w:w="2160" w:type="dxa"/>
            <w:vAlign w:val="bottom"/>
          </w:tcPr>
          <w:p>
            <w:pPr>
              <w:jc w:val="right"/>
              <w:ind w:right="1645"/>
              <w:spacing w:after="0"/>
              <w:rPr>
                <w:sz w:val="20"/>
                <w:szCs w:val="20"/>
                <w:color w:val="auto"/>
              </w:rPr>
            </w:pPr>
            <w:r>
              <w:rPr>
                <w:rFonts w:ascii="Courier New" w:cs="Courier New" w:eastAsia="Courier New" w:hAnsi="Courier New"/>
                <w:sz w:val="15"/>
                <w:szCs w:val="15"/>
                <w:color w:val="auto"/>
                <w:w w:val="93"/>
              </w:rPr>
              <w:t>$ .10</w:t>
            </w:r>
          </w:p>
        </w:tc>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December 4, 1995</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.10</w:t>
            </w:r>
          </w:p>
        </w:tc>
        <w:tc>
          <w:tcPr>
            <w:tcW w:w="320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January 6, 1995</w:t>
            </w:r>
          </w:p>
        </w:tc>
        <w:tc>
          <w:tcPr>
            <w:tcW w:w="12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173"/>
        </w:trPr>
        <w:tc>
          <w:tcPr>
            <w:tcW w:w="2160" w:type="dxa"/>
            <w:vAlign w:val="bottom"/>
          </w:tcPr>
          <w:p>
            <w:pPr>
              <w:jc w:val="right"/>
              <w:ind w:right="1645"/>
              <w:spacing w:after="0"/>
              <w:rPr>
                <w:sz w:val="20"/>
                <w:szCs w:val="20"/>
                <w:color w:val="auto"/>
              </w:rPr>
            </w:pPr>
            <w:r>
              <w:rPr>
                <w:rFonts w:ascii="Courier New" w:cs="Courier New" w:eastAsia="Courier New" w:hAnsi="Courier New"/>
                <w:sz w:val="15"/>
                <w:szCs w:val="15"/>
                <w:color w:val="auto"/>
              </w:rPr>
              <w:t>.10</w:t>
            </w:r>
          </w:p>
        </w:tc>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April 8, 1996</w:t>
            </w:r>
          </w:p>
        </w:tc>
        <w:tc>
          <w:tcPr>
            <w:tcW w:w="78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w:t>
            </w:r>
          </w:p>
        </w:tc>
        <w:tc>
          <w:tcPr>
            <w:tcW w:w="320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April 7, 1995</w:t>
            </w: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55"/>
        </w:trPr>
        <w:tc>
          <w:tcPr>
            <w:tcW w:w="2160" w:type="dxa"/>
            <w:vAlign w:val="bottom"/>
          </w:tcPr>
          <w:p>
            <w:pPr>
              <w:jc w:val="right"/>
              <w:ind w:right="1645"/>
              <w:spacing w:after="0"/>
              <w:rPr>
                <w:sz w:val="20"/>
                <w:szCs w:val="20"/>
                <w:color w:val="auto"/>
              </w:rPr>
            </w:pPr>
            <w:r>
              <w:rPr>
                <w:rFonts w:ascii="Courier New" w:cs="Courier New" w:eastAsia="Courier New" w:hAnsi="Courier New"/>
                <w:sz w:val="15"/>
                <w:szCs w:val="15"/>
                <w:color w:val="auto"/>
              </w:rPr>
              <w:t>.10</w:t>
            </w:r>
          </w:p>
        </w:tc>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June 17, 1996</w:t>
            </w:r>
          </w:p>
        </w:tc>
        <w:tc>
          <w:tcPr>
            <w:tcW w:w="780" w:type="dxa"/>
            <w:vAlign w:val="bottom"/>
          </w:tcPr>
          <w:p>
            <w:pPr>
              <w:spacing w:after="0"/>
              <w:rPr>
                <w:sz w:val="22"/>
                <w:szCs w:val="22"/>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w:t>
            </w:r>
          </w:p>
        </w:tc>
        <w:tc>
          <w:tcPr>
            <w:tcW w:w="2160" w:type="dxa"/>
            <w:vAlign w:val="bottom"/>
          </w:tcPr>
          <w:p>
            <w:pPr>
              <w:ind w:left="1080"/>
              <w:spacing w:after="0"/>
              <w:rPr>
                <w:sz w:val="20"/>
                <w:szCs w:val="20"/>
                <w:color w:val="auto"/>
              </w:rPr>
            </w:pPr>
            <w:r>
              <w:rPr>
                <w:rFonts w:ascii="Courier New" w:cs="Courier New" w:eastAsia="Courier New" w:hAnsi="Courier New"/>
                <w:sz w:val="15"/>
                <w:szCs w:val="15"/>
                <w:color w:val="auto"/>
                <w:w w:val="98"/>
              </w:rPr>
              <w:t>July 7, 1995</w:t>
            </w:r>
          </w:p>
        </w:tc>
        <w:tc>
          <w:tcPr>
            <w:tcW w:w="10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60" w:type="dxa"/>
            <w:vAlign w:val="bottom"/>
          </w:tcPr>
          <w:p>
            <w:pPr>
              <w:spacing w:after="0"/>
              <w:rPr>
                <w:sz w:val="22"/>
                <w:szCs w:val="22"/>
                <w:color w:val="auto"/>
              </w:rPr>
            </w:pPr>
          </w:p>
        </w:tc>
      </w:tr>
    </w:tbl>
    <w:p>
      <w:pPr>
        <w:sectPr>
          <w:pgSz w:w="11900" w:h="16838" w:orient="portrait"/>
          <w:cols w:equalWidth="0" w:num="1">
            <w:col w:w="10640"/>
          </w:cols>
          <w:pgMar w:left="240" w:top="113" w:right="1019" w:bottom="474"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140" w:type="dxa"/>
            <w:vAlign w:val="bottom"/>
          </w:tcPr>
          <w:p>
            <w:pPr>
              <w:spacing w:after="0"/>
              <w:rPr>
                <w:sz w:val="20"/>
                <w:szCs w:val="20"/>
                <w:color w:val="auto"/>
              </w:rPr>
            </w:pPr>
            <w:r>
              <w:rPr>
                <w:rFonts w:ascii="Courier New" w:cs="Courier New" w:eastAsia="Courier New" w:hAnsi="Courier New"/>
                <w:sz w:val="15"/>
                <w:szCs w:val="15"/>
                <w:color w:val="auto"/>
              </w:rPr>
              <w:t>DIRECTORS AND OFFICERS</w:t>
            </w:r>
          </w:p>
        </w:tc>
        <w:tc>
          <w:tcPr>
            <w:tcW w:w="5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0"/>
        </w:trPr>
        <w:tc>
          <w:tcPr>
            <w:tcW w:w="5140" w:type="dxa"/>
            <w:vAlign w:val="bottom"/>
          </w:tcPr>
          <w:p>
            <w:pPr>
              <w:spacing w:after="0"/>
              <w:rPr>
                <w:sz w:val="20"/>
                <w:szCs w:val="20"/>
                <w:color w:val="auto"/>
              </w:rPr>
            </w:pPr>
            <w:r>
              <w:rPr>
                <w:rFonts w:ascii="Courier New" w:cs="Courier New" w:eastAsia="Courier New" w:hAnsi="Courier New"/>
                <w:sz w:val="15"/>
                <w:szCs w:val="15"/>
                <w:color w:val="auto"/>
              </w:rPr>
              <w:t>DIRECTORS</w:t>
            </w:r>
          </w:p>
        </w:tc>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rPr>
              <w:t>OFFICERS</w:t>
            </w:r>
          </w:p>
        </w:tc>
        <w:tc>
          <w:tcPr>
            <w:tcW w:w="0" w:type="dxa"/>
            <w:vAlign w:val="bottom"/>
          </w:tcPr>
          <w:p>
            <w:pPr>
              <w:spacing w:after="0"/>
              <w:rPr>
                <w:sz w:val="1"/>
                <w:szCs w:val="1"/>
                <w:color w:val="auto"/>
              </w:rPr>
            </w:pPr>
          </w:p>
        </w:tc>
      </w:tr>
      <w:tr>
        <w:trPr>
          <w:trHeight w:val="265"/>
        </w:trPr>
        <w:tc>
          <w:tcPr>
            <w:tcW w:w="5140" w:type="dxa"/>
            <w:vAlign w:val="bottom"/>
          </w:tcPr>
          <w:p>
            <w:pPr>
              <w:spacing w:after="0"/>
              <w:rPr>
                <w:sz w:val="20"/>
                <w:szCs w:val="20"/>
                <w:color w:val="auto"/>
              </w:rPr>
            </w:pPr>
            <w:r>
              <w:rPr>
                <w:rFonts w:ascii="Courier New" w:cs="Courier New" w:eastAsia="Courier New" w:hAnsi="Courier New"/>
                <w:sz w:val="15"/>
                <w:szCs w:val="15"/>
                <w:color w:val="auto"/>
              </w:rPr>
              <w:t>Fred G. Dohrmann</w:t>
            </w:r>
          </w:p>
        </w:tc>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rPr>
              <w:t>Fred G. Dohrmann</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CHAIRMAN OF THE BOARD AND CHIEF EXECUTIVE OFFICER,</w:t>
            </w:r>
          </w:p>
        </w:tc>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rPr>
              <w:t>CHAIRMAN OF THE BOARD AND CHIEF EXECUTIVE OFFICER</w:t>
            </w:r>
          </w:p>
        </w:tc>
        <w:tc>
          <w:tcPr>
            <w:tcW w:w="0" w:type="dxa"/>
            <w:vAlign w:val="bottom"/>
          </w:tcPr>
          <w:p>
            <w:pPr>
              <w:spacing w:after="0"/>
              <w:rPr>
                <w:sz w:val="1"/>
                <w:szCs w:val="1"/>
                <w:color w:val="auto"/>
              </w:rPr>
            </w:pPr>
          </w:p>
        </w:tc>
      </w:tr>
      <w:tr>
        <w:trPr>
          <w:trHeight w:val="255"/>
        </w:trPr>
        <w:tc>
          <w:tcPr>
            <w:tcW w:w="5140" w:type="dxa"/>
            <w:vAlign w:val="bottom"/>
          </w:tcPr>
          <w:p>
            <w:pPr>
              <w:spacing w:after="0"/>
              <w:rPr>
                <w:sz w:val="20"/>
                <w:szCs w:val="20"/>
                <w:color w:val="auto"/>
              </w:rPr>
            </w:pPr>
            <w:r>
              <w:rPr>
                <w:rFonts w:ascii="Courier New" w:cs="Courier New" w:eastAsia="Courier New" w:hAnsi="Courier New"/>
                <w:sz w:val="15"/>
                <w:szCs w:val="15"/>
                <w:color w:val="auto"/>
              </w:rPr>
              <w:t>WINNEBAGO INDUSTRIES, INC.</w:t>
            </w:r>
          </w:p>
        </w:tc>
        <w:tc>
          <w:tcPr>
            <w:tcW w:w="51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Bruce D. Hertzke</w:t>
            </w:r>
          </w:p>
        </w:tc>
        <w:tc>
          <w:tcPr>
            <w:tcW w:w="0" w:type="dxa"/>
            <w:vAlign w:val="bottom"/>
          </w:tcPr>
          <w:p>
            <w:pPr>
              <w:spacing w:after="0"/>
              <w:rPr>
                <w:sz w:val="1"/>
                <w:szCs w:val="1"/>
                <w:color w:val="auto"/>
              </w:rPr>
            </w:pPr>
          </w:p>
        </w:tc>
      </w:tr>
      <w:tr>
        <w:trPr>
          <w:trHeight w:val="92"/>
        </w:trPr>
        <w:tc>
          <w:tcPr>
            <w:tcW w:w="5140" w:type="dxa"/>
            <w:vAlign w:val="bottom"/>
            <w:vMerge w:val="restart"/>
          </w:tcPr>
          <w:p>
            <w:pPr>
              <w:spacing w:after="0"/>
              <w:rPr>
                <w:sz w:val="20"/>
                <w:szCs w:val="20"/>
                <w:color w:val="auto"/>
              </w:rPr>
            </w:pPr>
            <w:r>
              <w:rPr>
                <w:rFonts w:ascii="Courier New" w:cs="Courier New" w:eastAsia="Courier New" w:hAnsi="Courier New"/>
                <w:sz w:val="15"/>
                <w:szCs w:val="15"/>
                <w:color w:val="auto"/>
              </w:rPr>
              <w:t>Gerald E. Boman</w:t>
            </w:r>
          </w:p>
        </w:tc>
        <w:tc>
          <w:tcPr>
            <w:tcW w:w="5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5140" w:type="dxa"/>
            <w:vAlign w:val="bottom"/>
            <w:vMerge w:val="continue"/>
          </w:tcPr>
          <w:p>
            <w:pPr>
              <w:spacing w:after="0"/>
              <w:rPr>
                <w:sz w:val="15"/>
                <w:szCs w:val="15"/>
                <w:color w:val="auto"/>
              </w:rPr>
            </w:pPr>
          </w:p>
        </w:tc>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rPr>
              <w:t>PRESIDENT AND CHIEF OPERATING OFFICER</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FORMER SENIOR VICE PRESIDENT,</w:t>
            </w:r>
          </w:p>
        </w:tc>
        <w:tc>
          <w:tcPr>
            <w:tcW w:w="51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Edwin F. Barker</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WINNEBAGO INDUSTRIES, INC.</w:t>
            </w:r>
          </w:p>
        </w:tc>
        <w:tc>
          <w:tcPr>
            <w:tcW w:w="5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140" w:type="dxa"/>
            <w:vAlign w:val="bottom"/>
            <w:vMerge w:val="restart"/>
          </w:tcPr>
          <w:p>
            <w:pPr>
              <w:spacing w:after="0"/>
              <w:rPr>
                <w:sz w:val="20"/>
                <w:szCs w:val="20"/>
                <w:color w:val="auto"/>
              </w:rPr>
            </w:pPr>
            <w:r>
              <w:rPr>
                <w:rFonts w:ascii="Courier New" w:cs="Courier New" w:eastAsia="Courier New" w:hAnsi="Courier New"/>
                <w:sz w:val="15"/>
                <w:szCs w:val="15"/>
                <w:color w:val="auto"/>
              </w:rPr>
              <w:t>David G. Croonquist</w:t>
            </w:r>
          </w:p>
        </w:tc>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w w:val="99"/>
              </w:rPr>
              <w:t>VICE PRESIDENT, CONTROLLER AND CHIEF FINANCIAL OFFICER</w:t>
            </w:r>
          </w:p>
        </w:tc>
        <w:tc>
          <w:tcPr>
            <w:tcW w:w="0" w:type="dxa"/>
            <w:vAlign w:val="bottom"/>
          </w:tcPr>
          <w:p>
            <w:pPr>
              <w:spacing w:after="0"/>
              <w:rPr>
                <w:sz w:val="1"/>
                <w:szCs w:val="1"/>
                <w:color w:val="auto"/>
              </w:rPr>
            </w:pPr>
          </w:p>
        </w:tc>
      </w:tr>
      <w:tr>
        <w:trPr>
          <w:trHeight w:val="92"/>
        </w:trPr>
        <w:tc>
          <w:tcPr>
            <w:tcW w:w="5140" w:type="dxa"/>
            <w:vAlign w:val="bottom"/>
            <w:vMerge w:val="continue"/>
          </w:tcPr>
          <w:p>
            <w:pPr>
              <w:spacing w:after="0"/>
              <w:rPr>
                <w:sz w:val="7"/>
                <w:szCs w:val="7"/>
                <w:color w:val="auto"/>
              </w:rPr>
            </w:pPr>
          </w:p>
        </w:tc>
        <w:tc>
          <w:tcPr>
            <w:tcW w:w="51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Raymond M. Beebe</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FORMER DIRECTOR AND MEMBER OF THE EXECUTIVE COMMITTEE,</w:t>
            </w:r>
          </w:p>
        </w:tc>
        <w:tc>
          <w:tcPr>
            <w:tcW w:w="5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140" w:type="dxa"/>
            <w:vAlign w:val="bottom"/>
          </w:tcPr>
          <w:p>
            <w:pPr>
              <w:spacing w:after="0"/>
              <w:rPr>
                <w:sz w:val="20"/>
                <w:szCs w:val="20"/>
                <w:color w:val="auto"/>
              </w:rPr>
            </w:pPr>
            <w:r>
              <w:rPr>
                <w:rFonts w:ascii="Courier New" w:cs="Courier New" w:eastAsia="Courier New" w:hAnsi="Courier New"/>
                <w:sz w:val="15"/>
                <w:szCs w:val="15"/>
                <w:color w:val="auto"/>
              </w:rPr>
              <w:t>H.B. FULLER COMPANY</w:t>
            </w:r>
          </w:p>
        </w:tc>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rPr>
              <w:t>VICE PRESIDENT, GENERAL COUNSEL AND SECRETARY</w:t>
            </w:r>
          </w:p>
        </w:tc>
        <w:tc>
          <w:tcPr>
            <w:tcW w:w="0" w:type="dxa"/>
            <w:vAlign w:val="bottom"/>
          </w:tcPr>
          <w:p>
            <w:pPr>
              <w:spacing w:after="0"/>
              <w:rPr>
                <w:sz w:val="1"/>
                <w:szCs w:val="1"/>
                <w:color w:val="auto"/>
              </w:rPr>
            </w:pPr>
          </w:p>
        </w:tc>
      </w:tr>
      <w:tr>
        <w:trPr>
          <w:trHeight w:val="265"/>
        </w:trPr>
        <w:tc>
          <w:tcPr>
            <w:tcW w:w="5140" w:type="dxa"/>
            <w:vAlign w:val="bottom"/>
          </w:tcPr>
          <w:p>
            <w:pPr>
              <w:spacing w:after="0"/>
              <w:rPr>
                <w:sz w:val="20"/>
                <w:szCs w:val="20"/>
                <w:color w:val="auto"/>
              </w:rPr>
            </w:pPr>
            <w:r>
              <w:rPr>
                <w:rFonts w:ascii="Courier New" w:cs="Courier New" w:eastAsia="Courier New" w:hAnsi="Courier New"/>
                <w:sz w:val="15"/>
                <w:szCs w:val="15"/>
                <w:color w:val="auto"/>
              </w:rPr>
              <w:t>Keith D. Elwick</w:t>
            </w:r>
          </w:p>
        </w:tc>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rPr>
              <w:t>Paul D. Hanson</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FORMER EXECUTIVE OFFICER,</w:t>
            </w:r>
          </w:p>
        </w:tc>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rPr>
              <w:t>VICE PRESIDENT, STRATEGIC PLANNING</w:t>
            </w:r>
          </w:p>
        </w:tc>
        <w:tc>
          <w:tcPr>
            <w:tcW w:w="0" w:type="dxa"/>
            <w:vAlign w:val="bottom"/>
          </w:tcPr>
          <w:p>
            <w:pPr>
              <w:spacing w:after="0"/>
              <w:rPr>
                <w:sz w:val="1"/>
                <w:szCs w:val="1"/>
                <w:color w:val="auto"/>
              </w:rPr>
            </w:pPr>
          </w:p>
        </w:tc>
      </w:tr>
      <w:tr>
        <w:trPr>
          <w:trHeight w:val="255"/>
        </w:trPr>
        <w:tc>
          <w:tcPr>
            <w:tcW w:w="5140" w:type="dxa"/>
            <w:vAlign w:val="bottom"/>
          </w:tcPr>
          <w:p>
            <w:pPr>
              <w:spacing w:after="0"/>
              <w:rPr>
                <w:sz w:val="20"/>
                <w:szCs w:val="20"/>
                <w:color w:val="auto"/>
              </w:rPr>
            </w:pPr>
            <w:r>
              <w:rPr>
                <w:rFonts w:ascii="Courier New" w:cs="Courier New" w:eastAsia="Courier New" w:hAnsi="Courier New"/>
                <w:sz w:val="15"/>
                <w:szCs w:val="15"/>
                <w:color w:val="auto"/>
              </w:rPr>
              <w:t>CHROMALLOY FARM AND INDUSTRIAL EQUIPMENT CO.</w:t>
            </w:r>
          </w:p>
        </w:tc>
        <w:tc>
          <w:tcPr>
            <w:tcW w:w="51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James P. Jaskoviak</w:t>
            </w:r>
          </w:p>
        </w:tc>
        <w:tc>
          <w:tcPr>
            <w:tcW w:w="0" w:type="dxa"/>
            <w:vAlign w:val="bottom"/>
          </w:tcPr>
          <w:p>
            <w:pPr>
              <w:spacing w:after="0"/>
              <w:rPr>
                <w:sz w:val="1"/>
                <w:szCs w:val="1"/>
                <w:color w:val="auto"/>
              </w:rPr>
            </w:pPr>
          </w:p>
        </w:tc>
      </w:tr>
      <w:tr>
        <w:trPr>
          <w:trHeight w:val="92"/>
        </w:trPr>
        <w:tc>
          <w:tcPr>
            <w:tcW w:w="5140" w:type="dxa"/>
            <w:vAlign w:val="bottom"/>
            <w:vMerge w:val="restart"/>
          </w:tcPr>
          <w:p>
            <w:pPr>
              <w:spacing w:after="0"/>
              <w:rPr>
                <w:sz w:val="20"/>
                <w:szCs w:val="20"/>
                <w:color w:val="auto"/>
              </w:rPr>
            </w:pPr>
            <w:r>
              <w:rPr>
                <w:rFonts w:ascii="Courier New" w:cs="Courier New" w:eastAsia="Courier New" w:hAnsi="Courier New"/>
                <w:sz w:val="15"/>
                <w:szCs w:val="15"/>
                <w:color w:val="auto"/>
              </w:rPr>
              <w:t>John V. Hanson</w:t>
            </w:r>
          </w:p>
        </w:tc>
        <w:tc>
          <w:tcPr>
            <w:tcW w:w="5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5140" w:type="dxa"/>
            <w:vAlign w:val="bottom"/>
            <w:vMerge w:val="continue"/>
          </w:tcPr>
          <w:p>
            <w:pPr>
              <w:spacing w:after="0"/>
              <w:rPr>
                <w:sz w:val="15"/>
                <w:szCs w:val="15"/>
                <w:color w:val="auto"/>
              </w:rPr>
            </w:pPr>
          </w:p>
        </w:tc>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rPr>
              <w:t>VICE PRESIDENT, SALES AND MARKETING</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FORMER PRESIDENT AND DEPUTY CHAIRMAN OF THE BOARD,</w:t>
            </w:r>
          </w:p>
        </w:tc>
        <w:tc>
          <w:tcPr>
            <w:tcW w:w="51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Robert J. Olson</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WINNEBAGO INDUSTRIES, INC.</w:t>
            </w:r>
          </w:p>
        </w:tc>
        <w:tc>
          <w:tcPr>
            <w:tcW w:w="5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140" w:type="dxa"/>
            <w:vAlign w:val="bottom"/>
            <w:vMerge w:val="restart"/>
          </w:tcPr>
          <w:p>
            <w:pPr>
              <w:spacing w:after="0"/>
              <w:rPr>
                <w:sz w:val="20"/>
                <w:szCs w:val="20"/>
                <w:color w:val="auto"/>
              </w:rPr>
            </w:pPr>
            <w:r>
              <w:rPr>
                <w:rFonts w:ascii="Courier New" w:cs="Courier New" w:eastAsia="Courier New" w:hAnsi="Courier New"/>
                <w:sz w:val="15"/>
                <w:szCs w:val="15"/>
                <w:color w:val="auto"/>
              </w:rPr>
              <w:t>Donald W. Olson</w:t>
            </w:r>
          </w:p>
        </w:tc>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rPr>
              <w:t>VICE PRESIDENT, MANUFACTURING</w:t>
            </w:r>
          </w:p>
        </w:tc>
        <w:tc>
          <w:tcPr>
            <w:tcW w:w="0" w:type="dxa"/>
            <w:vAlign w:val="bottom"/>
          </w:tcPr>
          <w:p>
            <w:pPr>
              <w:spacing w:after="0"/>
              <w:rPr>
                <w:sz w:val="1"/>
                <w:szCs w:val="1"/>
                <w:color w:val="auto"/>
              </w:rPr>
            </w:pPr>
          </w:p>
        </w:tc>
      </w:tr>
      <w:tr>
        <w:trPr>
          <w:trHeight w:val="92"/>
        </w:trPr>
        <w:tc>
          <w:tcPr>
            <w:tcW w:w="5140" w:type="dxa"/>
            <w:vAlign w:val="bottom"/>
            <w:vMerge w:val="continue"/>
          </w:tcPr>
          <w:p>
            <w:pPr>
              <w:spacing w:after="0"/>
              <w:rPr>
                <w:sz w:val="7"/>
                <w:szCs w:val="7"/>
                <w:color w:val="auto"/>
              </w:rPr>
            </w:pPr>
          </w:p>
        </w:tc>
        <w:tc>
          <w:tcPr>
            <w:tcW w:w="5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5140" w:type="dxa"/>
            <w:vAlign w:val="bottom"/>
          </w:tcPr>
          <w:p>
            <w:pPr>
              <w:spacing w:after="0"/>
              <w:rPr>
                <w:sz w:val="20"/>
                <w:szCs w:val="20"/>
                <w:color w:val="auto"/>
              </w:rPr>
            </w:pPr>
            <w:r>
              <w:rPr>
                <w:rFonts w:ascii="Courier New" w:cs="Courier New" w:eastAsia="Courier New" w:hAnsi="Courier New"/>
                <w:sz w:val="15"/>
                <w:szCs w:val="15"/>
                <w:color w:val="auto"/>
              </w:rPr>
              <w:t>FORMER CHAIRMAN, DON OLSON FIRESTONE, INC.</w:t>
            </w:r>
          </w:p>
        </w:tc>
        <w:tc>
          <w:tcPr>
            <w:tcW w:w="5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140" w:type="dxa"/>
            <w:vAlign w:val="bottom"/>
          </w:tcPr>
          <w:p>
            <w:pPr>
              <w:spacing w:after="0"/>
              <w:rPr>
                <w:sz w:val="20"/>
                <w:szCs w:val="20"/>
                <w:color w:val="auto"/>
              </w:rPr>
            </w:pPr>
            <w:r>
              <w:rPr>
                <w:rFonts w:ascii="Courier New" w:cs="Courier New" w:eastAsia="Courier New" w:hAnsi="Courier New"/>
                <w:sz w:val="15"/>
                <w:szCs w:val="15"/>
                <w:color w:val="auto"/>
              </w:rPr>
              <w:t>Joseph M. Shuster</w:t>
            </w:r>
          </w:p>
        </w:tc>
        <w:tc>
          <w:tcPr>
            <w:tcW w:w="5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140" w:type="dxa"/>
            <w:vAlign w:val="bottom"/>
          </w:tcPr>
          <w:p>
            <w:pPr>
              <w:spacing w:after="0"/>
              <w:rPr>
                <w:sz w:val="20"/>
                <w:szCs w:val="20"/>
                <w:color w:val="auto"/>
              </w:rPr>
            </w:pPr>
            <w:r>
              <w:rPr>
                <w:rFonts w:ascii="Courier New" w:cs="Courier New" w:eastAsia="Courier New" w:hAnsi="Courier New"/>
                <w:sz w:val="15"/>
                <w:szCs w:val="15"/>
                <w:color w:val="auto"/>
              </w:rPr>
              <w:t>CHAIRMAN, TELTECH</w:t>
            </w:r>
          </w:p>
        </w:tc>
        <w:tc>
          <w:tcPr>
            <w:tcW w:w="5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140" w:type="dxa"/>
            <w:vAlign w:val="bottom"/>
          </w:tcPr>
          <w:p>
            <w:pPr>
              <w:spacing w:after="0"/>
              <w:rPr>
                <w:sz w:val="20"/>
                <w:szCs w:val="20"/>
                <w:color w:val="auto"/>
              </w:rPr>
            </w:pPr>
            <w:r>
              <w:rPr>
                <w:rFonts w:ascii="Courier New" w:cs="Courier New" w:eastAsia="Courier New" w:hAnsi="Courier New"/>
                <w:sz w:val="15"/>
                <w:szCs w:val="15"/>
                <w:color w:val="auto"/>
              </w:rPr>
              <w:t>Frederick M. Zimmerman</w:t>
            </w:r>
          </w:p>
        </w:tc>
        <w:tc>
          <w:tcPr>
            <w:tcW w:w="5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PROFESSOR OF MANUFACTURING SYSTEMS ENGINEERING,</w:t>
            </w:r>
          </w:p>
        </w:tc>
        <w:tc>
          <w:tcPr>
            <w:tcW w:w="5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140" w:type="dxa"/>
            <w:vAlign w:val="bottom"/>
          </w:tcPr>
          <w:p>
            <w:pPr>
              <w:spacing w:after="0"/>
              <w:rPr>
                <w:sz w:val="20"/>
                <w:szCs w:val="20"/>
                <w:color w:val="auto"/>
              </w:rPr>
            </w:pPr>
            <w:r>
              <w:rPr>
                <w:rFonts w:ascii="Courier New" w:cs="Courier New" w:eastAsia="Courier New" w:hAnsi="Courier New"/>
                <w:sz w:val="15"/>
                <w:szCs w:val="15"/>
                <w:color w:val="auto"/>
              </w:rPr>
              <w:t>THE UNIVERSITY OF ST. THOMAS</w:t>
            </w:r>
          </w:p>
        </w:tc>
        <w:tc>
          <w:tcPr>
            <w:tcW w:w="5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140" w:type="dxa"/>
            <w:vAlign w:val="bottom"/>
          </w:tcPr>
          <w:p>
            <w:pPr>
              <w:spacing w:after="0"/>
              <w:rPr>
                <w:sz w:val="20"/>
                <w:szCs w:val="20"/>
                <w:color w:val="auto"/>
              </w:rPr>
            </w:pPr>
            <w:r>
              <w:rPr>
                <w:rFonts w:ascii="Courier New" w:cs="Courier New" w:eastAsia="Courier New" w:hAnsi="Courier New"/>
                <w:sz w:val="15"/>
                <w:szCs w:val="15"/>
                <w:color w:val="auto"/>
              </w:rPr>
              <w:t>Francis L. Zrostlik</w:t>
            </w:r>
          </w:p>
        </w:tc>
        <w:tc>
          <w:tcPr>
            <w:tcW w:w="5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PRESIDENT/DIRECTOR, STELLAR INDUSTRIES</w:t>
            </w:r>
          </w:p>
        </w:tc>
        <w:tc>
          <w:tcPr>
            <w:tcW w:w="5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140" w:type="dxa"/>
            <w:vAlign w:val="bottom"/>
          </w:tcPr>
          <w:p>
            <w:pPr>
              <w:spacing w:after="0"/>
              <w:rPr>
                <w:sz w:val="20"/>
                <w:szCs w:val="20"/>
                <w:color w:val="auto"/>
              </w:rPr>
            </w:pPr>
            <w:r>
              <w:rPr>
                <w:rFonts w:ascii="Courier New" w:cs="Courier New" w:eastAsia="Courier New" w:hAnsi="Courier New"/>
                <w:sz w:val="15"/>
                <w:szCs w:val="15"/>
                <w:color w:val="auto"/>
              </w:rPr>
              <w:t>Luise V. Hanson</w:t>
            </w:r>
          </w:p>
        </w:tc>
        <w:tc>
          <w:tcPr>
            <w:tcW w:w="5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140" w:type="dxa"/>
            <w:vAlign w:val="bottom"/>
          </w:tcPr>
          <w:p>
            <w:pPr>
              <w:spacing w:after="0"/>
              <w:rPr>
                <w:sz w:val="20"/>
                <w:szCs w:val="20"/>
                <w:color w:val="auto"/>
              </w:rPr>
            </w:pPr>
            <w:r>
              <w:rPr>
                <w:rFonts w:ascii="Courier New" w:cs="Courier New" w:eastAsia="Courier New" w:hAnsi="Courier New"/>
                <w:sz w:val="15"/>
                <w:szCs w:val="15"/>
                <w:color w:val="auto"/>
              </w:rPr>
              <w:t>DIRECTOR EMERITUS</w:t>
            </w:r>
          </w:p>
        </w:tc>
        <w:tc>
          <w:tcPr>
            <w:tcW w:w="5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77" w:lineRule="exact"/>
        <w:rPr>
          <w:sz w:val="20"/>
          <w:szCs w:val="20"/>
          <w:color w:val="auto"/>
        </w:rPr>
      </w:pPr>
    </w:p>
    <w:p>
      <w:pPr>
        <w:ind w:right="3080"/>
        <w:spacing w:after="0" w:line="285" w:lineRule="auto"/>
        <w:rPr>
          <w:sz w:val="20"/>
          <w:szCs w:val="20"/>
          <w:color w:val="auto"/>
        </w:rPr>
      </w:pPr>
      <w:r>
        <w:rPr>
          <w:rFonts w:ascii="Courier New" w:cs="Courier New" w:eastAsia="Courier New" w:hAnsi="Courier New"/>
          <w:sz w:val="15"/>
          <w:szCs w:val="15"/>
          <w:color w:val="auto"/>
        </w:rPr>
        <w:t>WINNEBAGO INDUSTRIES' EXECUTIVE MANAGEMENT TEAM: (CLOCKWISE FROM TOP LEFT) JAMES JASKOVIAK, RAYMOND BEEBE, ROBERT OLSON, EDWIN BARKER, PRESIDENT AND CHIEF OPERATING OFFICER BRUCE HERTZKE, CHAIRMAN AND CHIEF EXECUTIVE OFFICER FRED DOHRMANN AND PAUL HANSON.</w:t>
      </w:r>
    </w:p>
    <w:p>
      <w:pPr>
        <w:sectPr>
          <w:pgSz w:w="11900" w:h="16838" w:orient="portrait"/>
          <w:cols w:equalWidth="0" w:num="1">
            <w:col w:w="10280"/>
          </w:cols>
          <w:pgMar w:left="240" w:top="287" w:right="1379" w:bottom="1440" w:gutter="0" w:footer="0" w:header="0"/>
        </w:sectPr>
      </w:pPr>
    </w:p>
    <w:bookmarkStart w:id="76" w:name="page77"/>
    <w:bookmarkEnd w:id="76"/>
    <w:p>
      <w:pPr>
        <w:jc w:val="center"/>
        <w:ind w:right="3019"/>
        <w:spacing w:after="0"/>
        <w:rPr>
          <w:sz w:val="20"/>
          <w:szCs w:val="20"/>
          <w:color w:val="auto"/>
        </w:rPr>
      </w:pPr>
      <w:r>
        <w:rPr>
          <w:rFonts w:ascii="Courier New" w:cs="Courier New" w:eastAsia="Courier New" w:hAnsi="Courier New"/>
          <w:sz w:val="15"/>
          <w:szCs w:val="15"/>
          <w:color w:val="auto"/>
        </w:rPr>
        <w:t>EXHIBIT 21</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List of Subsidiaries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2160" w:type="dxa"/>
            <w:vAlign w:val="bottom"/>
          </w:tcPr>
          <w:p>
            <w:pPr>
              <w:jc w:val="center"/>
              <w:ind w:right="465"/>
              <w:spacing w:after="0"/>
              <w:rPr>
                <w:sz w:val="20"/>
                <w:szCs w:val="20"/>
                <w:color w:val="auto"/>
              </w:rPr>
            </w:pPr>
            <w:r>
              <w:rPr>
                <w:rFonts w:ascii="Courier New" w:cs="Courier New" w:eastAsia="Courier New" w:hAnsi="Courier New"/>
                <w:sz w:val="15"/>
                <w:szCs w:val="15"/>
                <w:color w:val="auto"/>
              </w:rPr>
              <w:t>JURISDICTION</w:t>
            </w:r>
          </w:p>
        </w:tc>
        <w:tc>
          <w:tcPr>
            <w:tcW w:w="1540" w:type="dxa"/>
            <w:vAlign w:val="bottom"/>
          </w:tcPr>
          <w:p>
            <w:pPr>
              <w:ind w:left="360"/>
              <w:spacing w:after="0"/>
              <w:rPr>
                <w:sz w:val="20"/>
                <w:szCs w:val="20"/>
                <w:color w:val="auto"/>
              </w:rPr>
            </w:pPr>
            <w:r>
              <w:rPr>
                <w:rFonts w:ascii="Courier New" w:cs="Courier New" w:eastAsia="Courier New" w:hAnsi="Courier New"/>
                <w:sz w:val="15"/>
                <w:szCs w:val="15"/>
                <w:color w:val="auto"/>
              </w:rPr>
              <w:t>PERCENT</w:t>
            </w:r>
          </w:p>
        </w:tc>
        <w:tc>
          <w:tcPr>
            <w:tcW w:w="0" w:type="dxa"/>
            <w:vAlign w:val="bottom"/>
          </w:tcPr>
          <w:p>
            <w:pPr>
              <w:spacing w:after="0"/>
              <w:rPr>
                <w:sz w:val="1"/>
                <w:szCs w:val="1"/>
                <w:color w:val="auto"/>
              </w:rPr>
            </w:pPr>
          </w:p>
        </w:tc>
      </w:tr>
      <w:tr>
        <w:trPr>
          <w:trHeight w:val="173"/>
        </w:trPr>
        <w:tc>
          <w:tcPr>
            <w:tcW w:w="3600" w:type="dxa"/>
            <w:vAlign w:val="bottom"/>
            <w:vMerge w:val="restart"/>
          </w:tcPr>
          <w:p>
            <w:pPr>
              <w:ind w:left="980"/>
              <w:spacing w:after="0"/>
              <w:rPr>
                <w:sz w:val="20"/>
                <w:szCs w:val="20"/>
                <w:color w:val="auto"/>
              </w:rPr>
            </w:pPr>
            <w:r>
              <w:rPr>
                <w:rFonts w:ascii="Courier New" w:cs="Courier New" w:eastAsia="Courier New" w:hAnsi="Courier New"/>
                <w:sz w:val="15"/>
                <w:szCs w:val="15"/>
                <w:color w:val="auto"/>
              </w:rPr>
              <w:t>NAME OF CORPORATION</w:t>
            </w:r>
          </w:p>
        </w:tc>
        <w:tc>
          <w:tcPr>
            <w:tcW w:w="2160" w:type="dxa"/>
            <w:vAlign w:val="bottom"/>
          </w:tcPr>
          <w:p>
            <w:pPr>
              <w:jc w:val="center"/>
              <w:ind w:right="465"/>
              <w:spacing w:after="0"/>
              <w:rPr>
                <w:sz w:val="20"/>
                <w:szCs w:val="20"/>
                <w:color w:val="auto"/>
              </w:rPr>
            </w:pPr>
            <w:r>
              <w:rPr>
                <w:rFonts w:ascii="Courier New" w:cs="Courier New" w:eastAsia="Courier New" w:hAnsi="Courier New"/>
                <w:sz w:val="15"/>
                <w:szCs w:val="15"/>
                <w:color w:val="auto"/>
                <w:w w:val="99"/>
              </w:rPr>
              <w:t>OF</w:t>
            </w:r>
          </w:p>
        </w:tc>
        <w:tc>
          <w:tcPr>
            <w:tcW w:w="154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OF</w:t>
            </w:r>
          </w:p>
        </w:tc>
        <w:tc>
          <w:tcPr>
            <w:tcW w:w="0" w:type="dxa"/>
            <w:vAlign w:val="bottom"/>
          </w:tcPr>
          <w:p>
            <w:pPr>
              <w:spacing w:after="0"/>
              <w:rPr>
                <w:sz w:val="1"/>
                <w:szCs w:val="1"/>
                <w:color w:val="auto"/>
              </w:rPr>
            </w:pPr>
          </w:p>
        </w:tc>
      </w:tr>
      <w:tr>
        <w:trPr>
          <w:trHeight w:val="173"/>
        </w:trPr>
        <w:tc>
          <w:tcPr>
            <w:tcW w:w="3600" w:type="dxa"/>
            <w:vAlign w:val="bottom"/>
            <w:vMerge w:val="continue"/>
          </w:tcPr>
          <w:p>
            <w:pPr>
              <w:spacing w:after="0"/>
              <w:rPr>
                <w:sz w:val="15"/>
                <w:szCs w:val="15"/>
                <w:color w:val="auto"/>
              </w:rPr>
            </w:pPr>
          </w:p>
        </w:tc>
        <w:tc>
          <w:tcPr>
            <w:tcW w:w="2160" w:type="dxa"/>
            <w:vAlign w:val="bottom"/>
          </w:tcPr>
          <w:p>
            <w:pPr>
              <w:jc w:val="center"/>
              <w:ind w:right="385"/>
              <w:spacing w:after="0"/>
              <w:rPr>
                <w:sz w:val="20"/>
                <w:szCs w:val="20"/>
                <w:color w:val="auto"/>
              </w:rPr>
            </w:pPr>
            <w:r>
              <w:rPr>
                <w:rFonts w:ascii="Courier New" w:cs="Courier New" w:eastAsia="Courier New" w:hAnsi="Courier New"/>
                <w:sz w:val="15"/>
                <w:szCs w:val="15"/>
                <w:color w:val="auto"/>
              </w:rPr>
              <w:t>INCORPORATION</w:t>
            </w: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OWNERSHIP</w:t>
            </w:r>
          </w:p>
        </w:tc>
        <w:tc>
          <w:tcPr>
            <w:tcW w:w="0" w:type="dxa"/>
            <w:vAlign w:val="bottom"/>
          </w:tcPr>
          <w:p>
            <w:pPr>
              <w:spacing w:after="0"/>
              <w:rPr>
                <w:sz w:val="1"/>
                <w:szCs w:val="1"/>
                <w:color w:val="auto"/>
              </w:rPr>
            </w:pPr>
          </w:p>
        </w:tc>
      </w:tr>
      <w:tr>
        <w:trPr>
          <w:trHeight w:val="255"/>
        </w:trPr>
        <w:tc>
          <w:tcPr>
            <w:tcW w:w="3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3600" w:type="dxa"/>
            <w:vAlign w:val="bottom"/>
          </w:tcPr>
          <w:p>
            <w:pPr>
              <w:spacing w:after="0"/>
              <w:rPr>
                <w:sz w:val="20"/>
                <w:szCs w:val="20"/>
                <w:color w:val="auto"/>
              </w:rPr>
            </w:pPr>
            <w:r>
              <w:rPr>
                <w:rFonts w:ascii="Courier New" w:cs="Courier New" w:eastAsia="Courier New" w:hAnsi="Courier New"/>
                <w:sz w:val="15"/>
                <w:szCs w:val="15"/>
                <w:color w:val="auto"/>
              </w:rPr>
              <w:t>Winnebago Industries, Inc.</w:t>
            </w:r>
          </w:p>
        </w:tc>
        <w:tc>
          <w:tcPr>
            <w:tcW w:w="2160" w:type="dxa"/>
            <w:vAlign w:val="bottom"/>
          </w:tcPr>
          <w:p>
            <w:pPr>
              <w:jc w:val="center"/>
              <w:ind w:right="465"/>
              <w:spacing w:after="0"/>
              <w:rPr>
                <w:sz w:val="20"/>
                <w:szCs w:val="20"/>
                <w:color w:val="auto"/>
              </w:rPr>
            </w:pPr>
            <w:r>
              <w:rPr>
                <w:rFonts w:ascii="Courier New" w:cs="Courier New" w:eastAsia="Courier New" w:hAnsi="Courier New"/>
                <w:sz w:val="15"/>
                <w:szCs w:val="15"/>
                <w:color w:val="auto"/>
              </w:rPr>
              <w:t>Iowa</w:t>
            </w:r>
          </w:p>
        </w:tc>
        <w:tc>
          <w:tcPr>
            <w:tcW w:w="1540" w:type="dxa"/>
            <w:vAlign w:val="bottom"/>
          </w:tcPr>
          <w:p>
            <w:pPr>
              <w:ind w:left="360"/>
              <w:spacing w:after="0"/>
              <w:rPr>
                <w:sz w:val="20"/>
                <w:szCs w:val="20"/>
                <w:color w:val="auto"/>
              </w:rPr>
            </w:pPr>
            <w:r>
              <w:rPr>
                <w:rFonts w:ascii="Courier New" w:cs="Courier New" w:eastAsia="Courier New" w:hAnsi="Courier New"/>
                <w:sz w:val="15"/>
                <w:szCs w:val="15"/>
                <w:color w:val="auto"/>
              </w:rPr>
              <w:t>Parent</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Winnebago International Corporation</w:t>
            </w:r>
          </w:p>
        </w:tc>
        <w:tc>
          <w:tcPr>
            <w:tcW w:w="2160" w:type="dxa"/>
            <w:vAlign w:val="bottom"/>
          </w:tcPr>
          <w:p>
            <w:pPr>
              <w:jc w:val="center"/>
              <w:ind w:right="465"/>
              <w:spacing w:after="0"/>
              <w:rPr>
                <w:sz w:val="20"/>
                <w:szCs w:val="20"/>
                <w:color w:val="auto"/>
              </w:rPr>
            </w:pPr>
            <w:r>
              <w:rPr>
                <w:rFonts w:ascii="Courier New" w:cs="Courier New" w:eastAsia="Courier New" w:hAnsi="Courier New"/>
                <w:sz w:val="15"/>
                <w:szCs w:val="15"/>
                <w:color w:val="auto"/>
              </w:rPr>
              <w:t>Iowa</w:t>
            </w:r>
          </w:p>
        </w:tc>
        <w:tc>
          <w:tcPr>
            <w:tcW w:w="15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Winnebago Realty Corporation</w:t>
            </w:r>
          </w:p>
        </w:tc>
        <w:tc>
          <w:tcPr>
            <w:tcW w:w="2160" w:type="dxa"/>
            <w:vAlign w:val="bottom"/>
          </w:tcPr>
          <w:p>
            <w:pPr>
              <w:jc w:val="center"/>
              <w:ind w:right="465"/>
              <w:spacing w:after="0"/>
              <w:rPr>
                <w:sz w:val="20"/>
                <w:szCs w:val="20"/>
                <w:color w:val="auto"/>
              </w:rPr>
            </w:pPr>
            <w:r>
              <w:rPr>
                <w:rFonts w:ascii="Courier New" w:cs="Courier New" w:eastAsia="Courier New" w:hAnsi="Courier New"/>
                <w:sz w:val="15"/>
                <w:szCs w:val="15"/>
                <w:color w:val="auto"/>
              </w:rPr>
              <w:t>Iowa</w:t>
            </w:r>
          </w:p>
        </w:tc>
        <w:tc>
          <w:tcPr>
            <w:tcW w:w="15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Winnebago Acceptance Corporation</w:t>
            </w:r>
          </w:p>
        </w:tc>
        <w:tc>
          <w:tcPr>
            <w:tcW w:w="2160" w:type="dxa"/>
            <w:vAlign w:val="bottom"/>
          </w:tcPr>
          <w:p>
            <w:pPr>
              <w:jc w:val="center"/>
              <w:ind w:right="465"/>
              <w:spacing w:after="0"/>
              <w:rPr>
                <w:sz w:val="20"/>
                <w:szCs w:val="20"/>
                <w:color w:val="auto"/>
              </w:rPr>
            </w:pPr>
            <w:r>
              <w:rPr>
                <w:rFonts w:ascii="Courier New" w:cs="Courier New" w:eastAsia="Courier New" w:hAnsi="Courier New"/>
                <w:sz w:val="15"/>
                <w:szCs w:val="15"/>
                <w:color w:val="auto"/>
              </w:rPr>
              <w:t>Iowa</w:t>
            </w:r>
          </w:p>
        </w:tc>
        <w:tc>
          <w:tcPr>
            <w:tcW w:w="15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Winnebago R.V., Inc.</w:t>
            </w:r>
          </w:p>
        </w:tc>
        <w:tc>
          <w:tcPr>
            <w:tcW w:w="2160" w:type="dxa"/>
            <w:vAlign w:val="bottom"/>
          </w:tcPr>
          <w:p>
            <w:pPr>
              <w:jc w:val="center"/>
              <w:ind w:right="465"/>
              <w:spacing w:after="0"/>
              <w:rPr>
                <w:sz w:val="20"/>
                <w:szCs w:val="20"/>
                <w:color w:val="auto"/>
              </w:rPr>
            </w:pPr>
            <w:r>
              <w:rPr>
                <w:rFonts w:ascii="Courier New" w:cs="Courier New" w:eastAsia="Courier New" w:hAnsi="Courier New"/>
                <w:sz w:val="15"/>
                <w:szCs w:val="15"/>
                <w:color w:val="auto"/>
              </w:rPr>
              <w:t>Delaware</w:t>
            </w:r>
          </w:p>
        </w:tc>
        <w:tc>
          <w:tcPr>
            <w:tcW w:w="15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Winnebago Industries Europe GmbH</w:t>
            </w:r>
          </w:p>
        </w:tc>
        <w:tc>
          <w:tcPr>
            <w:tcW w:w="2160" w:type="dxa"/>
            <w:vAlign w:val="bottom"/>
          </w:tcPr>
          <w:p>
            <w:pPr>
              <w:jc w:val="center"/>
              <w:ind w:right="365"/>
              <w:spacing w:after="0"/>
              <w:rPr>
                <w:sz w:val="20"/>
                <w:szCs w:val="20"/>
                <w:color w:val="auto"/>
              </w:rPr>
            </w:pPr>
            <w:r>
              <w:rPr>
                <w:rFonts w:ascii="Courier New" w:cs="Courier New" w:eastAsia="Courier New" w:hAnsi="Courier New"/>
                <w:sz w:val="15"/>
                <w:szCs w:val="15"/>
                <w:color w:val="auto"/>
              </w:rPr>
              <w:t>Germany</w:t>
            </w:r>
          </w:p>
        </w:tc>
        <w:tc>
          <w:tcPr>
            <w:tcW w:w="15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255"/>
        </w:trPr>
        <w:tc>
          <w:tcPr>
            <w:tcW w:w="3600" w:type="dxa"/>
            <w:vAlign w:val="bottom"/>
          </w:tcPr>
          <w:p>
            <w:pPr>
              <w:spacing w:after="0"/>
              <w:rPr>
                <w:sz w:val="20"/>
                <w:szCs w:val="20"/>
                <w:color w:val="auto"/>
              </w:rPr>
            </w:pPr>
            <w:r>
              <w:rPr>
                <w:rFonts w:ascii="Courier New" w:cs="Courier New" w:eastAsia="Courier New" w:hAnsi="Courier New"/>
                <w:sz w:val="15"/>
                <w:szCs w:val="15"/>
                <w:color w:val="auto"/>
              </w:rPr>
              <w:t>Cycle-Sat, Inc.</w:t>
            </w:r>
          </w:p>
        </w:tc>
        <w:tc>
          <w:tcPr>
            <w:tcW w:w="2160" w:type="dxa"/>
            <w:vAlign w:val="bottom"/>
          </w:tcPr>
          <w:p>
            <w:pPr>
              <w:jc w:val="center"/>
              <w:ind w:right="465"/>
              <w:spacing w:after="0"/>
              <w:rPr>
                <w:sz w:val="20"/>
                <w:szCs w:val="20"/>
                <w:color w:val="auto"/>
              </w:rPr>
            </w:pPr>
            <w:r>
              <w:rPr>
                <w:rFonts w:ascii="Courier New" w:cs="Courier New" w:eastAsia="Courier New" w:hAnsi="Courier New"/>
                <w:sz w:val="15"/>
                <w:szCs w:val="15"/>
                <w:color w:val="auto"/>
              </w:rPr>
              <w:t>Iowa</w:t>
            </w:r>
          </w:p>
        </w:tc>
        <w:tc>
          <w:tcPr>
            <w:tcW w:w="15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80%</w:t>
            </w:r>
          </w:p>
        </w:tc>
        <w:tc>
          <w:tcPr>
            <w:tcW w:w="0" w:type="dxa"/>
            <w:vAlign w:val="bottom"/>
          </w:tcPr>
          <w:p>
            <w:pPr>
              <w:spacing w:after="0"/>
              <w:rPr>
                <w:sz w:val="1"/>
                <w:szCs w:val="1"/>
                <w:color w:val="auto"/>
              </w:rPr>
            </w:pPr>
          </w:p>
        </w:tc>
      </w:tr>
    </w:tbl>
    <w:p>
      <w:pPr>
        <w:sectPr>
          <w:pgSz w:w="11900" w:h="16838" w:orient="portrait"/>
          <w:cols w:equalWidth="0" w:num="1">
            <w:col w:w="10219"/>
          </w:cols>
          <w:pgMar w:left="240" w:top="287" w:right="1440" w:bottom="1440" w:gutter="0" w:footer="0" w:header="0"/>
        </w:sectPr>
      </w:pPr>
    </w:p>
    <w:bookmarkStart w:id="77" w:name="page78"/>
    <w:bookmarkEnd w:id="77"/>
    <w:p>
      <w:pPr>
        <w:jc w:val="right"/>
        <w:ind w:right="3019"/>
        <w:spacing w:after="0"/>
        <w:rPr>
          <w:sz w:val="20"/>
          <w:szCs w:val="20"/>
          <w:color w:val="auto"/>
        </w:rPr>
      </w:pPr>
      <w:r>
        <w:rPr>
          <w:rFonts w:ascii="Courier New" w:cs="Courier New" w:eastAsia="Courier New" w:hAnsi="Courier New"/>
          <w:sz w:val="15"/>
          <w:szCs w:val="15"/>
          <w:color w:val="auto"/>
        </w:rPr>
        <w:t>EXHIBIT 23</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ACCOUNTANTS' CONSENT</w:t>
      </w:r>
    </w:p>
    <w:p>
      <w:pPr>
        <w:spacing w:after="0" w:line="350" w:lineRule="exact"/>
        <w:rPr>
          <w:sz w:val="20"/>
          <w:szCs w:val="20"/>
          <w:color w:val="auto"/>
        </w:rPr>
      </w:pPr>
    </w:p>
    <w:p>
      <w:pPr>
        <w:ind w:right="3099"/>
        <w:spacing w:after="0" w:line="274" w:lineRule="auto"/>
        <w:rPr>
          <w:sz w:val="20"/>
          <w:szCs w:val="20"/>
          <w:color w:val="auto"/>
        </w:rPr>
      </w:pPr>
      <w:r>
        <w:rPr>
          <w:rFonts w:ascii="Courier New" w:cs="Courier New" w:eastAsia="Courier New" w:hAnsi="Courier New"/>
          <w:sz w:val="15"/>
          <w:szCs w:val="15"/>
          <w:color w:val="auto"/>
        </w:rPr>
        <w:t>We consent to the incorporation by reference in Registration Statements No. 2-40316, No. 2-73221, No. 2-82109, No. 33-21757, and No. 33-59930 of Winnebago Industries, Inc. on Form S-8 of our reports dated October 17, 1996 appearing in and incorporated by reference in the Annual Report on Form 10-K for Winnebago Industries, Inc. for the year ended August 31, 1996.</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21, 1996</w:t>
      </w:r>
    </w:p>
    <w:p>
      <w:pPr>
        <w:sectPr>
          <w:pgSz w:w="11900" w:h="16838" w:orient="portrait"/>
          <w:cols w:equalWidth="0" w:num="1">
            <w:col w:w="10219"/>
          </w:cols>
          <w:pgMar w:left="240" w:top="287"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5</w:t>
      </w:r>
    </w:p>
    <w:p>
      <w:pPr>
        <w:spacing w:after="0" w:line="35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YEAR</w:t>
      </w:r>
    </w:p>
    <w:p>
      <w:pPr>
        <w:spacing w:after="0" w:line="3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AUG-31-1996</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AUG-31-1996</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797</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4,316</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42,419</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899</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63,103</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126,617</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120,787</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80,858</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220,596</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64,462</w:t>
      </w:r>
    </w:p>
    <w:p>
      <w:pPr>
        <w:spacing w:after="0" w:line="3"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12,920</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92,391</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220,596</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484,804</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484,804</w:t>
      </w:r>
    </w:p>
    <w:p>
      <w:pPr>
        <w:spacing w:after="0" w:line="3" w:lineRule="exact"/>
        <w:rPr>
          <w:sz w:val="20"/>
          <w:szCs w:val="20"/>
          <w:color w:val="auto"/>
        </w:rPr>
      </w:pPr>
    </w:p>
    <w:p>
      <w:pPr>
        <w:jc w:val="right"/>
        <w:ind w:right="5799"/>
        <w:spacing w:after="0"/>
        <w:rPr>
          <w:sz w:val="20"/>
          <w:szCs w:val="20"/>
          <w:color w:val="auto"/>
        </w:rPr>
      </w:pPr>
      <w:r>
        <w:rPr>
          <w:rFonts w:ascii="Courier New" w:cs="Courier New" w:eastAsia="Courier New" w:hAnsi="Courier New"/>
          <w:sz w:val="15"/>
          <w:szCs w:val="15"/>
          <w:color w:val="auto"/>
        </w:rPr>
        <w:t>417,231</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417,231</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46,864</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354</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21,063</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6,639</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14,424</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(2,039)</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12,385</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.49</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0</w:t>
      </w:r>
    </w:p>
    <w:sectPr>
      <w:pgSz w:w="11900" w:h="16838" w:orient="portrait"/>
      <w:cols w:equalWidth="0" w:num="1">
        <w:col w:w="10139"/>
      </w:cols>
      <w:pgMar w:left="320" w:top="6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upperLetter"/>
      <w:start w:val="24"/>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1."/>
      <w:numFmt w:val="decimal"/>
      <w:start w:val="1"/>
    </w:lvl>
  </w:abstractNum>
  <w:abstractNum w:abstractNumId="3">
    <w:nsid w:val="38437FDB"/>
    <w:multiLevelType w:val="hybridMultilevel"/>
    <w:lvl w:ilvl="0">
      <w:lvlJc w:val="left"/>
      <w:lvlText w:val="(%1)"/>
      <w:numFmt w:val="decimal"/>
      <w:start w:val="1"/>
    </w:lvl>
  </w:abstractNum>
  <w:abstractNum w:abstractNumId="4">
    <w:nsid w:val="7644A45C"/>
    <w:multiLevelType w:val="hybridMultilevel"/>
    <w:lvl w:ilvl="0">
      <w:lvlJc w:val="left"/>
      <w:lvlText w:val="(%1)"/>
      <w:numFmt w:val="decimal"/>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1."/>
      <w:numFmt w:val="decimal"/>
      <w:start w:val="2"/>
    </w:lvl>
  </w:abstractNum>
  <w:abstractNum w:abstractNumId="7">
    <w:nsid w:val="579478FE"/>
    <w:multiLevelType w:val="hybridMultilevel"/>
    <w:lvl w:ilvl="0">
      <w:lvlJc w:val="left"/>
      <w:lvlText w:val="(%1)"/>
      <w:numFmt w:val="lowerLetter"/>
      <w:start w:val="1"/>
    </w:lvl>
  </w:abstractNum>
  <w:abstractNum w:abstractNumId="8">
    <w:nsid w:val="749ABB43"/>
    <w:multiLevelType w:val="hybridMultilevel"/>
    <w:lvl w:ilvl="0">
      <w:lvlJc w:val="left"/>
      <w:lvlText w:val="(%1)"/>
      <w:numFmt w:val="lowerLetter"/>
      <w:start w:val="2"/>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1."/>
      <w:numFmt w:val="decimal"/>
      <w:start w:val="13"/>
    </w:lvl>
  </w:abstractNum>
  <w:abstractNum w:abstractNumId="12">
    <w:nsid w:val="75C6C33A"/>
    <w:multiLevelType w:val="hybridMultilevel"/>
    <w:lvl w:ilvl="0">
      <w:lvlJc w:val="left"/>
      <w:lvlText w:val="%1."/>
      <w:numFmt w:val="decimal"/>
      <w:start w:val="21"/>
    </w:lvl>
  </w:abstractNum>
  <w:abstractNum w:abstractNumId="13">
    <w:nsid w:val="12E685FB"/>
    <w:multiLevelType w:val="hybridMultilevel"/>
    <w:lvl w:ilvl="0">
      <w:lvlJc w:val="left"/>
      <w:lvlText w:val="%1."/>
      <w:numFmt w:val="decimal"/>
      <w:start w:val="23"/>
    </w:lvl>
  </w:abstractNum>
  <w:abstractNum w:abstractNumId="14">
    <w:nsid w:val="70C6A529"/>
    <w:multiLevelType w:val="hybridMultilevel"/>
    <w:lvl w:ilvl="0">
      <w:lvlJc w:val="left"/>
      <w:lvlText w:val="%1."/>
      <w:numFmt w:val="decimal"/>
      <w:start w:val="1"/>
    </w:lvl>
  </w:abstractNum>
  <w:abstractNum w:abstractNumId="15">
    <w:nsid w:val="520EEDD1"/>
    <w:multiLevelType w:val="hybridMultilevel"/>
    <w:lvl w:ilvl="0">
      <w:lvlJc w:val="left"/>
      <w:lvlText w:val="%1."/>
      <w:numFmt w:val="decimal"/>
      <w:start w:val="1"/>
    </w:lvl>
  </w:abstractNum>
  <w:abstractNum w:abstractNumId="16">
    <w:nsid w:val="374A3FE6"/>
    <w:multiLevelType w:val="hybridMultilevel"/>
    <w:lvl w:ilvl="0">
      <w:lvlJc w:val="left"/>
      <w:lvlText w:val="%1."/>
      <w:numFmt w:val="decimal"/>
      <w:start w:val="1"/>
    </w:lvl>
  </w:abstractNum>
  <w:abstractNum w:abstractNumId="17">
    <w:nsid w:val="4F4EF005"/>
    <w:multiLevelType w:val="hybridMultilevel"/>
    <w:lvl w:ilvl="0">
      <w:lvlJc w:val="left"/>
      <w:lvlText w:val="(%1)"/>
      <w:numFmt w:val="decimal"/>
      <w:start w:val="15"/>
    </w:lvl>
  </w:abstractNum>
  <w:abstractNum w:abstractNumId="18">
    <w:nsid w:val="23F9C13C"/>
    <w:multiLevelType w:val="hybridMultilevel"/>
    <w:lvl w:ilvl="0">
      <w:lvlJc w:val="left"/>
      <w:lvlText w:val="(%1)"/>
      <w:numFmt w:val="decimal"/>
      <w:start w:val="17"/>
    </w:lvl>
  </w:abstractNum>
  <w:abstractNum w:abstractNumId="19">
    <w:nsid w:val="649BB77C"/>
    <w:multiLevelType w:val="hybridMultilevel"/>
    <w:lvl w:ilvl="0">
      <w:lvlJc w:val="left"/>
      <w:lvlText w:val="(%1)"/>
      <w:numFmt w:val="decimal"/>
      <w:start w:val="1"/>
    </w:lvl>
  </w:abstractNum>
  <w:abstractNum w:abstractNumId="20">
    <w:nsid w:val="275AC794"/>
    <w:multiLevelType w:val="hybridMultilevel"/>
    <w:lvl w:ilvl="0">
      <w:lvlJc w:val="left"/>
      <w:lvlText w:val="(%1)"/>
      <w:numFmt w:val="decimal"/>
      <w:start w:val="2"/>
    </w:lvl>
  </w:abstractNum>
  <w:abstractNum w:abstractNumId="21">
    <w:nsid w:val="39386575"/>
    <w:multiLevelType w:val="hybridMultilevel"/>
    <w:lvl w:ilvl="0">
      <w:lvlJc w:val="left"/>
      <w:lvlText w:val="(%1)"/>
      <w:numFmt w:val="decimal"/>
      <w:start w:val="3"/>
    </w:lvl>
  </w:abstractNum>
  <w:abstractNum w:abstractNumId="22">
    <w:nsid w:val="1CF10FD8"/>
    <w:multiLevelType w:val="hybridMultilevel"/>
    <w:lvl w:ilvl="0">
      <w:lvlJc w:val="left"/>
      <w:lvlText w:val="(%1)"/>
      <w:numFmt w:val="decimal"/>
      <w:start w:val="4"/>
    </w:lvl>
  </w:abstractNum>
  <w:abstractNum w:abstractNumId="23">
    <w:nsid w:val="180115BE"/>
    <w:multiLevelType w:val="hybridMultilevel"/>
    <w:lvl w:ilvl="0">
      <w:lvlJc w:val="left"/>
      <w:lvlText w:val="(%1)"/>
      <w:numFmt w:val="decimal"/>
      <w:start w:val="5"/>
    </w:lvl>
  </w:abstractNum>
  <w:abstractNum w:abstractNumId="24">
    <w:nsid w:val="235BA861"/>
    <w:multiLevelType w:val="hybridMultilevel"/>
    <w:lvl w:ilvl="0">
      <w:lvlJc w:val="left"/>
      <w:lvlText w:val="(%1)"/>
      <w:numFmt w:val="decimal"/>
      <w:start w:val="6"/>
    </w:lvl>
  </w:abstractNum>
  <w:abstractNum w:abstractNumId="25">
    <w:nsid w:val="47398C89"/>
    <w:multiLevelType w:val="hybridMultilevel"/>
    <w:lvl w:ilvl="0">
      <w:lvlJc w:val="left"/>
      <w:lvlText w:val="(%1)"/>
      <w:numFmt w:val="decimal"/>
      <w:start w:val="7"/>
    </w:lvl>
  </w:abstractNum>
  <w:abstractNum w:abstractNumId="26">
    <w:nsid w:val="354FE9F9"/>
    <w:multiLevelType w:val="hybridMultilevel"/>
    <w:lvl w:ilvl="0">
      <w:lvlJc w:val="left"/>
      <w:lvlText w:val="(%1)"/>
      <w:numFmt w:val="decimal"/>
      <w:start w:val="8"/>
    </w:lvl>
  </w:abstractNum>
  <w:abstractNum w:abstractNumId="27">
    <w:nsid w:val="15B5AF5C"/>
    <w:multiLevelType w:val="hybridMultilevel"/>
    <w:lvl w:ilvl="0">
      <w:lvlJc w:val="left"/>
      <w:lvlText w:val="(%1)"/>
      <w:numFmt w:val="decimal"/>
      <w:start w:val="9"/>
    </w:lvl>
  </w:abstractNum>
  <w:abstractNum w:abstractNumId="28">
    <w:nsid w:val="741226BB"/>
    <w:multiLevelType w:val="hybridMultilevel"/>
    <w:lvl w:ilvl="0">
      <w:lvlJc w:val="left"/>
      <w:lvlText w:val="(%1)"/>
      <w:numFmt w:val="decimal"/>
      <w:start w:val="15"/>
    </w:lvl>
  </w:abstractNum>
  <w:abstractNum w:abstractNumId="29">
    <w:nsid w:val="D34B6A8"/>
    <w:multiLevelType w:val="hybridMultilevel"/>
    <w:lvl w:ilvl="0">
      <w:lvlJc w:val="left"/>
      <w:lvlText w:val="(%1)"/>
      <w:numFmt w:val="decimal"/>
      <w:start w:val="11"/>
    </w:lvl>
  </w:abstractNum>
  <w:abstractNum w:abstractNumId="30">
    <w:nsid w:val="10233C99"/>
    <w:multiLevelType w:val="hybridMultilevel"/>
    <w:lvl w:ilvl="0">
      <w:lvlJc w:val="left"/>
      <w:lvlText w:val="(%1)"/>
      <w:numFmt w:val="decimal"/>
      <w:start w:val="12"/>
    </w:lvl>
  </w:abstractNum>
  <w:abstractNum w:abstractNumId="31">
    <w:nsid w:val="3F6AB60F"/>
    <w:multiLevelType w:val="hybridMultilevel"/>
    <w:lvl w:ilvl="0">
      <w:lvlJc w:val="left"/>
      <w:lvlText w:val="(%1)"/>
      <w:numFmt w:val="decimal"/>
      <w:start w:val="16"/>
    </w:lvl>
  </w:abstractNum>
  <w:abstractNum w:abstractNumId="32">
    <w:nsid w:val="61574095"/>
    <w:multiLevelType w:val="hybridMultilevel"/>
    <w:lvl w:ilvl="0">
      <w:lvlJc w:val="left"/>
      <w:lvlText w:val="(%1)"/>
      <w:numFmt w:val="decimal"/>
      <w:start w:val="17"/>
    </w:lvl>
  </w:abstractNum>
  <w:abstractNum w:abstractNumId="33">
    <w:nsid w:val="7E0C57B1"/>
    <w:multiLevelType w:val="hybridMultilevel"/>
    <w:lvl w:ilvl="0">
      <w:lvlJc w:val="left"/>
      <w:lvlText w:val="(%1)"/>
      <w:numFmt w:val="lowerLetter"/>
      <w:start w:val="1"/>
    </w:lvl>
  </w:abstractNum>
  <w:abstractNum w:abstractNumId="34">
    <w:nsid w:val="77AE35EB"/>
    <w:multiLevelType w:val="hybridMultilevel"/>
    <w:lvl w:ilvl="0">
      <w:lvlJc w:val="left"/>
      <w:lvlText w:val="(%1)"/>
      <w:numFmt w:val="decimal"/>
      <w:start w:val="19"/>
    </w:lvl>
  </w:abstractNum>
  <w:abstractNum w:abstractNumId="35">
    <w:nsid w:val="579BE4F1"/>
    <w:multiLevelType w:val="hybridMultilevel"/>
    <w:lvl w:ilvl="0">
      <w:lvlJc w:val="left"/>
      <w:lvlText w:val="%1:"/>
      <w:numFmt w:val="lowerLetter"/>
      <w:start w:val="3"/>
    </w:lvl>
  </w:abstractNum>
  <w:abstractNum w:abstractNumId="36">
    <w:nsid w:val="310C50B3"/>
    <w:multiLevelType w:val="hybridMultilevel"/>
    <w:lvl w:ilvl="0">
      <w:lvlJc w:val="left"/>
      <w:lvlText w:val="(%1)"/>
      <w:numFmt w:val="lowerLetter"/>
      <w:start w:val="1"/>
    </w:lvl>
  </w:abstractNum>
  <w:abstractNum w:abstractNumId="37">
    <w:nsid w:val="5FF87E05"/>
    <w:multiLevelType w:val="hybridMultilevel"/>
    <w:lvl w:ilvl="0">
      <w:lvlJc w:val="left"/>
      <w:lvlText w:val="(%1)"/>
      <w:numFmt w:val="lowerLetter"/>
      <w:start w:val="1"/>
    </w:lvl>
  </w:abstractNum>
  <w:abstractNum w:abstractNumId="38">
    <w:nsid w:val="2F305DEF"/>
    <w:multiLevelType w:val="hybridMultilevel"/>
    <w:lvl w:ilvl="0">
      <w:lvlJc w:val="left"/>
      <w:lvlText w:val="(%1)"/>
      <w:numFmt w:val="upperLetter"/>
      <w:start w:val="1"/>
    </w:lvl>
    <w:lvl w:ilvl="1">
      <w:lvlJc w:val="left"/>
      <w:lvlText w:val="(%2)"/>
      <w:numFmt w:val="decimal"/>
      <w:start w:val="1"/>
    </w:lvl>
  </w:abstractNum>
  <w:abstractNum w:abstractNumId="39">
    <w:nsid w:val="25A70BF7"/>
    <w:multiLevelType w:val="hybridMultilevel"/>
    <w:lvl w:ilvl="0">
      <w:lvlJc w:val="left"/>
      <w:lvlText w:val="(%1)"/>
      <w:numFmt w:val="lowerLetter"/>
      <w:start w:val="1"/>
    </w:lvl>
  </w:abstractNum>
  <w:abstractNum w:abstractNumId="40">
    <w:nsid w:val="1DBABF00"/>
    <w:multiLevelType w:val="hybridMultilevel"/>
    <w:lvl w:ilvl="0">
      <w:lvlJc w:val="left"/>
      <w:lvlText w:val="(%1)"/>
      <w:numFmt w:val="upperLetter"/>
      <w:start w:val="1"/>
    </w:lvl>
  </w:abstractNum>
  <w:abstractNum w:abstractNumId="41">
    <w:nsid w:val="4AD084E9"/>
    <w:multiLevelType w:val="hybridMultilevel"/>
    <w:lvl w:ilvl="0">
      <w:lvlJc w:val="left"/>
      <w:lvlText w:val="(%1)"/>
      <w:numFmt w:val="upperLetter"/>
      <w:start w:val="1"/>
    </w:lvl>
  </w:abstractNum>
  <w:abstractNum w:abstractNumId="42">
    <w:nsid w:val="1F48EAA1"/>
    <w:multiLevelType w:val="hybridMultilevel"/>
    <w:lvl w:ilvl="0">
      <w:lvlJc w:val="left"/>
      <w:lvlText w:val="(%1)"/>
      <w:numFmt w:val="lowerLetter"/>
      <w:start w:val="1"/>
    </w:lvl>
  </w:abstractNum>
  <w:abstractNum w:abstractNumId="43">
    <w:nsid w:val="1381823A"/>
    <w:multiLevelType w:val="hybridMultilevel"/>
    <w:lvl w:ilvl="0">
      <w:lvlJc w:val="left"/>
      <w:lvlText w:val="(%1)"/>
      <w:numFmt w:val="lowerLetter"/>
      <w:start w:val="1"/>
    </w:lvl>
  </w:abstractNum>
  <w:abstractNum w:abstractNumId="44">
    <w:nsid w:val="5DB70AE5"/>
    <w:multiLevelType w:val="hybridMultilevel"/>
    <w:lvl w:ilvl="0">
      <w:lvlJc w:val="left"/>
      <w:lvlText w:val="(%1)"/>
      <w:numFmt w:val="lowerLetter"/>
      <w:start w:val="2"/>
    </w:lvl>
    <w:lvl w:ilvl="1">
      <w:lvlJc w:val="left"/>
      <w:lvlText w:val="*"/>
      <w:numFmt w:val="bullet"/>
      <w:start w:val="1"/>
    </w:lvl>
  </w:abstractNum>
  <w:abstractNum w:abstractNumId="45">
    <w:nsid w:val="100F8FCA"/>
    <w:multiLevelType w:val="hybridMultilevel"/>
    <w:lvl w:ilvl="0">
      <w:lvlJc w:val="left"/>
      <w:lvlText w:val="(%1)"/>
      <w:numFmt w:val="lowerLetter"/>
      <w:start w:val="1"/>
    </w:lvl>
  </w:abstractNum>
  <w:abstractNum w:abstractNumId="46">
    <w:nsid w:val="6590700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7">
    <w:nsid w:val="15014ACB"/>
    <w:multiLevelType w:val="hybridMultilevel"/>
    <w:lvl w:ilvl="0">
      <w:lvlJc w:val="left"/>
      <w:lvlText w:val="(%1)"/>
      <w:numFmt w:val="upperLetter"/>
      <w:start w:val="1"/>
    </w:lvl>
  </w:abstractNum>
  <w:abstractNum w:abstractNumId="48">
    <w:nsid w:val="5F5E7FD0"/>
    <w:multiLevelType w:val="hybridMultilevel"/>
    <w:lvl w:ilvl="0">
      <w:lvlJc w:val="left"/>
      <w:lvlText w:val="(%1)"/>
      <w:numFmt w:val="upperLetter"/>
      <w:start w:val="1"/>
    </w:lvl>
    <w:lvl w:ilvl="1">
      <w:lvlJc w:val="left"/>
      <w:lvlText w:val="(%2)"/>
      <w:numFmt w:val="lowerLetter"/>
      <w:start w:val="1"/>
    </w:lvl>
  </w:abstractNum>
  <w:abstractNum w:abstractNumId="49">
    <w:nsid w:val="98A3148"/>
    <w:multiLevelType w:val="hybridMultilevel"/>
    <w:lvl w:ilvl="0">
      <w:lvlJc w:val="left"/>
      <w:lvlText w:val="(%1)"/>
      <w:numFmt w:val="upperLetter"/>
      <w:start w:val="4"/>
    </w:lvl>
  </w:abstractNum>
  <w:abstractNum w:abstractNumId="50">
    <w:nsid w:val="799D0247"/>
    <w:multiLevelType w:val="hybridMultilevel"/>
    <w:lvl w:ilvl="0">
      <w:lvlJc w:val="left"/>
      <w:lvlText w:val="(%1)"/>
      <w:numFmt w:val="lowerLetter"/>
      <w:start w:val="1"/>
    </w:lvl>
  </w:abstractNum>
  <w:abstractNum w:abstractNumId="51">
    <w:nsid w:val="6B94764"/>
    <w:multiLevelType w:val="hybridMultilevel"/>
    <w:lvl w:ilvl="0">
      <w:lvlJc w:val="left"/>
      <w:lvlText w:val="(%1)"/>
      <w:numFmt w:val="lowerLetter"/>
      <w:start w:val="4"/>
    </w:lvl>
  </w:abstractNum>
  <w:abstractNum w:abstractNumId="52">
    <w:nsid w:val="42C296BD"/>
    <w:multiLevelType w:val="hybridMultilevel"/>
    <w:lvl w:ilvl="0">
      <w:lvlJc w:val="left"/>
      <w:lvlText w:val="(%1)"/>
      <w:numFmt w:val="lowerLetter"/>
      <w:start w:val="3"/>
    </w:lvl>
  </w:abstractNum>
  <w:abstractNum w:abstractNumId="53">
    <w:nsid w:val="168E121F"/>
    <w:multiLevelType w:val="hybridMultilevel"/>
    <w:lvl w:ilvl="0">
      <w:lvlJc w:val="left"/>
      <w:lvlText w:val="(%1)"/>
      <w:numFmt w:val="lowerLetter"/>
      <w:start w:val="4"/>
    </w:lvl>
    <w:lvl w:ilvl="1">
      <w:lvlJc w:val="left"/>
      <w:lvlText w:val="*"/>
      <w:numFmt w:val="bullet"/>
      <w:start w:val="1"/>
    </w:lvl>
  </w:abstractNum>
  <w:abstractNum w:abstractNumId="54">
    <w:nsid w:val="1EBA5D23"/>
    <w:multiLevelType w:val="hybridMultilevel"/>
    <w:lvl w:ilvl="0">
      <w:lvlJc w:val="left"/>
      <w:lvlText w:val="(%1)"/>
      <w:numFmt w:val="upperLetter"/>
      <w:start w:val="1"/>
    </w:lvl>
  </w:abstractNum>
  <w:abstractNum w:abstractNumId="55">
    <w:nsid w:val="661E3F1E"/>
    <w:multiLevelType w:val="hybridMultilevel"/>
    <w:lvl w:ilvl="0">
      <w:lvlJc w:val="left"/>
      <w:lvlText w:val="(%1)"/>
      <w:numFmt w:val="upperLetter"/>
      <w:start w:val="2"/>
    </w:lvl>
  </w:abstractNum>
  <w:abstractNum w:abstractNumId="56">
    <w:nsid w:val="5DC79EA8"/>
    <w:multiLevelType w:val="hybridMultilevel"/>
    <w:lvl w:ilvl="0">
      <w:lvlJc w:val="left"/>
      <w:lvlText w:val="(%1)"/>
      <w:numFmt w:val="upperLetter"/>
      <w:start w:val="1"/>
    </w:lvl>
    <w:lvl w:ilvl="1">
      <w:lvlJc w:val="left"/>
      <w:lvlText w:val="(%2)"/>
      <w:numFmt w:val="decimal"/>
      <w:start w:val="1"/>
    </w:lvl>
  </w:abstractNum>
  <w:abstractNum w:abstractNumId="57">
    <w:nsid w:val="540A471C"/>
    <w:multiLevelType w:val="hybridMultilevel"/>
    <w:lvl w:ilvl="0">
      <w:lvlJc w:val="left"/>
      <w:lvlText w:val="(%1)"/>
      <w:numFmt w:val="decimal"/>
      <w:start w:val="1"/>
    </w:lvl>
  </w:abstractNum>
  <w:abstractNum w:abstractNumId="58">
    <w:nsid w:val="7BD3EE7B"/>
    <w:multiLevelType w:val="hybridMultilevel"/>
    <w:lvl w:ilvl="0">
      <w:lvlJc w:val="left"/>
      <w:lvlText w:val="(%1)"/>
      <w:numFmt w:val="upperLetter"/>
      <w:start w:val="3"/>
    </w:lvl>
  </w:abstractNum>
  <w:abstractNum w:abstractNumId="59">
    <w:nsid w:val="51D9C564"/>
    <w:multiLevelType w:val="hybridMultilevel"/>
    <w:lvl w:ilvl="0">
      <w:lvlJc w:val="left"/>
      <w:lvlText w:val="(%1)"/>
      <w:numFmt w:val="upperLetter"/>
      <w:start w:val="1"/>
    </w:lvl>
  </w:abstractNum>
  <w:abstractNum w:abstractNumId="60">
    <w:nsid w:val="613EFDC5"/>
    <w:multiLevelType w:val="hybridMultilevel"/>
    <w:lvl w:ilvl="0">
      <w:lvlJc w:val="left"/>
      <w:lvlText w:val="(%1)"/>
      <w:numFmt w:val="lowerLetter"/>
      <w:start w:val="1"/>
    </w:lvl>
  </w:abstractNum>
  <w:abstractNum w:abstractNumId="61">
    <w:nsid w:val="BF72B14"/>
    <w:multiLevelType w:val="hybridMultilevel"/>
    <w:lvl w:ilvl="0">
      <w:lvlJc w:val="left"/>
      <w:lvlText w:val="(%1)"/>
      <w:numFmt w:val="upperLetter"/>
      <w:start w:val="1"/>
    </w:lvl>
    <w:lvl w:ilvl="1">
      <w:lvlJc w:val="left"/>
      <w:lvlText w:val="(%2)"/>
      <w:numFmt w:val="decimal"/>
      <w:start w:val="1"/>
    </w:lvl>
  </w:abstractNum>
  <w:abstractNum w:abstractNumId="62">
    <w:nsid w:val="11447B73"/>
    <w:multiLevelType w:val="hybridMultilevel"/>
    <w:lvl w:ilvl="0">
      <w:lvlJc w:val="left"/>
      <w:lvlText w:val="(%1)"/>
      <w:numFmt w:val="upperLetter"/>
      <w:start w:val="1"/>
    </w:lvl>
  </w:abstractNum>
  <w:abstractNum w:abstractNumId="63">
    <w:nsid w:val="42963E5A"/>
    <w:multiLevelType w:val="hybridMultilevel"/>
    <w:lvl w:ilvl="0">
      <w:lvlJc w:val="left"/>
      <w:lvlText w:val="(%1)"/>
      <w:numFmt w:val="upperLetter"/>
      <w:start w:val="2"/>
    </w:lvl>
  </w:abstractNum>
  <w:abstractNum w:abstractNumId="64">
    <w:nsid w:val="A0382C5"/>
    <w:multiLevelType w:val="hybridMultilevel"/>
    <w:lvl w:ilvl="0">
      <w:lvlJc w:val="left"/>
      <w:lvlText w:val="(%1)"/>
      <w:numFmt w:val="upperLetter"/>
      <w:start w:val="1"/>
    </w:lvl>
  </w:abstractNum>
  <w:abstractNum w:abstractNumId="65">
    <w:nsid w:val="8F2B15E"/>
    <w:multiLevelType w:val="hybridMultilevel"/>
    <w:lvl w:ilvl="0">
      <w:lvlJc w:val="left"/>
      <w:lvlText w:val="(%1)"/>
      <w:numFmt w:val="lowerLetter"/>
      <w:start w:val="1"/>
    </w:lvl>
  </w:abstractNum>
  <w:abstractNum w:abstractNumId="66">
    <w:nsid w:val="1A32234B"/>
    <w:multiLevelType w:val="hybridMultilevel"/>
    <w:lvl w:ilvl="0">
      <w:lvlJc w:val="left"/>
      <w:lvlText w:val="(%1)"/>
      <w:numFmt w:val="lowerLetter"/>
      <w:start w:val="1"/>
    </w:lvl>
  </w:abstractNum>
  <w:abstractNum w:abstractNumId="67">
    <w:nsid w:val="3B0FD379"/>
    <w:multiLevelType w:val="hybridMultilevel"/>
    <w:lvl w:ilvl="0">
      <w:lvlJc w:val="left"/>
      <w:lvlText w:val="(%1)"/>
      <w:numFmt w:val="lowerLetter"/>
      <w:start w:val="1"/>
    </w:lvl>
  </w:abstractNum>
  <w:abstractNum w:abstractNumId="68">
    <w:nsid w:val="68EB2F63"/>
    <w:multiLevelType w:val="hybridMultilevel"/>
    <w:lvl w:ilvl="0">
      <w:lvlJc w:val="left"/>
      <w:lvlText w:val="[%1]"/>
      <w:numFmt w:val="upperLetter"/>
      <w:start w:val="1"/>
    </w:lvl>
  </w:abstractNum>
  <w:abstractNum w:abstractNumId="69">
    <w:nsid w:val="4962813B"/>
    <w:multiLevelType w:val="hybridMultilevel"/>
    <w:lvl w:ilvl="0">
      <w:lvlJc w:val="left"/>
      <w:lvlText w:val="(%1)"/>
      <w:numFmt w:val="lowerLetter"/>
      <w:start w:val="1"/>
    </w:lvl>
  </w:abstractNum>
  <w:abstractNum w:abstractNumId="70">
    <w:nsid w:val="60B6DF70"/>
    <w:multiLevelType w:val="hybridMultilevel"/>
    <w:lvl w:ilvl="0">
      <w:lvlJc w:val="left"/>
      <w:lvlText w:val="(%1)"/>
      <w:numFmt w:val="lowerLetter"/>
      <w:start w:val="6"/>
    </w:lvl>
  </w:abstractNum>
  <w:abstractNum w:abstractNumId="71">
    <w:nsid w:val="6A5EE64"/>
    <w:multiLevelType w:val="hybridMultilevel"/>
    <w:lvl w:ilvl="0">
      <w:lvlJc w:val="left"/>
      <w:lvlText w:val="(%1)"/>
      <w:numFmt w:val="decimal"/>
      <w:start w:val="1"/>
    </w:lvl>
  </w:abstractNum>
  <w:abstractNum w:abstractNumId="72">
    <w:nsid w:val="14330624"/>
    <w:multiLevelType w:val="hybridMultilevel"/>
    <w:lvl w:ilvl="0">
      <w:lvlJc w:val="left"/>
      <w:lvlText w:val="(%1)"/>
      <w:numFmt w:val="lowerLetter"/>
      <w:start w:val="13"/>
    </w:lvl>
  </w:abstractNum>
  <w:abstractNum w:abstractNumId="73">
    <w:nsid w:val="7FFFCA11"/>
    <w:multiLevelType w:val="hybridMultilevel"/>
    <w:lvl w:ilvl="0">
      <w:lvlJc w:val="left"/>
      <w:lvlText w:val="(%1)"/>
      <w:numFmt w:val="lowerLetter"/>
      <w:start w:val="1"/>
    </w:lvl>
  </w:abstractNum>
  <w:abstractNum w:abstractNumId="74">
    <w:nsid w:val="1A27709E"/>
    <w:multiLevelType w:val="hybridMultilevel"/>
    <w:lvl w:ilvl="0">
      <w:lvlJc w:val="left"/>
      <w:lvlText w:val="(%1)"/>
      <w:numFmt w:val="upperLetter"/>
      <w:start w:val="1"/>
    </w:lvl>
  </w:abstractNum>
  <w:abstractNum w:abstractNumId="75">
    <w:nsid w:val="71EA1109"/>
    <w:multiLevelType w:val="hybridMultilevel"/>
    <w:lvl w:ilvl="0">
      <w:lvlJc w:val="left"/>
      <w:lvlText w:val="(%1)"/>
      <w:numFmt w:val="lowerLetter"/>
      <w:start w:val="1"/>
    </w:lvl>
  </w:abstractNum>
  <w:abstractNum w:abstractNumId="76">
    <w:nsid w:val="100F59DC"/>
    <w:multiLevelType w:val="hybridMultilevel"/>
    <w:lvl w:ilvl="0">
      <w:lvlJc w:val="left"/>
      <w:lvlText w:val="(%1)"/>
      <w:numFmt w:val="upperLetter"/>
      <w:start w:val="1"/>
    </w:lvl>
  </w:abstractNum>
  <w:abstractNum w:abstractNumId="77">
    <w:nsid w:val="7FB7E0AA"/>
    <w:multiLevelType w:val="hybridMultilevel"/>
    <w:lvl w:ilvl="0">
      <w:lvlJc w:val="left"/>
      <w:lvlText w:val="(%1)"/>
      <w:numFmt w:val="upperLetter"/>
      <w:start w:val="4"/>
    </w:lvl>
    <w:lvl w:ilvl="1">
      <w:lvlJc w:val="left"/>
      <w:lvlText w:val="(%2)"/>
      <w:numFmt w:val="decimal"/>
      <w:start w:val="1"/>
    </w:lvl>
  </w:abstractNum>
  <w:abstractNum w:abstractNumId="78">
    <w:nsid w:val="6EB5BD4"/>
    <w:multiLevelType w:val="hybridMultilevel"/>
    <w:lvl w:ilvl="0">
      <w:lvlJc w:val="left"/>
      <w:lvlText w:val="(%1)"/>
      <w:numFmt w:val="decimal"/>
      <w:start w:val="1"/>
    </w:lvl>
  </w:abstractNum>
  <w:abstractNum w:abstractNumId="79">
    <w:nsid w:val="6F6DD9AC"/>
    <w:multiLevelType w:val="hybridMultilevel"/>
    <w:lvl w:ilvl="0">
      <w:lvlJc w:val="left"/>
      <w:lvlText w:val="-"/>
      <w:numFmt w:val="bullet"/>
      <w:start w:val="1"/>
    </w:lvl>
  </w:abstractNum>
  <w:abstractNum w:abstractNumId="80">
    <w:nsid w:val="94211F2"/>
    <w:multiLevelType w:val="hybridMultilevel"/>
    <w:lvl w:ilvl="0">
      <w:lvlJc w:val="left"/>
      <w:lvlText w:val="-"/>
      <w:numFmt w:val="bullet"/>
      <w:start w:val="1"/>
    </w:lvl>
  </w:abstractNum>
  <w:abstractNum w:abstractNumId="81">
    <w:nsid w:val="885E1B"/>
    <w:multiLevelType w:val="hybridMultilevel"/>
    <w:lvl w:ilvl="0">
      <w:lvlJc w:val="left"/>
      <w:lvlText w:val="-"/>
      <w:numFmt w:val="bullet"/>
      <w:start w:val="1"/>
    </w:lvl>
  </w:abstractNum>
  <w:abstractNum w:abstractNumId="82">
    <w:nsid w:val="76272110"/>
    <w:multiLevelType w:val="hybridMultilevel"/>
    <w:lvl w:ilvl="0">
      <w:lvlJc w:val="left"/>
      <w:lvlText w:val="-"/>
      <w:numFmt w:val="bullet"/>
      <w:start w:val="1"/>
    </w:lvl>
  </w:abstractNum>
  <w:abstractNum w:abstractNumId="83">
    <w:nsid w:val="4C04A8AF"/>
    <w:multiLevelType w:val="hybridMultilevel"/>
    <w:lvl w:ilvl="0">
      <w:lvlJc w:val="left"/>
      <w:lvlText w:val="-"/>
      <w:numFmt w:val="bullet"/>
      <w:start w:val="1"/>
    </w:lvl>
  </w:abstractNum>
  <w:abstractNum w:abstractNumId="84">
    <w:nsid w:val="1716703B"/>
    <w:multiLevelType w:val="hybridMultilevel"/>
    <w:lvl w:ilvl="0">
      <w:lvlJc w:val="left"/>
      <w:lvlText w:val="-"/>
      <w:numFmt w:val="bullet"/>
      <w:start w:val="1"/>
    </w:lvl>
  </w:abstractNum>
  <w:abstractNum w:abstractNumId="85">
    <w:nsid w:val="14E17E33"/>
    <w:multiLevelType w:val="hybridMultilevel"/>
    <w:lvl w:ilvl="0">
      <w:lvlJc w:val="left"/>
      <w:lvlText w:val="(%1)"/>
      <w:numFmt w:val="decimal"/>
      <w:start w:val="1"/>
    </w:lvl>
  </w:abstractNum>
  <w:abstractNum w:abstractNumId="86">
    <w:nsid w:val="3222E7CD"/>
    <w:multiLevelType w:val="hybridMultilevel"/>
    <w:lvl w:ilvl="0">
      <w:lvlJc w:val="left"/>
      <w:lvlText w:val="(%1)"/>
      <w:numFmt w:val="decimal"/>
      <w:start w:val="1"/>
    </w:lvl>
  </w:abstractNum>
  <w:abstractNum w:abstractNumId="87">
    <w:nsid w:val="74DE0EE3"/>
    <w:multiLevelType w:val="hybridMultilevel"/>
    <w:lvl w:ilvl="0">
      <w:lvlJc w:val="left"/>
      <w:lvlText w:val="-"/>
      <w:numFmt w:val="bullet"/>
      <w:start w:val="1"/>
    </w:lvl>
  </w:abstractNum>
  <w:abstractNum w:abstractNumId="88">
    <w:nsid w:val="68EBC550"/>
    <w:multiLevelType w:val="hybridMultilevel"/>
    <w:lvl w:ilvl="0">
      <w:lvlJc w:val="left"/>
      <w:lvlText w:val="*"/>
      <w:numFmt w:val="bullet"/>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2019-12-13T08:34:44Z</dcterms:created>
  <dcterms:modified xsi:type="dcterms:W3CDTF">2019-12-13T08:34:44Z</dcterms:modified>
</cp:coreProperties>
</file>