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1"/>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1"/>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224790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1"/>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66" w:lineRule="exact"/>
        <w:rPr>
          <w:sz w:val="24"/>
          <w:szCs w:val="24"/>
          <w:color w:val="auto"/>
        </w:rPr>
      </w:pPr>
    </w:p>
    <w:p>
      <w:pPr>
        <w:jc w:val="center"/>
        <w:ind w:right="-11"/>
        <w:spacing w:after="0"/>
        <w:rPr>
          <w:sz w:val="20"/>
          <w:szCs w:val="20"/>
          <w:color w:val="auto"/>
        </w:rPr>
      </w:pPr>
      <w:r>
        <w:rPr>
          <w:rFonts w:ascii="Arial" w:cs="Arial" w:eastAsia="Arial" w:hAnsi="Arial"/>
          <w:sz w:val="18"/>
          <w:szCs w:val="18"/>
          <w:color w:val="auto"/>
        </w:rPr>
        <w:t>Date of report (Date of earliest event reported) October 15,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2933065</wp:posOffset>
            </wp:positionH>
            <wp:positionV relativeFrom="paragraph">
              <wp:posOffset>846455</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2101215</wp:posOffset>
            </wp:positionH>
            <wp:positionV relativeFrom="paragraph">
              <wp:posOffset>169545</wp:posOffset>
            </wp:positionV>
            <wp:extent cx="3087370" cy="42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737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1"/>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1"/>
        <w:spacing w:after="0"/>
        <w:rPr>
          <w:sz w:val="20"/>
          <w:szCs w:val="20"/>
          <w:color w:val="auto"/>
        </w:rPr>
      </w:pPr>
      <w:r>
        <w:rPr>
          <w:rFonts w:ascii="Arial" w:cs="Arial" w:eastAsia="Arial" w:hAnsi="Arial"/>
          <w:sz w:val="16"/>
          <w:szCs w:val="16"/>
          <w:color w:val="auto"/>
        </w:rPr>
        <w:t>(Exact Name of Registrant as Specified in its Charter)</w:t>
      </w:r>
    </w:p>
    <w:p>
      <w:pPr>
        <w:spacing w:after="0" w:line="390" w:lineRule="exact"/>
        <w:rPr>
          <w:sz w:val="24"/>
          <w:szCs w:val="24"/>
          <w:color w:val="auto"/>
        </w:rPr>
      </w:pPr>
    </w:p>
    <w:tbl>
      <w:tblPr>
        <w:tblLayout w:type="fixed"/>
        <w:tblInd w:w="1092" w:type="dxa"/>
        <w:tblCellMar>
          <w:top w:w="0" w:type="dxa"/>
          <w:left w:w="0" w:type="dxa"/>
          <w:bottom w:w="0" w:type="dxa"/>
          <w:right w:w="0" w:type="dxa"/>
        </w:tblCellMar>
      </w:tblPr>
      <w:tr>
        <w:trPr>
          <w:trHeight w:val="228"/>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264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001-06403</w:t>
            </w:r>
          </w:p>
        </w:tc>
        <w:tc>
          <w:tcPr>
            <w:tcW w:w="3260" w:type="dxa"/>
            <w:vAlign w:val="bottom"/>
            <w:tcBorders>
              <w:bottom w:val="single" w:sz="8" w:color="auto"/>
            </w:tcBorders>
            <w:gridSpan w:val="2"/>
          </w:tcPr>
          <w:p>
            <w:pPr>
              <w:jc w:val="right"/>
              <w:ind w:right="1059"/>
              <w:spacing w:after="0"/>
              <w:rPr>
                <w:sz w:val="20"/>
                <w:szCs w:val="20"/>
                <w:color w:val="auto"/>
              </w:rPr>
            </w:pPr>
            <w:r>
              <w:rPr>
                <w:rFonts w:ascii="Arial" w:cs="Arial" w:eastAsia="Arial" w:hAnsi="Arial"/>
                <w:sz w:val="16"/>
                <w:szCs w:val="16"/>
                <w:b w:val="1"/>
                <w:bCs w:val="1"/>
                <w:color w:val="auto"/>
              </w:rPr>
              <w:t>42-0802678</w:t>
            </w:r>
          </w:p>
        </w:tc>
      </w:tr>
      <w:tr>
        <w:trPr>
          <w:trHeight w:val="218"/>
        </w:trPr>
        <w:tc>
          <w:tcPr>
            <w:tcW w:w="332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40" w:type="dxa"/>
            <w:vAlign w:val="bottom"/>
          </w:tcPr>
          <w:p>
            <w:pPr>
              <w:jc w:val="center"/>
              <w:ind w:left="19"/>
              <w:spacing w:after="0"/>
              <w:rPr>
                <w:sz w:val="20"/>
                <w:szCs w:val="20"/>
                <w:color w:val="auto"/>
              </w:rPr>
            </w:pPr>
            <w:r>
              <w:rPr>
                <w:rFonts w:ascii="Arial" w:cs="Arial" w:eastAsia="Arial" w:hAnsi="Arial"/>
                <w:sz w:val="16"/>
                <w:szCs w:val="16"/>
                <w:color w:val="auto"/>
              </w:rPr>
              <w:t>(Commission File Number)</w:t>
            </w:r>
          </w:p>
        </w:tc>
        <w:tc>
          <w:tcPr>
            <w:tcW w:w="10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6"/>
                <w:szCs w:val="16"/>
                <w:color w:val="auto"/>
                <w:w w:val="99"/>
              </w:rPr>
              <w:t>(IRS Employer</w:t>
            </w:r>
          </w:p>
        </w:tc>
      </w:tr>
      <w:tr>
        <w:trPr>
          <w:trHeight w:val="195"/>
        </w:trPr>
        <w:tc>
          <w:tcPr>
            <w:tcW w:w="332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Arial" w:cs="Arial" w:eastAsia="Arial" w:hAnsi="Arial"/>
                <w:sz w:val="16"/>
                <w:szCs w:val="16"/>
                <w:color w:val="auto"/>
              </w:rPr>
              <w:t>Identification No.)</w:t>
            </w:r>
          </w:p>
        </w:tc>
      </w:tr>
      <w:tr>
        <w:trPr>
          <w:trHeight w:val="499"/>
        </w:trPr>
        <w:tc>
          <w:tcPr>
            <w:tcW w:w="3320" w:type="dxa"/>
            <w:vAlign w:val="bottom"/>
          </w:tcPr>
          <w:p>
            <w:pPr>
              <w:jc w:val="center"/>
              <w:spacing w:after="0"/>
              <w:rPr>
                <w:sz w:val="20"/>
                <w:szCs w:val="20"/>
                <w:color w:val="auto"/>
              </w:rPr>
            </w:pPr>
            <w:r>
              <w:rPr>
                <w:rFonts w:ascii="Arial" w:cs="Arial" w:eastAsia="Arial" w:hAnsi="Arial"/>
                <w:sz w:val="16"/>
                <w:szCs w:val="16"/>
                <w:b w:val="1"/>
                <w:bCs w:val="1"/>
                <w:color w:val="auto"/>
                <w:w w:val="99"/>
              </w:rPr>
              <w:t>P.O. Box 152, Forest City, Iowa</w:t>
            </w:r>
          </w:p>
        </w:tc>
        <w:tc>
          <w:tcPr>
            <w:tcW w:w="2640" w:type="dxa"/>
            <w:vAlign w:val="bottom"/>
          </w:tcPr>
          <w:p>
            <w:pPr>
              <w:spacing w:after="0"/>
              <w:rPr>
                <w:sz w:val="24"/>
                <w:szCs w:val="24"/>
                <w:color w:val="auto"/>
              </w:rPr>
            </w:pPr>
          </w:p>
        </w:tc>
        <w:tc>
          <w:tcPr>
            <w:tcW w:w="3260" w:type="dxa"/>
            <w:vAlign w:val="bottom"/>
            <w:gridSpan w:val="2"/>
          </w:tcPr>
          <w:p>
            <w:pPr>
              <w:jc w:val="right"/>
              <w:ind w:right="1279"/>
              <w:spacing w:after="0"/>
              <w:rPr>
                <w:sz w:val="20"/>
                <w:szCs w:val="20"/>
                <w:color w:val="auto"/>
              </w:rPr>
            </w:pPr>
            <w:r>
              <w:rPr>
                <w:rFonts w:ascii="Arial" w:cs="Arial" w:eastAsia="Arial" w:hAnsi="Arial"/>
                <w:sz w:val="16"/>
                <w:szCs w:val="16"/>
                <w:b w:val="1"/>
                <w:bCs w:val="1"/>
                <w:color w:val="auto"/>
              </w:rPr>
              <w:t>50436</w:t>
            </w:r>
          </w:p>
        </w:tc>
      </w:tr>
      <w:tr>
        <w:trPr>
          <w:trHeight w:val="224"/>
        </w:trPr>
        <w:tc>
          <w:tcPr>
            <w:tcW w:w="33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r>
        <w:trPr>
          <w:trHeight w:val="405"/>
        </w:trPr>
        <w:tc>
          <w:tcPr>
            <w:tcW w:w="5960" w:type="dxa"/>
            <w:vAlign w:val="bottom"/>
            <w:gridSpan w:val="2"/>
          </w:tcPr>
          <w:p>
            <w:pPr>
              <w:ind w:left="220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gridSpan w:val="2"/>
          </w:tcPr>
          <w:p>
            <w:pPr>
              <w:jc w:val="right"/>
              <w:ind w:right="2099"/>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52"/>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1"/>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207645</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652" w:hanging="647"/>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492" w:hanging="492"/>
        <w:spacing w:after="0"/>
        <w:tabs>
          <w:tab w:leader="none" w:pos="492"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492" w:hanging="492"/>
        <w:spacing w:after="0"/>
        <w:tabs>
          <w:tab w:leader="none" w:pos="492"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492" w:hanging="492"/>
        <w:spacing w:after="0"/>
        <w:tabs>
          <w:tab w:leader="none" w:pos="492"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492" w:hanging="492"/>
        <w:spacing w:after="0"/>
        <w:tabs>
          <w:tab w:leader="none" w:pos="492"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412"/>
          </w:cols>
          <w:pgMar w:left="248" w:top="676"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7.01 Regulation FD Disclosure; 8.01 Other Events.</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Winnebago Industries, Inc. (Winnebago Industries) is filing herewith a press release issued on October 15, 2014, as Exhibit 99.1 which is included herein. The press release was issued to report that on October 15, 2014, the Board of Winnebago Industries, Inc. approved the reinstatement of a quarterly cash dividend of $.09 per share of common stock, payable on November 26, 2014 to shareholders of record at the close of business on November 12, 2014.</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45"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u w:val="single" w:color="auto"/>
          <w:color w:val="auto"/>
        </w:rPr>
        <w:t>Number</w:t>
        <w:tab/>
        <w:t>Description</w:t>
      </w:r>
    </w:p>
    <w:p>
      <w:pPr>
        <w:spacing w:after="0" w:line="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October 15, 2014.</w:t>
      </w:r>
    </w:p>
    <w:p>
      <w:pPr>
        <w:sectPr>
          <w:pgSz w:w="11900" w:h="16838" w:orient="portrait"/>
          <w:cols w:equalWidth="0" w:num="1">
            <w:col w:w="11320"/>
          </w:cols>
          <w:pgMar w:left="240" w:top="787" w:right="3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0"/>
          <w:szCs w:val="20"/>
          <w:b w:val="1"/>
          <w:bCs w:val="1"/>
          <w:color w:val="auto"/>
        </w:rPr>
        <w:t>SIGNATURES</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58"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WINNEBAGO INDUSTRIES, INC.</w:t>
      </w:r>
    </w:p>
    <w:p>
      <w:pPr>
        <w:spacing w:after="0" w:line="86"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(Registrant)</w:t>
      </w:r>
    </w:p>
    <w:p>
      <w:pPr>
        <w:spacing w:after="0" w:line="356" w:lineRule="exact"/>
        <w:rPr>
          <w:sz w:val="20"/>
          <w:szCs w:val="20"/>
          <w:color w:val="auto"/>
        </w:rPr>
      </w:pPr>
    </w:p>
    <w:p>
      <w:pPr>
        <w:ind w:left="40"/>
        <w:spacing w:after="0"/>
        <w:tabs>
          <w:tab w:leader="none" w:pos="680" w:val="left"/>
          <w:tab w:leader="none" w:pos="3380" w:val="left"/>
          <w:tab w:leader="none" w:pos="4100" w:val="left"/>
        </w:tabs>
        <w:rPr>
          <w:sz w:val="20"/>
          <w:szCs w:val="20"/>
          <w:color w:val="auto"/>
        </w:rPr>
      </w:pPr>
      <w:r>
        <w:rPr>
          <w:rFonts w:ascii="Arial" w:cs="Arial" w:eastAsia="Arial" w:hAnsi="Arial"/>
          <w:sz w:val="16"/>
          <w:szCs w:val="16"/>
          <w:color w:val="auto"/>
        </w:rPr>
        <w:t>Dated:</w:t>
        <w:tab/>
        <w:t>October 15,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19050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66"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6"/>
          <w:szCs w:val="16"/>
          <w:color w:val="auto"/>
        </w:rPr>
        <w:t>Name:</w:t>
        <w:tab/>
        <w:t>Randy J. Potts</w:t>
      </w:r>
    </w:p>
    <w:p>
      <w:pPr>
        <w:spacing w:after="0" w:line="86"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Chairman of the Board, Chief Executive Officer and President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20"/>
          </w:cols>
          <w:pgMar w:left="240" w:top="571" w:right="439" w:bottom="1440" w:gutter="0" w:footer="0" w:header="0"/>
        </w:sectPr>
      </w:pPr>
    </w:p>
    <w:bookmarkStart w:id="3" w:name="page4"/>
    <w:bookmarkEnd w:id="3"/>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-389255</wp:posOffset>
            </wp:positionV>
            <wp:extent cx="2306955" cy="334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6955" cy="3346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Contact: Sheila Davis - PR/IR Mgr. - 641-585-6803 - sdavis@wgo.net</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WINNEBAGO INDUSTRIES ANNOUNCES CASH DIVIDEND REINSTATEMENT</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FOREST CITY, IOWA, October 15, 2014 -- Winnebago Industries, Inc. (NYSE:WGO), has declared the reinstatement of a quarterly cash dividend of nine cents a share, payable on November 26, 2014 to shareholders of record at the close of business on November 12, 2014, as a result of action taken at the Board of Directors meeting held today.</w:t>
      </w:r>
    </w:p>
    <w:p>
      <w:pPr>
        <w:spacing w:after="0" w:line="20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believe the time is right for Winnebago to reinstate a cash dividend,” said Winnebago Chairman, CEO and President Randy Potts. “Our ultimate goal is to return profits to our shareholders. We believe the payment of a cash dividend will enhance our shareholders’ value over the long-term."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Winnebago Industries, Inc., "The Most Recognized Name In Motorhomes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leading U.S. manufacturer of recreation vehicles, which are used primarily in leisure travel and outdoor recreation activities. The Company and its subsidiary build quality motorhomes, travel trailers, fifth wheel products and transit buses.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http://www.wgo.net/investor.html</w:t>
      </w:r>
      <w:r>
        <w:rPr>
          <w:rFonts w:ascii="Arial" w:cs="Arial" w:eastAsia="Arial" w:hAnsi="Arial"/>
          <w:sz w:val="18"/>
          <w:szCs w:val="18"/>
          <w:color w:val="auto"/>
        </w:rPr>
        <w:t>.</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w:t>
      </w:r>
    </w:p>
    <w:sectPr>
      <w:pgSz w:w="11900" w:h="16838" w:orient="portrait"/>
      <w:cols w:equalWidth="0" w:num="1">
        <w:col w:w="11320"/>
      </w:cols>
      <w:pgMar w:left="240" w:top="7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2019-12-05T15:37:25Z</dcterms:created>
  <dcterms:modified xsi:type="dcterms:W3CDTF">2019-12-05T15:37:25Z</dcterms:modified>
</cp:coreProperties>
</file>