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00" w:val="left"/>
          <w:tab w:leader="none" w:pos="4920" w:val="left"/>
          <w:tab w:leader="none" w:pos="8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14</w:t>
      </w:r>
    </w:p>
    <w:p>
      <w:pPr>
        <w:sectPr>
          <w:pgSz w:w="11900" w:h="16838" w:orient="portrait"/>
          <w:cols w:equalWidth="0" w:num="1">
            <w:col w:w="9879"/>
          </w:cols>
          <w:pgMar w:left="580" w:top="226" w:right="1440"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jc w:val="right"/>
        <w:ind w:right="2979"/>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Under the Securities Exchange Act of 1934</w:t>
      </w:r>
    </w:p>
    <w:p>
      <w:pPr>
        <w:spacing w:after="0" w:line="36"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(Amendment No. 1)*</w:t>
      </w:r>
    </w:p>
    <w:p>
      <w:pPr>
        <w:spacing w:after="0" w:line="252"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WINNEBAGO INDUSTRIES, INC.</w:t>
      </w:r>
    </w:p>
    <w:p>
      <w:pPr>
        <w:spacing w:after="0" w:line="50"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(Name of Issuer)</w:t>
      </w:r>
    </w:p>
    <w:p>
      <w:pPr>
        <w:spacing w:after="0" w:line="266"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Common Stock ($.50 par value)</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(Title of Class of Securities)</w:t>
      </w:r>
    </w:p>
    <w:p>
      <w:pPr>
        <w:spacing w:after="0" w:line="266"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974637100</w:t>
      </w:r>
    </w:p>
    <w:p>
      <w:pPr>
        <w:spacing w:after="0" w:line="6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(CUSIP Number)</w:t>
      </w:r>
    </w:p>
    <w:p>
      <w:pPr>
        <w:spacing w:after="0" w:line="293"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December 31, 2008</w:t>
      </w:r>
    </w:p>
    <w:p>
      <w:pPr>
        <w:spacing w:after="0" w:line="63"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ind w:left="380" w:right="3899"/>
        <w:spacing w:after="0" w:line="274" w:lineRule="auto"/>
        <w:rPr>
          <w:sz w:val="20"/>
          <w:szCs w:val="20"/>
          <w:color w:val="auto"/>
        </w:rPr>
      </w:pPr>
      <w:r>
        <w:rPr>
          <w:rFonts w:ascii="Arial" w:cs="Arial" w:eastAsia="Arial" w:hAnsi="Arial"/>
          <w:sz w:val="18"/>
          <w:szCs w:val="18"/>
          <w:color w:val="auto"/>
        </w:rPr>
        <w:t>Check the appropriate box to designate the rule pursuant to which this Schedule is filed:</w:t>
      </w:r>
    </w:p>
    <w:p>
      <w:pPr>
        <w:ind w:left="800" w:hanging="430"/>
        <w:spacing w:after="0" w:line="236" w:lineRule="auto"/>
        <w:tabs>
          <w:tab w:leader="none" w:pos="80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75"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63"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93" w:lineRule="exact"/>
        <w:rPr>
          <w:sz w:val="24"/>
          <w:szCs w:val="24"/>
          <w:color w:val="auto"/>
        </w:rPr>
      </w:pPr>
    </w:p>
    <w:p>
      <w:pPr>
        <w:ind w:left="380" w:right="4099"/>
        <w:spacing w:after="0" w:line="33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left="320" w:right="3679"/>
        <w:spacing w:after="0" w:line="33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306705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226" w:right="1440" w:bottom="1440" w:gutter="0" w:footer="0" w:header="0"/>
          <w:type w:val="continuous"/>
        </w:sectPr>
      </w:pPr>
    </w:p>
    <w:bookmarkStart w:id="1" w:name="page2"/>
    <w:bookmarkEnd w:id="1"/>
    <w:p>
      <w:pPr>
        <w:spacing w:after="0"/>
        <w:tabs>
          <w:tab w:leader="none" w:pos="1100" w:val="left"/>
          <w:tab w:leader="none" w:pos="4920" w:val="left"/>
          <w:tab w:leader="none" w:pos="8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14</w:t>
      </w:r>
    </w:p>
    <w:p>
      <w:pPr>
        <w:spacing w:after="0" w:line="252" w:lineRule="exact"/>
        <w:rPr>
          <w:sz w:val="20"/>
          <w:szCs w:val="20"/>
          <w:color w:val="auto"/>
        </w:rPr>
      </w:pPr>
    </w:p>
    <w:p>
      <w:pPr>
        <w:ind w:left="860" w:right="6259" w:hanging="652"/>
        <w:spacing w:after="0" w:line="590"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Franklin Resources, Inc.</w:t>
      </w: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2"/>
        </w:numPr>
        <w:rPr>
          <w:rFonts w:ascii="Arial" w:cs="Arial" w:eastAsia="Arial" w:hAnsi="Arial"/>
          <w:sz w:val="18"/>
          <w:szCs w:val="18"/>
          <w:color w:val="auto"/>
        </w:rPr>
      </w:pPr>
    </w:p>
    <w:p>
      <w:pPr>
        <w:spacing w:after="0" w:line="22"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65"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00" w:right="6559" w:hanging="643"/>
        <w:spacing w:after="0" w:line="43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 (See Item 4)</w:t>
      </w:r>
    </w:p>
    <w:p>
      <w:pPr>
        <w:ind w:left="1500" w:right="6299" w:hanging="643"/>
        <w:spacing w:after="0" w:line="555"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43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ind w:left="1500" w:right="5899" w:hanging="643"/>
        <w:spacing w:after="0" w:line="555"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2619" w:hanging="652"/>
        <w:spacing w:after="0" w:line="52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2,007,000</w:t>
      </w:r>
    </w:p>
    <w:p>
      <w:pPr>
        <w:spacing w:after="0" w:line="1" w:lineRule="exact"/>
        <w:rPr>
          <w:rFonts w:ascii="Arial" w:cs="Arial" w:eastAsia="Arial" w:hAnsi="Arial"/>
          <w:sz w:val="18"/>
          <w:szCs w:val="18"/>
          <w:color w:val="auto"/>
        </w:rPr>
      </w:pPr>
    </w:p>
    <w:p>
      <w:pPr>
        <w:ind w:left="860" w:right="4039" w:hanging="652"/>
        <w:spacing w:after="0" w:line="33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31" w:lineRule="exact"/>
        <w:rPr>
          <w:rFonts w:ascii="Arial" w:cs="Arial" w:eastAsia="Arial" w:hAnsi="Arial"/>
          <w:sz w:val="18"/>
          <w:szCs w:val="18"/>
          <w:color w:val="auto"/>
        </w:rPr>
      </w:pPr>
    </w:p>
    <w:p>
      <w:pPr>
        <w:ind w:left="860" w:right="4079" w:hanging="652"/>
        <w:spacing w:after="0" w:line="52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6.9%</w:t>
      </w:r>
    </w:p>
    <w:p>
      <w:pPr>
        <w:spacing w:after="0" w:line="1" w:lineRule="exact"/>
        <w:rPr>
          <w:rFonts w:ascii="Arial" w:cs="Arial" w:eastAsia="Arial" w:hAnsi="Arial"/>
          <w:sz w:val="18"/>
          <w:szCs w:val="18"/>
          <w:color w:val="auto"/>
        </w:rPr>
      </w:pPr>
    </w:p>
    <w:p>
      <w:pPr>
        <w:ind w:left="860" w:right="6579" w:hanging="652"/>
        <w:spacing w:after="0" w:line="684"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134620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33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p>
    <w:p>
      <w:pPr>
        <w:spacing w:after="0" w:line="253" w:lineRule="exact"/>
        <w:rPr>
          <w:sz w:val="20"/>
          <w:szCs w:val="20"/>
          <w:color w:val="auto"/>
        </w:rPr>
      </w:pPr>
    </w:p>
    <w:p>
      <w:pPr>
        <w:ind w:left="860" w:right="4440" w:hanging="652"/>
        <w:spacing w:after="0" w:line="532"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Charles B. Johnson</w:t>
      </w: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5"/>
        </w:numPr>
        <w:rPr>
          <w:rFonts w:ascii="Arial" w:cs="Arial" w:eastAsia="Arial" w:hAnsi="Arial"/>
          <w:sz w:val="18"/>
          <w:szCs w:val="18"/>
          <w:color w:val="auto"/>
        </w:rPr>
      </w:pPr>
    </w:p>
    <w:p>
      <w:pPr>
        <w:spacing w:after="0" w:line="22" w:lineRule="exact"/>
        <w:rPr>
          <w:rFonts w:ascii="Arial" w:cs="Arial" w:eastAsia="Arial" w:hAnsi="Arial"/>
          <w:sz w:val="18"/>
          <w:szCs w:val="18"/>
          <w:color w:val="auto"/>
        </w:rPr>
      </w:pPr>
    </w:p>
    <w:p>
      <w:pPr>
        <w:ind w:left="1280" w:hanging="423"/>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65"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248" w:lineRule="exact"/>
        <w:rPr>
          <w:sz w:val="20"/>
          <w:szCs w:val="20"/>
          <w:color w:val="auto"/>
        </w:rPr>
      </w:pPr>
    </w:p>
    <w:p>
      <w:pPr>
        <w:ind w:left="1500" w:right="4740" w:hanging="643"/>
        <w:spacing w:after="0" w:line="524"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4480" w:hanging="643"/>
        <w:spacing w:after="0" w:line="524"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4360" w:hanging="643"/>
        <w:spacing w:after="0" w:line="524"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4080" w:hanging="643"/>
        <w:spacing w:after="0" w:line="524"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800" w:hanging="652"/>
        <w:spacing w:after="0" w:line="64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2,007,000</w:t>
      </w:r>
    </w:p>
    <w:p>
      <w:pPr>
        <w:spacing w:after="0" w:line="1" w:lineRule="exact"/>
        <w:rPr>
          <w:rFonts w:ascii="Arial" w:cs="Arial" w:eastAsia="Arial" w:hAnsi="Arial"/>
          <w:sz w:val="18"/>
          <w:szCs w:val="18"/>
          <w:color w:val="auto"/>
        </w:rPr>
      </w:pPr>
    </w:p>
    <w:p>
      <w:pPr>
        <w:ind w:left="860" w:right="2220" w:hanging="652"/>
        <w:spacing w:after="0" w:line="33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31" w:lineRule="exact"/>
        <w:rPr>
          <w:rFonts w:ascii="Arial" w:cs="Arial" w:eastAsia="Arial" w:hAnsi="Arial"/>
          <w:sz w:val="18"/>
          <w:szCs w:val="18"/>
          <w:color w:val="auto"/>
        </w:rPr>
      </w:pPr>
    </w:p>
    <w:p>
      <w:pPr>
        <w:ind w:left="860" w:right="2260" w:hanging="652"/>
        <w:spacing w:after="0" w:line="54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6.9%</w:t>
      </w:r>
    </w:p>
    <w:p>
      <w:pPr>
        <w:ind w:left="860" w:right="4760" w:hanging="652"/>
        <w:spacing w:after="0" w:line="612"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14</w:t>
      </w:r>
    </w:p>
    <w:p>
      <w:pPr>
        <w:sectPr>
          <w:pgSz w:w="11900" w:h="16838" w:orient="portrait"/>
          <w:cols w:equalWidth="0" w:num="2">
            <w:col w:w="8060" w:space="720"/>
            <w:col w:w="1099"/>
          </w:cols>
          <w:pgMar w:left="580" w:top="33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p>
    <w:p>
      <w:pPr>
        <w:spacing w:after="0" w:line="253" w:lineRule="exact"/>
        <w:rPr>
          <w:sz w:val="20"/>
          <w:szCs w:val="20"/>
          <w:color w:val="auto"/>
        </w:rPr>
      </w:pPr>
    </w:p>
    <w:p>
      <w:pPr>
        <w:ind w:left="860" w:right="4440" w:hanging="652"/>
        <w:spacing w:after="0" w:line="598"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Rupert H. Johnson, Jr.</w:t>
      </w:r>
    </w:p>
    <w:p>
      <w:pPr>
        <w:spacing w:after="0" w:line="1" w:lineRule="exact"/>
        <w:rPr>
          <w:rFonts w:ascii="Arial" w:cs="Arial" w:eastAsia="Arial" w:hAnsi="Arial"/>
          <w:sz w:val="16"/>
          <w:szCs w:val="16"/>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8"/>
        </w:numPr>
        <w:rPr>
          <w:rFonts w:ascii="Arial" w:cs="Arial" w:eastAsia="Arial" w:hAnsi="Arial"/>
          <w:sz w:val="18"/>
          <w:szCs w:val="18"/>
          <w:color w:val="auto"/>
        </w:rPr>
      </w:pPr>
    </w:p>
    <w:p>
      <w:pPr>
        <w:spacing w:after="0" w:line="22"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65"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248" w:lineRule="exact"/>
        <w:rPr>
          <w:sz w:val="20"/>
          <w:szCs w:val="20"/>
          <w:color w:val="auto"/>
        </w:rPr>
      </w:pPr>
    </w:p>
    <w:p>
      <w:pPr>
        <w:ind w:left="1500" w:right="4740" w:hanging="643"/>
        <w:spacing w:after="0" w:line="524"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4480" w:hanging="643"/>
        <w:spacing w:after="0" w:line="524"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4360" w:hanging="643"/>
        <w:spacing w:after="0" w:line="524"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4080" w:hanging="643"/>
        <w:spacing w:after="0" w:line="524"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80" w:right="800" w:hanging="672"/>
        <w:spacing w:after="0" w:line="649" w:lineRule="auto"/>
        <w:tabs>
          <w:tab w:leader="none" w:pos="8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2,007,000</w:t>
      </w:r>
    </w:p>
    <w:p>
      <w:pPr>
        <w:spacing w:after="0" w:line="1" w:lineRule="exact"/>
        <w:rPr>
          <w:rFonts w:ascii="Arial" w:cs="Arial" w:eastAsia="Arial" w:hAnsi="Arial"/>
          <w:sz w:val="18"/>
          <w:szCs w:val="18"/>
          <w:color w:val="auto"/>
        </w:rPr>
      </w:pPr>
    </w:p>
    <w:p>
      <w:pPr>
        <w:ind w:left="860" w:right="2220" w:hanging="652"/>
        <w:spacing w:after="0" w:line="33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31" w:lineRule="exact"/>
        <w:rPr>
          <w:rFonts w:ascii="Arial" w:cs="Arial" w:eastAsia="Arial" w:hAnsi="Arial"/>
          <w:sz w:val="18"/>
          <w:szCs w:val="18"/>
          <w:color w:val="auto"/>
        </w:rPr>
      </w:pPr>
    </w:p>
    <w:p>
      <w:pPr>
        <w:ind w:left="860" w:right="2260" w:hanging="652"/>
        <w:spacing w:after="0" w:line="378"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6.9%</w:t>
      </w:r>
    </w:p>
    <w:p>
      <w:pPr>
        <w:spacing w:after="0" w:line="333" w:lineRule="exact"/>
        <w:rPr>
          <w:rFonts w:ascii="Arial" w:cs="Arial" w:eastAsia="Arial" w:hAnsi="Arial"/>
          <w:sz w:val="18"/>
          <w:szCs w:val="18"/>
          <w:color w:val="auto"/>
        </w:rPr>
      </w:pPr>
    </w:p>
    <w:p>
      <w:pPr>
        <w:ind w:left="860" w:right="4760" w:hanging="652"/>
        <w:spacing w:after="0" w:line="58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164465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14</w:t>
      </w:r>
    </w:p>
    <w:p>
      <w:pPr>
        <w:sectPr>
          <w:pgSz w:w="11900" w:h="16838" w:orient="portrait"/>
          <w:cols w:equalWidth="0" w:num="2">
            <w:col w:w="8060" w:space="720"/>
            <w:col w:w="1099"/>
          </w:cols>
          <w:pgMar w:left="580" w:top="334" w:right="1440" w:bottom="1440" w:gutter="0" w:footer="0" w:header="0"/>
        </w:sectPr>
      </w:pPr>
    </w:p>
    <w:bookmarkStart w:id="4" w:name="page5"/>
    <w:bookmarkEnd w:id="4"/>
    <w:p>
      <w:pPr>
        <w:spacing w:after="0"/>
        <w:tabs>
          <w:tab w:leader="none" w:pos="1100" w:val="left"/>
          <w:tab w:leader="none" w:pos="4920" w:val="left"/>
          <w:tab w:leader="none" w:pos="8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14</w:t>
      </w:r>
    </w:p>
    <w:p>
      <w:pPr>
        <w:sectPr>
          <w:pgSz w:w="11900" w:h="16838" w:orient="portrait"/>
          <w:cols w:equalWidth="0" w:num="1">
            <w:col w:w="9879"/>
          </w:cols>
          <w:pgMar w:left="580" w:top="334"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920" w:hanging="7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Franklin Advisory Services, LLC</w:t>
      </w:r>
    </w:p>
    <w:p>
      <w:pPr>
        <w:spacing w:after="0" w:line="212" w:lineRule="exact"/>
        <w:rPr>
          <w:sz w:val="20"/>
          <w:szCs w:val="20"/>
          <w:color w:val="auto"/>
        </w:rPr>
      </w:pPr>
    </w:p>
    <w:p>
      <w:pPr>
        <w:ind w:left="920" w:hanging="7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400" w:hanging="449"/>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265" w:lineRule="exact"/>
        <w:rPr>
          <w:rFonts w:ascii="Arial" w:cs="Arial" w:eastAsia="Arial" w:hAnsi="Arial"/>
          <w:sz w:val="18"/>
          <w:szCs w:val="18"/>
          <w:color w:val="auto"/>
        </w:rPr>
      </w:pPr>
    </w:p>
    <w:p>
      <w:pPr>
        <w:ind w:left="920" w:hanging="7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920" w:hanging="7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Delaware</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248" w:lineRule="exact"/>
        <w:rPr>
          <w:sz w:val="20"/>
          <w:szCs w:val="20"/>
          <w:color w:val="auto"/>
        </w:rPr>
      </w:pPr>
    </w:p>
    <w:p>
      <w:pPr>
        <w:ind w:left="1660" w:right="6399" w:hanging="709"/>
        <w:spacing w:after="0" w:line="532" w:lineRule="auto"/>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 1,933,000</w:t>
      </w:r>
    </w:p>
    <w:p>
      <w:pPr>
        <w:ind w:left="1680" w:right="6139" w:hanging="729"/>
        <w:spacing w:after="0" w:line="524" w:lineRule="auto"/>
        <w:tabs>
          <w:tab w:leader="none" w:pos="1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660" w:right="5999" w:hanging="709"/>
        <w:spacing w:after="0" w:line="532" w:lineRule="auto"/>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DISPOSITIVE POWER 2,007,000</w:t>
      </w:r>
    </w:p>
    <w:p>
      <w:pPr>
        <w:ind w:left="1680" w:right="5739" w:hanging="729"/>
        <w:spacing w:after="0" w:line="524" w:lineRule="auto"/>
        <w:tabs>
          <w:tab w:leader="none" w:pos="1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hanging="712"/>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3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2,007,000</w:t>
      </w:r>
    </w:p>
    <w:p>
      <w:pPr>
        <w:spacing w:after="0" w:line="212" w:lineRule="exact"/>
        <w:rPr>
          <w:sz w:val="20"/>
          <w:szCs w:val="20"/>
          <w:color w:val="auto"/>
        </w:rPr>
      </w:pPr>
    </w:p>
    <w:p>
      <w:pPr>
        <w:ind w:left="960" w:right="3979" w:hanging="752"/>
        <w:spacing w:after="0" w:line="331" w:lineRule="auto"/>
        <w:tabs>
          <w:tab w:leader="none" w:pos="9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131" w:lineRule="exact"/>
        <w:rPr>
          <w:rFonts w:ascii="Arial" w:cs="Arial" w:eastAsia="Arial" w:hAnsi="Arial"/>
          <w:sz w:val="18"/>
          <w:szCs w:val="18"/>
          <w:color w:val="auto"/>
        </w:rPr>
      </w:pPr>
    </w:p>
    <w:p>
      <w:pPr>
        <w:ind w:left="920" w:hanging="7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6.9%</w:t>
      </w:r>
    </w:p>
    <w:p>
      <w:pPr>
        <w:spacing w:after="0" w:line="212" w:lineRule="exact"/>
        <w:rPr>
          <w:sz w:val="20"/>
          <w:szCs w:val="20"/>
          <w:color w:val="auto"/>
        </w:rPr>
      </w:pPr>
    </w:p>
    <w:p>
      <w:pPr>
        <w:ind w:left="960" w:right="6519" w:hanging="752"/>
        <w:spacing w:after="0" w:line="684" w:lineRule="auto"/>
        <w:tabs>
          <w:tab w:leader="none" w:pos="9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134620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334" w:right="1440" w:bottom="1440" w:gutter="0" w:footer="0" w:header="0"/>
          <w:type w:val="continuous"/>
        </w:sectPr>
      </w:pPr>
    </w:p>
    <w:bookmarkStart w:id="5" w:name="page6"/>
    <w:bookmarkEnd w:id="5"/>
    <w:p>
      <w:pPr>
        <w:spacing w:after="0"/>
        <w:tabs>
          <w:tab w:leader="none" w:pos="1100" w:val="left"/>
          <w:tab w:leader="none" w:pos="4920" w:val="left"/>
          <w:tab w:leader="none" w:pos="8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14</w:t>
      </w:r>
    </w:p>
    <w:p>
      <w:pPr>
        <w:sectPr>
          <w:pgSz w:w="11900" w:h="16838" w:orient="portrait"/>
          <w:cols w:equalWidth="0" w:num="1">
            <w:col w:w="9879"/>
          </w:cols>
          <w:pgMar w:left="580" w:top="334"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880" w:hanging="67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11" w:lineRule="exact"/>
        <w:rPr>
          <w:rFonts w:ascii="Arial" w:cs="Arial" w:eastAsia="Arial" w:hAnsi="Arial"/>
          <w:sz w:val="18"/>
          <w:szCs w:val="18"/>
          <w:color w:val="auto"/>
        </w:rPr>
      </w:pPr>
    </w:p>
    <w:p>
      <w:pPr>
        <w:ind w:left="880" w:hanging="67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P.O. Box 152</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Forest City, IA 50436</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880" w:hanging="67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Franklin Resources, Inc.</w:t>
      </w:r>
    </w:p>
    <w:p>
      <w:pPr>
        <w:spacing w:after="0" w:line="252"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Charles B. Johnson</w:t>
      </w:r>
    </w:p>
    <w:p>
      <w:pPr>
        <w:spacing w:after="0" w:line="252"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Rupert H. Johnson, Jr.</w:t>
      </w:r>
    </w:p>
    <w:p>
      <w:pPr>
        <w:spacing w:after="0" w:line="252"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Franklin Advisory Services, LLC</w:t>
      </w:r>
    </w:p>
    <w:p>
      <w:pPr>
        <w:spacing w:after="0" w:line="239" w:lineRule="exact"/>
        <w:rPr>
          <w:sz w:val="20"/>
          <w:szCs w:val="20"/>
          <w:color w:val="auto"/>
        </w:rPr>
      </w:pPr>
    </w:p>
    <w:p>
      <w:pPr>
        <w:ind w:left="860" w:hanging="652"/>
        <w:spacing w:after="0"/>
        <w:tabs>
          <w:tab w:leader="none" w:pos="8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w:t>
      </w:r>
    </w:p>
    <w:p>
      <w:pPr>
        <w:spacing w:after="0" w:line="313"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8"/>
          <w:szCs w:val="18"/>
          <w:color w:val="auto"/>
        </w:rPr>
        <w:t>(i), (ii), and (iii):</w:t>
      </w:r>
    </w:p>
    <w:p>
      <w:pPr>
        <w:spacing w:after="0" w:line="63"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8"/>
          <w:szCs w:val="18"/>
          <w:color w:val="auto"/>
        </w:rPr>
        <w:t>One Franklin Parkway</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8"/>
          <w:szCs w:val="18"/>
          <w:color w:val="auto"/>
        </w:rPr>
        <w:t>San Mateo, CA 94403-1906</w:t>
      </w:r>
    </w:p>
    <w:p>
      <w:pPr>
        <w:spacing w:after="0" w:line="225"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One Parker Plaza, Ninth Floor</w:t>
      </w:r>
    </w:p>
    <w:p>
      <w:pPr>
        <w:spacing w:after="0" w:line="7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Fort Lee, NJ 07024-2938</w:t>
      </w:r>
    </w:p>
    <w:p>
      <w:pPr>
        <w:spacing w:after="0" w:line="279" w:lineRule="exact"/>
        <w:rPr>
          <w:sz w:val="20"/>
          <w:szCs w:val="20"/>
          <w:color w:val="auto"/>
        </w:rPr>
      </w:pPr>
    </w:p>
    <w:p>
      <w:pPr>
        <w:ind w:left="860" w:hanging="652"/>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92"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Delaware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 and (iii): USA</w:t>
      </w:r>
    </w:p>
    <w:p>
      <w:pPr>
        <w:spacing w:after="0" w:line="225"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Delaware</w:t>
      </w:r>
    </w:p>
    <w:p>
      <w:pPr>
        <w:spacing w:after="0" w:line="266" w:lineRule="exact"/>
        <w:rPr>
          <w:sz w:val="20"/>
          <w:szCs w:val="20"/>
          <w:color w:val="auto"/>
        </w:rPr>
      </w:pPr>
    </w:p>
    <w:p>
      <w:pPr>
        <w:ind w:left="860" w:right="6759" w:hanging="652"/>
        <w:spacing w:after="0" w:line="590"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Title of Class of Securities Common Stock ($.50 par value)</w:t>
      </w:r>
    </w:p>
    <w:p>
      <w:pPr>
        <w:ind w:left="860" w:right="7899" w:hanging="652"/>
        <w:spacing w:after="0" w:line="684"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126365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334"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w w:val="95"/>
              </w:rPr>
              <w:t>CUSIP NO.</w:t>
            </w:r>
          </w:p>
        </w:tc>
        <w:tc>
          <w:tcPr>
            <w:tcW w:w="1560" w:type="dxa"/>
            <w:vAlign w:val="bottom"/>
            <w:gridSpan w:val="2"/>
          </w:tcPr>
          <w:p>
            <w:pPr>
              <w:ind w:left="220"/>
              <w:spacing w:after="0"/>
              <w:rPr>
                <w:sz w:val="20"/>
                <w:szCs w:val="20"/>
                <w:color w:val="auto"/>
              </w:rPr>
            </w:pPr>
            <w:r>
              <w:rPr>
                <w:rFonts w:ascii="Arial" w:cs="Arial" w:eastAsia="Arial" w:hAnsi="Arial"/>
                <w:sz w:val="18"/>
                <w:szCs w:val="18"/>
                <w:color w:val="auto"/>
              </w:rPr>
              <w:t>974637100</w:t>
            </w:r>
          </w:p>
        </w:tc>
        <w:tc>
          <w:tcPr>
            <w:tcW w:w="4240" w:type="dxa"/>
            <w:vAlign w:val="bottom"/>
          </w:tcPr>
          <w:p>
            <w:pPr>
              <w:ind w:left="2480"/>
              <w:spacing w:after="0"/>
              <w:rPr>
                <w:sz w:val="20"/>
                <w:szCs w:val="20"/>
                <w:color w:val="auto"/>
              </w:rPr>
            </w:pPr>
            <w:r>
              <w:rPr>
                <w:rFonts w:ascii="Arial" w:cs="Arial" w:eastAsia="Arial" w:hAnsi="Arial"/>
                <w:sz w:val="18"/>
                <w:szCs w:val="18"/>
                <w:color w:val="auto"/>
              </w:rPr>
              <w:t>13G</w:t>
            </w:r>
          </w:p>
        </w:tc>
      </w:tr>
      <w:tr>
        <w:trPr>
          <w:trHeight w:val="675"/>
        </w:trPr>
        <w:tc>
          <w:tcPr>
            <w:tcW w:w="900" w:type="dxa"/>
            <w:vAlign w:val="bottom"/>
          </w:tcPr>
          <w:p>
            <w:pPr>
              <w:ind w:left="200"/>
              <w:spacing w:after="0"/>
              <w:rPr>
                <w:sz w:val="20"/>
                <w:szCs w:val="20"/>
                <w:color w:val="auto"/>
              </w:rPr>
            </w:pPr>
            <w:r>
              <w:rPr>
                <w:rFonts w:ascii="Arial" w:cs="Arial" w:eastAsia="Arial" w:hAnsi="Arial"/>
                <w:sz w:val="18"/>
                <w:szCs w:val="18"/>
                <w:color w:val="auto"/>
              </w:rPr>
              <w:t>Item 3.</w:t>
            </w:r>
          </w:p>
        </w:tc>
        <w:tc>
          <w:tcPr>
            <w:tcW w:w="5800" w:type="dxa"/>
            <w:vAlign w:val="bottom"/>
            <w:gridSpan w:val="3"/>
          </w:tcPr>
          <w:p>
            <w:pPr>
              <w:ind w:left="60"/>
              <w:spacing w:after="0"/>
              <w:rPr>
                <w:sz w:val="20"/>
                <w:szCs w:val="20"/>
                <w:color w:val="auto"/>
              </w:rPr>
            </w:pPr>
            <w:r>
              <w:rPr>
                <w:rFonts w:ascii="Arial" w:cs="Arial" w:eastAsia="Arial" w:hAnsi="Arial"/>
                <w:sz w:val="18"/>
                <w:szCs w:val="18"/>
                <w:color w:val="auto"/>
                <w:w w:val="97"/>
              </w:rPr>
              <w:t>If this statement is filed pursuant to §§240.13d-1(b) or 240.13d-2(b) or (c),</w:t>
            </w:r>
          </w:p>
        </w:tc>
      </w:tr>
      <w:tr>
        <w:trPr>
          <w:trHeight w:val="270"/>
        </w:trPr>
        <w:tc>
          <w:tcPr>
            <w:tcW w:w="900" w:type="dxa"/>
            <w:vAlign w:val="bottom"/>
          </w:tcPr>
          <w:p>
            <w:pPr>
              <w:spacing w:after="0"/>
              <w:rPr>
                <w:sz w:val="23"/>
                <w:szCs w:val="23"/>
                <w:color w:val="auto"/>
              </w:rPr>
            </w:pPr>
          </w:p>
        </w:tc>
        <w:tc>
          <w:tcPr>
            <w:tcW w:w="5800" w:type="dxa"/>
            <w:vAlign w:val="bottom"/>
            <w:gridSpan w:val="3"/>
          </w:tcPr>
          <w:p>
            <w:pPr>
              <w:ind w:left="60"/>
              <w:spacing w:after="0"/>
              <w:rPr>
                <w:sz w:val="20"/>
                <w:szCs w:val="20"/>
                <w:color w:val="auto"/>
              </w:rPr>
            </w:pPr>
            <w:r>
              <w:rPr>
                <w:rFonts w:ascii="Arial" w:cs="Arial" w:eastAsia="Arial" w:hAnsi="Arial"/>
                <w:sz w:val="18"/>
                <w:szCs w:val="18"/>
                <w:color w:val="auto"/>
              </w:rPr>
              <w:t>check whether the person filing is a:</w:t>
            </w:r>
          </w:p>
        </w:tc>
      </w:tr>
      <w:tr>
        <w:trPr>
          <w:trHeight w:val="257"/>
        </w:trPr>
        <w:tc>
          <w:tcPr>
            <w:tcW w:w="900" w:type="dxa"/>
            <w:vAlign w:val="bottom"/>
          </w:tcPr>
          <w:p>
            <w:pPr>
              <w:spacing w:after="0"/>
              <w:rPr>
                <w:sz w:val="22"/>
                <w:szCs w:val="22"/>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(a)  o Broker or dealer registered under section 15 of the</w:t>
            </w:r>
          </w:p>
        </w:tc>
      </w:tr>
      <w:tr>
        <w:trPr>
          <w:trHeight w:val="284"/>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Act (15</w:t>
            </w:r>
          </w:p>
        </w:tc>
        <w:tc>
          <w:tcPr>
            <w:tcW w:w="4240" w:type="dxa"/>
            <w:vAlign w:val="bottom"/>
          </w:tcPr>
          <w:p>
            <w:pPr>
              <w:ind w:left="160"/>
              <w:spacing w:after="0"/>
              <w:rPr>
                <w:sz w:val="20"/>
                <w:szCs w:val="20"/>
                <w:color w:val="auto"/>
              </w:rPr>
            </w:pPr>
            <w:r>
              <w:rPr>
                <w:rFonts w:ascii="Arial" w:cs="Arial" w:eastAsia="Arial" w:hAnsi="Arial"/>
                <w:sz w:val="18"/>
                <w:szCs w:val="18"/>
                <w:color w:val="auto"/>
              </w:rPr>
              <w:t>U.S.C. 78o).</w:t>
            </w:r>
          </w:p>
        </w:tc>
      </w:tr>
      <w:tr>
        <w:trPr>
          <w:trHeight w:val="243"/>
        </w:trPr>
        <w:tc>
          <w:tcPr>
            <w:tcW w:w="900" w:type="dxa"/>
            <w:vAlign w:val="bottom"/>
          </w:tcPr>
          <w:p>
            <w:pPr>
              <w:spacing w:after="0"/>
              <w:rPr>
                <w:sz w:val="21"/>
                <w:szCs w:val="21"/>
                <w:color w:val="auto"/>
              </w:rPr>
            </w:pPr>
          </w:p>
        </w:tc>
        <w:tc>
          <w:tcPr>
            <w:tcW w:w="5800" w:type="dxa"/>
            <w:vAlign w:val="bottom"/>
            <w:gridSpan w:val="3"/>
          </w:tcPr>
          <w:p>
            <w:pPr>
              <w:ind w:left="80"/>
              <w:spacing w:after="0"/>
              <w:rPr>
                <w:sz w:val="20"/>
                <w:szCs w:val="20"/>
                <w:color w:val="auto"/>
              </w:rPr>
            </w:pPr>
            <w:r>
              <w:rPr>
                <w:rFonts w:ascii="Arial" w:cs="Arial" w:eastAsia="Arial" w:hAnsi="Arial"/>
                <w:sz w:val="18"/>
                <w:szCs w:val="18"/>
                <w:color w:val="auto"/>
              </w:rPr>
              <w:t>(b)  o Bank as defined in section 3(a)(6) of the Act (15 U.S.C. 78c).</w:t>
            </w:r>
          </w:p>
        </w:tc>
      </w:tr>
      <w:tr>
        <w:trPr>
          <w:trHeight w:val="270"/>
        </w:trPr>
        <w:tc>
          <w:tcPr>
            <w:tcW w:w="900" w:type="dxa"/>
            <w:vAlign w:val="bottom"/>
          </w:tcPr>
          <w:p>
            <w:pPr>
              <w:spacing w:after="0"/>
              <w:rPr>
                <w:sz w:val="23"/>
                <w:szCs w:val="23"/>
                <w:color w:val="auto"/>
              </w:rPr>
            </w:pPr>
          </w:p>
        </w:tc>
        <w:tc>
          <w:tcPr>
            <w:tcW w:w="5800" w:type="dxa"/>
            <w:vAlign w:val="bottom"/>
            <w:gridSpan w:val="3"/>
          </w:tcPr>
          <w:p>
            <w:pPr>
              <w:ind w:left="80"/>
              <w:spacing w:after="0"/>
              <w:rPr>
                <w:sz w:val="20"/>
                <w:szCs w:val="20"/>
                <w:color w:val="auto"/>
              </w:rPr>
            </w:pPr>
            <w:r>
              <w:rPr>
                <w:rFonts w:ascii="Arial" w:cs="Arial" w:eastAsia="Arial" w:hAnsi="Arial"/>
                <w:sz w:val="18"/>
                <w:szCs w:val="18"/>
                <w:color w:val="auto"/>
              </w:rPr>
              <w:t>(c)  o Insurance company as defined in section 3(a)(19) of</w:t>
            </w:r>
          </w:p>
        </w:tc>
      </w:tr>
      <w:tr>
        <w:trPr>
          <w:trHeight w:val="277"/>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the Act (15 U.S.C. 78c).</w:t>
            </w:r>
          </w:p>
        </w:tc>
      </w:tr>
      <w:tr>
        <w:trPr>
          <w:trHeight w:val="222"/>
        </w:trPr>
        <w:tc>
          <w:tcPr>
            <w:tcW w:w="900" w:type="dxa"/>
            <w:vAlign w:val="bottom"/>
          </w:tcPr>
          <w:p>
            <w:pPr>
              <w:spacing w:after="0"/>
              <w:rPr>
                <w:sz w:val="19"/>
                <w:szCs w:val="19"/>
                <w:color w:val="auto"/>
              </w:rPr>
            </w:pPr>
          </w:p>
        </w:tc>
        <w:tc>
          <w:tcPr>
            <w:tcW w:w="5800" w:type="dxa"/>
            <w:vAlign w:val="bottom"/>
            <w:gridSpan w:val="3"/>
          </w:tcPr>
          <w:p>
            <w:pPr>
              <w:ind w:left="80"/>
              <w:spacing w:after="0"/>
              <w:rPr>
                <w:sz w:val="20"/>
                <w:szCs w:val="20"/>
                <w:color w:val="auto"/>
              </w:rPr>
            </w:pPr>
            <w:r>
              <w:rPr>
                <w:rFonts w:ascii="Arial" w:cs="Arial" w:eastAsia="Arial" w:hAnsi="Arial"/>
                <w:sz w:val="18"/>
                <w:szCs w:val="18"/>
                <w:color w:val="auto"/>
              </w:rPr>
              <w:t>(d)  o Investment company registered under section 8 of the Investment</w:t>
            </w:r>
          </w:p>
        </w:tc>
      </w:tr>
      <w:tr>
        <w:trPr>
          <w:trHeight w:val="237"/>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Company Act of 1940 (15 U.S.C 80a-8).</w:t>
            </w:r>
          </w:p>
        </w:tc>
      </w:tr>
      <w:tr>
        <w:trPr>
          <w:trHeight w:val="275"/>
        </w:trPr>
        <w:tc>
          <w:tcPr>
            <w:tcW w:w="900" w:type="dxa"/>
            <w:vAlign w:val="bottom"/>
          </w:tcPr>
          <w:p>
            <w:pPr>
              <w:spacing w:after="0"/>
              <w:rPr>
                <w:sz w:val="23"/>
                <w:szCs w:val="23"/>
                <w:color w:val="auto"/>
              </w:rPr>
            </w:pPr>
          </w:p>
        </w:tc>
        <w:tc>
          <w:tcPr>
            <w:tcW w:w="5800" w:type="dxa"/>
            <w:vAlign w:val="bottom"/>
            <w:gridSpan w:val="3"/>
          </w:tcPr>
          <w:p>
            <w:pPr>
              <w:ind w:left="8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21"/>
                <w:szCs w:val="21"/>
                <w:color w:val="auto"/>
              </w:rPr>
              <w:t>x</w:t>
            </w:r>
            <w:r>
              <w:rPr>
                <w:rFonts w:ascii="Arial" w:cs="Arial" w:eastAsia="Arial" w:hAnsi="Arial"/>
                <w:sz w:val="18"/>
                <w:szCs w:val="18"/>
                <w:color w:val="auto"/>
              </w:rPr>
              <w:t xml:space="preserve"> An investment adviser in accordance with</w:t>
            </w:r>
          </w:p>
        </w:tc>
      </w:tr>
      <w:tr>
        <w:trPr>
          <w:trHeight w:val="238"/>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§240.13d-1(b)(1)(ii)(E);</w:t>
            </w:r>
          </w:p>
        </w:tc>
      </w:tr>
      <w:tr>
        <w:trPr>
          <w:trHeight w:val="222"/>
        </w:trPr>
        <w:tc>
          <w:tcPr>
            <w:tcW w:w="90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(f)</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 An employee benefit plan or endowment fund in</w:t>
            </w:r>
          </w:p>
        </w:tc>
      </w:tr>
      <w:tr>
        <w:trPr>
          <w:trHeight w:val="270"/>
        </w:trPr>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accordance with §240.13d-1(b)(1)(ii)(F);</w:t>
            </w:r>
          </w:p>
        </w:tc>
      </w:tr>
      <w:tr>
        <w:trPr>
          <w:trHeight w:val="282"/>
        </w:trPr>
        <w:tc>
          <w:tcPr>
            <w:tcW w:w="9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(g)</w:t>
            </w:r>
          </w:p>
        </w:tc>
        <w:tc>
          <w:tcPr>
            <w:tcW w:w="5480" w:type="dxa"/>
            <w:vAlign w:val="bottom"/>
            <w:gridSpan w:val="2"/>
          </w:tcPr>
          <w:p>
            <w:pPr>
              <w:ind w:left="6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A parent holding company or control person in</w:t>
            </w:r>
          </w:p>
        </w:tc>
      </w:tr>
      <w:tr>
        <w:trPr>
          <w:trHeight w:val="272"/>
        </w:trPr>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accordance with §240.13d-1(b)(1)(ii)(G);</w:t>
            </w:r>
          </w:p>
        </w:tc>
      </w:tr>
      <w:tr>
        <w:trPr>
          <w:trHeight w:val="257"/>
        </w:trPr>
        <w:tc>
          <w:tcPr>
            <w:tcW w:w="90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(h)</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 A savings associations as defined in Section 3(b) of the</w:t>
            </w:r>
          </w:p>
        </w:tc>
      </w:tr>
      <w:tr>
        <w:trPr>
          <w:trHeight w:val="297"/>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Federal Deposit Insurance Act (12 U.S.C. 1813);</w:t>
            </w:r>
          </w:p>
        </w:tc>
      </w:tr>
      <w:tr>
        <w:trPr>
          <w:trHeight w:val="257"/>
        </w:trPr>
        <w:tc>
          <w:tcPr>
            <w:tcW w:w="90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w w:val="99"/>
              </w:rPr>
              <w:t>o A church plan that is excluded from the definition of an investment</w:t>
            </w:r>
          </w:p>
        </w:tc>
      </w:tr>
      <w:tr>
        <w:trPr>
          <w:trHeight w:val="297"/>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2"/>
          </w:tcPr>
          <w:p>
            <w:pPr>
              <w:ind w:left="60"/>
              <w:spacing w:after="0"/>
              <w:rPr>
                <w:sz w:val="20"/>
                <w:szCs w:val="20"/>
                <w:color w:val="auto"/>
              </w:rPr>
            </w:pPr>
            <w:r>
              <w:rPr>
                <w:rFonts w:ascii="Arial" w:cs="Arial" w:eastAsia="Arial" w:hAnsi="Arial"/>
                <w:sz w:val="18"/>
                <w:szCs w:val="18"/>
                <w:color w:val="auto"/>
                <w:w w:val="89"/>
              </w:rPr>
              <w:t>company under section 3(c)(14) of the Investment Company Act of 1940 (15</w:t>
            </w:r>
          </w:p>
        </w:tc>
      </w:tr>
      <w:tr>
        <w:trPr>
          <w:trHeight w:val="243"/>
        </w:trPr>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U.S.C. 80a-3);</w:t>
            </w:r>
          </w:p>
        </w:tc>
        <w:tc>
          <w:tcPr>
            <w:tcW w:w="4240" w:type="dxa"/>
            <w:vAlign w:val="bottom"/>
          </w:tcPr>
          <w:p>
            <w:pPr>
              <w:spacing w:after="0"/>
              <w:rPr>
                <w:sz w:val="21"/>
                <w:szCs w:val="21"/>
                <w:color w:val="auto"/>
              </w:rPr>
            </w:pPr>
          </w:p>
        </w:tc>
      </w:tr>
      <w:tr>
        <w:trPr>
          <w:trHeight w:val="270"/>
        </w:trPr>
        <w:tc>
          <w:tcPr>
            <w:tcW w:w="900" w:type="dxa"/>
            <w:vAlign w:val="bottom"/>
          </w:tcPr>
          <w:p>
            <w:pPr>
              <w:spacing w:after="0"/>
              <w:rPr>
                <w:sz w:val="23"/>
                <w:szCs w:val="23"/>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(j)</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 A non-U.S. institution in accordance with §240.13d-1(b)(ii)(J);</w:t>
            </w:r>
          </w:p>
        </w:tc>
      </w:tr>
      <w:tr>
        <w:trPr>
          <w:trHeight w:val="500"/>
        </w:trPr>
        <w:tc>
          <w:tcPr>
            <w:tcW w:w="9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(k)</w:t>
            </w:r>
          </w:p>
        </w:tc>
        <w:tc>
          <w:tcPr>
            <w:tcW w:w="5480" w:type="dxa"/>
            <w:vAlign w:val="bottom"/>
            <w:gridSpan w:val="2"/>
          </w:tcPr>
          <w:p>
            <w:pPr>
              <w:ind w:left="60"/>
              <w:spacing w:after="0"/>
              <w:rPr>
                <w:sz w:val="20"/>
                <w:szCs w:val="20"/>
                <w:color w:val="auto"/>
              </w:rPr>
            </w:pPr>
            <w:r>
              <w:rPr>
                <w:rFonts w:ascii="Arial" w:cs="Arial" w:eastAsia="Arial" w:hAnsi="Arial"/>
                <w:sz w:val="18"/>
                <w:szCs w:val="18"/>
                <w:color w:val="auto"/>
              </w:rPr>
              <w:t>o Group, in accordance with §240.13d 1(b)(1)(ii)(K).</w:t>
            </w:r>
          </w:p>
        </w:tc>
      </w:tr>
      <w:tr>
        <w:trPr>
          <w:trHeight w:val="459"/>
        </w:trPr>
        <w:tc>
          <w:tcPr>
            <w:tcW w:w="900" w:type="dxa"/>
            <w:vAlign w:val="bottom"/>
          </w:tcPr>
          <w:p>
            <w:pPr>
              <w:ind w:left="200"/>
              <w:spacing w:after="0"/>
              <w:rPr>
                <w:sz w:val="20"/>
                <w:szCs w:val="20"/>
                <w:color w:val="auto"/>
              </w:rPr>
            </w:pPr>
            <w:r>
              <w:rPr>
                <w:rFonts w:ascii="Arial" w:cs="Arial" w:eastAsia="Arial" w:hAnsi="Arial"/>
                <w:sz w:val="18"/>
                <w:szCs w:val="18"/>
                <w:color w:val="auto"/>
              </w:rPr>
              <w:t>Item 4.</w:t>
            </w: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Ownership</w:t>
            </w:r>
          </w:p>
        </w:tc>
        <w:tc>
          <w:tcPr>
            <w:tcW w:w="4240" w:type="dxa"/>
            <w:vAlign w:val="bottom"/>
          </w:tcPr>
          <w:p>
            <w:pPr>
              <w:spacing w:after="0"/>
              <w:rPr>
                <w:sz w:val="24"/>
                <w:szCs w:val="24"/>
                <w:color w:val="auto"/>
              </w:rPr>
            </w:pPr>
          </w:p>
        </w:tc>
      </w:tr>
    </w:tbl>
    <w:p>
      <w:pPr>
        <w:spacing w:after="0" w:line="264" w:lineRule="exact"/>
        <w:rPr>
          <w:sz w:val="20"/>
          <w:szCs w:val="20"/>
          <w:color w:val="auto"/>
        </w:rPr>
      </w:pPr>
    </w:p>
    <w:p>
      <w:pPr>
        <w:ind w:left="200" w:right="1680"/>
        <w:spacing w:after="0" w:line="322" w:lineRule="auto"/>
        <w:rPr>
          <w:sz w:val="20"/>
          <w:szCs w:val="20"/>
          <w:color w:val="auto"/>
        </w:rPr>
      </w:pPr>
      <w:r>
        <w:rPr>
          <w:rFonts w:ascii="Arial" w:cs="Arial" w:eastAsia="Arial" w:hAnsi="Arial"/>
          <w:sz w:val="16"/>
          <w:szCs w:val="16"/>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175" w:lineRule="exact"/>
        <w:rPr>
          <w:sz w:val="20"/>
          <w:szCs w:val="20"/>
          <w:color w:val="auto"/>
        </w:rPr>
      </w:pPr>
    </w:p>
    <w:p>
      <w:pPr>
        <w:ind w:left="200" w:right="1580"/>
        <w:spacing w:after="0" w:line="317" w:lineRule="auto"/>
        <w:rPr>
          <w:sz w:val="20"/>
          <w:szCs w:val="20"/>
          <w:color w:val="auto"/>
        </w:rPr>
      </w:pPr>
      <w:r>
        <w:rPr>
          <w:rFonts w:ascii="Arial" w:cs="Arial" w:eastAsia="Arial" w:hAnsi="Arial"/>
          <w:sz w:val="16"/>
          <w:szCs w:val="16"/>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w:t>
      </w:r>
    </w:p>
    <w:p>
      <w:pPr>
        <w:spacing w:after="0" w:line="1" w:lineRule="exact"/>
        <w:rPr>
          <w:sz w:val="20"/>
          <w:szCs w:val="20"/>
          <w:color w:val="auto"/>
        </w:rPr>
      </w:pPr>
    </w:p>
    <w:p>
      <w:pPr>
        <w:ind w:left="200" w:right="1840"/>
        <w:spacing w:after="0" w:line="327" w:lineRule="auto"/>
        <w:rPr>
          <w:sz w:val="20"/>
          <w:szCs w:val="20"/>
          <w:color w:val="auto"/>
        </w:rPr>
      </w:pPr>
      <w:r>
        <w:rPr>
          <w:rFonts w:ascii="Arial" w:cs="Arial" w:eastAsia="Arial" w:hAnsi="Arial"/>
          <w:sz w:val="16"/>
          <w:szCs w:val="16"/>
          <w:color w:val="auto"/>
        </w:rPr>
        <w:t>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308610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14</w:t>
      </w:r>
    </w:p>
    <w:p>
      <w:pPr>
        <w:sectPr>
          <w:pgSz w:w="11900" w:h="16838" w:orient="portrait"/>
          <w:cols w:equalWidth="0" w:num="2">
            <w:col w:w="8060" w:space="720"/>
            <w:col w:w="1099"/>
          </w:cols>
          <w:pgMar w:left="580" w:top="33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64" w:lineRule="exact"/>
        <w:rPr>
          <w:sz w:val="20"/>
          <w:szCs w:val="20"/>
          <w:color w:val="auto"/>
        </w:rPr>
      </w:pPr>
    </w:p>
    <w:p>
      <w:pPr>
        <w:ind w:left="200" w:right="520"/>
        <w:spacing w:after="0" w:line="317" w:lineRule="auto"/>
        <w:rPr>
          <w:sz w:val="20"/>
          <w:szCs w:val="20"/>
          <w:color w:val="auto"/>
        </w:rPr>
      </w:pPr>
      <w:r>
        <w:rPr>
          <w:rFonts w:ascii="Arial" w:cs="Arial" w:eastAsia="Arial" w:hAnsi="Arial"/>
          <w:sz w:val="16"/>
          <w:szCs w:val="16"/>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w:t>
      </w:r>
    </w:p>
    <w:p>
      <w:pPr>
        <w:spacing w:after="0" w:line="1" w:lineRule="exact"/>
        <w:rPr>
          <w:sz w:val="20"/>
          <w:szCs w:val="20"/>
          <w:color w:val="auto"/>
        </w:rPr>
      </w:pPr>
    </w:p>
    <w:p>
      <w:pPr>
        <w:ind w:left="200" w:right="660"/>
        <w:spacing w:after="0" w:line="285" w:lineRule="auto"/>
        <w:rPr>
          <w:sz w:val="20"/>
          <w:szCs w:val="20"/>
          <w:color w:val="auto"/>
        </w:rPr>
      </w:pPr>
      <w:r>
        <w:rPr>
          <w:rFonts w:ascii="Arial" w:cs="Arial" w:eastAsia="Arial" w:hAnsi="Arial"/>
          <w:sz w:val="18"/>
          <w:szCs w:val="18"/>
          <w:color w:val="auto"/>
        </w:rPr>
        <w:t>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disclaims that it is, the beneficial owner, as defined in Rule 13d-3, of any of the Securities.</w:t>
      </w:r>
    </w:p>
    <w:p>
      <w:pPr>
        <w:spacing w:after="0" w:line="213" w:lineRule="exact"/>
        <w:rPr>
          <w:sz w:val="20"/>
          <w:szCs w:val="20"/>
          <w:color w:val="auto"/>
        </w:rPr>
      </w:pPr>
    </w:p>
    <w:p>
      <w:pPr>
        <w:ind w:left="220" w:right="600"/>
        <w:spacing w:after="0" w:line="360" w:lineRule="auto"/>
        <w:rPr>
          <w:sz w:val="20"/>
          <w:szCs w:val="20"/>
          <w:color w:val="auto"/>
        </w:rPr>
      </w:pPr>
      <w:r>
        <w:rPr>
          <w:rFonts w:ascii="Arial" w:cs="Arial" w:eastAsia="Arial" w:hAnsi="Arial"/>
          <w:sz w:val="15"/>
          <w:szCs w:val="15"/>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FRI subsidiaries provide investment management services.</w:t>
      </w:r>
    </w:p>
    <w:p>
      <w:pPr>
        <w:spacing w:after="0" w:line="124" w:lineRule="exact"/>
        <w:rPr>
          <w:sz w:val="20"/>
          <w:szCs w:val="20"/>
          <w:color w:val="auto"/>
        </w:rPr>
      </w:pPr>
    </w:p>
    <w:p>
      <w:pPr>
        <w:ind w:left="1620" w:hanging="763"/>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2,007,000</w:t>
      </w:r>
    </w:p>
    <w:p>
      <w:pPr>
        <w:spacing w:after="0" w:line="239" w:lineRule="exact"/>
        <w:rPr>
          <w:sz w:val="20"/>
          <w:szCs w:val="20"/>
          <w:color w:val="auto"/>
        </w:rPr>
      </w:pPr>
    </w:p>
    <w:p>
      <w:pPr>
        <w:ind w:left="1620" w:hanging="763"/>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9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11" w:lineRule="exact"/>
        <w:rPr>
          <w:rFonts w:ascii="Arial" w:cs="Arial" w:eastAsia="Arial" w:hAnsi="Arial"/>
          <w:sz w:val="18"/>
          <w:szCs w:val="18"/>
          <w:color w:val="auto"/>
        </w:rPr>
      </w:pPr>
    </w:p>
    <w:p>
      <w:pPr>
        <w:ind w:left="1720" w:hanging="863"/>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40" w:right="2200" w:hanging="489"/>
        <w:spacing w:after="0" w:line="532" w:lineRule="auto"/>
        <w:tabs>
          <w:tab w:leader="none" w:pos="1940" w:val="left"/>
        </w:tabs>
        <w:numPr>
          <w:ilvl w:val="3"/>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Franklin Resources, Inc.:</w:t>
      </w:r>
    </w:p>
    <w:p>
      <w:pPr>
        <w:ind w:left="1940" w:right="3340"/>
        <w:spacing w:after="0" w:line="638"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spacing w:after="0" w:line="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right="2000" w:hanging="577"/>
        <w:spacing w:after="0" w:line="571" w:lineRule="auto"/>
        <w:tabs>
          <w:tab w:leader="none" w:pos="1974"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940" w:right="1300" w:hanging="665"/>
        <w:spacing w:after="0" w:line="540" w:lineRule="auto"/>
        <w:tabs>
          <w:tab w:leader="none" w:pos="19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Franklin Resources, Inc.:</w:t>
      </w:r>
    </w:p>
    <w:p>
      <w:pPr>
        <w:ind w:left="1940" w:right="3340"/>
        <w:spacing w:after="0" w:line="638"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spacing w:after="0" w:line="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95" w:lineRule="exact"/>
        <w:rPr>
          <w:sz w:val="20"/>
          <w:szCs w:val="20"/>
          <w:color w:val="auto"/>
        </w:rPr>
      </w:pPr>
    </w:p>
    <w:p>
      <w:pPr>
        <w:ind w:left="1920" w:right="1140" w:hanging="523"/>
        <w:spacing w:after="0" w:line="644" w:lineRule="auto"/>
        <w:tabs>
          <w:tab w:leader="none" w:pos="19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121285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19"/>
        <w:spacing w:after="0"/>
        <w:rPr>
          <w:sz w:val="20"/>
          <w:szCs w:val="20"/>
          <w:color w:val="auto"/>
        </w:rPr>
      </w:pPr>
      <w:r>
        <w:rPr>
          <w:rFonts w:ascii="Arial" w:cs="Arial" w:eastAsia="Arial" w:hAnsi="Arial"/>
          <w:sz w:val="18"/>
          <w:szCs w:val="18"/>
          <w:color w:val="auto"/>
        </w:rPr>
        <w:t>Page 8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1,933,000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2,007,000</w:t>
      </w:r>
    </w:p>
    <w:p>
      <w:pPr>
        <w:sectPr>
          <w:pgSz w:w="11900" w:h="16838" w:orient="portrait"/>
          <w:cols w:equalWidth="0" w:num="2">
            <w:col w:w="6880" w:space="720"/>
            <w:col w:w="2279"/>
          </w:cols>
          <w:pgMar w:left="580" w:top="334" w:right="1440" w:bottom="90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91"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3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this statement is being filed to report the fact that as of the date</w:t>
      </w:r>
    </w:p>
    <w:p>
      <w:pPr>
        <w:spacing w:after="0" w:line="36" w:lineRule="exact"/>
        <w:rPr>
          <w:sz w:val="20"/>
          <w:szCs w:val="20"/>
          <w:color w:val="auto"/>
        </w:rPr>
      </w:pPr>
    </w:p>
    <w:p>
      <w:pPr>
        <w:ind w:left="1040" w:right="1860"/>
        <w:spacing w:after="0" w:line="290" w:lineRule="auto"/>
        <w:rPr>
          <w:sz w:val="20"/>
          <w:szCs w:val="20"/>
          <w:color w:val="auto"/>
        </w:rPr>
      </w:pPr>
      <w:r>
        <w:rPr>
          <w:rFonts w:ascii="Arial" w:cs="Arial" w:eastAsia="Arial" w:hAnsi="Arial"/>
          <w:sz w:val="18"/>
          <w:szCs w:val="18"/>
          <w:color w:val="auto"/>
        </w:rPr>
        <w:t>hereof the reporting person has ceased to be the beneficial owner of more than five percent of the class of securities, check the following o. Not Applicable</w:t>
      </w:r>
    </w:p>
    <w:p>
      <w:pPr>
        <w:spacing w:after="0" w:line="16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ind w:left="1080" w:right="1520"/>
        <w:spacing w:after="0" w:line="329" w:lineRule="auto"/>
        <w:rPr>
          <w:sz w:val="20"/>
          <w:szCs w:val="20"/>
          <w:color w:val="auto"/>
        </w:rPr>
      </w:pPr>
      <w:r>
        <w:rPr>
          <w:rFonts w:ascii="Arial" w:cs="Arial" w:eastAsia="Arial" w:hAnsi="Arial"/>
          <w:sz w:val="16"/>
          <w:szCs w:val="16"/>
          <w:color w:val="auto"/>
        </w:rPr>
        <w:t>The clients of the Investment Management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360" w:lineRule="exact"/>
        <w:rPr>
          <w:sz w:val="20"/>
          <w:szCs w:val="20"/>
          <w:color w:val="auto"/>
        </w:rPr>
      </w:pPr>
    </w:p>
    <w:p>
      <w:pPr>
        <w:ind w:left="1020" w:right="2080" w:hanging="809"/>
        <w:spacing w:after="0" w:line="402" w:lineRule="auto"/>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Attached Exhibit C</w:t>
      </w:r>
    </w:p>
    <w:p>
      <w:pPr>
        <w:spacing w:after="0" w:line="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also Item 4)</w:t>
      </w:r>
    </w:p>
    <w:p>
      <w:pPr>
        <w:spacing w:after="0" w:line="225"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Group</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 (See also Item 4)</w:t>
      </w:r>
    </w:p>
    <w:p>
      <w:pPr>
        <w:spacing w:after="0" w:line="225"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360680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w:t>
      </w:r>
    </w:p>
    <w:p>
      <w:pPr>
        <w:sectPr>
          <w:pgSz w:w="11900" w:h="16838" w:orient="portrait"/>
          <w:cols w:equalWidth="0" w:num="2">
            <w:col w:w="8060" w:space="720"/>
            <w:col w:w="1099"/>
          </w:cols>
          <w:pgMar w:left="580" w:top="33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3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79" w:lineRule="exact"/>
        <w:rPr>
          <w:sz w:val="20"/>
          <w:szCs w:val="20"/>
          <w:color w:val="auto"/>
        </w:rPr>
      </w:pPr>
    </w:p>
    <w:p>
      <w:pPr>
        <w:ind w:left="220" w:right="1940"/>
        <w:spacing w:after="0" w:line="35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3" w:lineRule="exact"/>
        <w:rPr>
          <w:sz w:val="20"/>
          <w:szCs w:val="20"/>
          <w:color w:val="auto"/>
        </w:rPr>
      </w:pPr>
    </w:p>
    <w:p>
      <w:pPr>
        <w:ind w:left="200" w:right="2140"/>
        <w:spacing w:after="0" w:line="343" w:lineRule="auto"/>
        <w:rPr>
          <w:sz w:val="20"/>
          <w:szCs w:val="20"/>
          <w:color w:val="auto"/>
        </w:rPr>
      </w:pPr>
      <w:r>
        <w:rPr>
          <w:rFonts w:ascii="Arial" w:cs="Arial" w:eastAsia="Arial" w:hAnsi="Arial"/>
          <w:sz w:val="16"/>
          <w:szCs w:val="16"/>
          <w:color w:val="auto"/>
        </w:rPr>
        <w:t>This report shall not be construed as an admission by the persons filing the report that they are the beneficial owner of any securities covered by this report.</w:t>
      </w:r>
    </w:p>
    <w:p>
      <w:pPr>
        <w:spacing w:after="0" w:line="1"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200" w:right="2100"/>
        <w:spacing w:after="0" w:line="367"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1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28, 2009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 ROSSELOT</w:t>
      </w:r>
    </w:p>
    <w:p>
      <w:pPr>
        <w:spacing w:after="0" w:line="6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117" w:lineRule="exact"/>
        <w:rPr>
          <w:sz w:val="20"/>
          <w:szCs w:val="20"/>
          <w:color w:val="auto"/>
        </w:rPr>
      </w:pPr>
    </w:p>
    <w:p>
      <w:pPr>
        <w:ind w:left="1000" w:right="2040"/>
        <w:spacing w:after="0" w:line="362"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132" w:lineRule="exact"/>
        <w:rPr>
          <w:sz w:val="20"/>
          <w:szCs w:val="20"/>
          <w:color w:val="auto"/>
        </w:rPr>
      </w:pPr>
    </w:p>
    <w:p>
      <w:pPr>
        <w:ind w:left="1000" w:right="184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14"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8"/>
          <w:szCs w:val="18"/>
          <w:color w:val="auto"/>
        </w:rPr>
        <w:t>/s/STEVEN J. GRAY</w:t>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Steven J. Gray</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368935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w:t>
      </w:r>
    </w:p>
    <w:p>
      <w:pPr>
        <w:sectPr>
          <w:pgSz w:w="11900" w:h="16838" w:orient="portrait"/>
          <w:cols w:equalWidth="0" w:num="2">
            <w:col w:w="8060" w:space="720"/>
            <w:col w:w="1099"/>
          </w:cols>
          <w:pgMar w:left="580" w:top="33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ind w:left="200" w:right="1800"/>
        <w:spacing w:after="0" w:line="286"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98" w:lineRule="exact"/>
        <w:rPr>
          <w:sz w:val="20"/>
          <w:szCs w:val="20"/>
          <w:color w:val="auto"/>
        </w:rPr>
      </w:pPr>
    </w:p>
    <w:p>
      <w:pPr>
        <w:ind w:left="200" w:right="2440"/>
        <w:spacing w:after="0" w:line="299" w:lineRule="auto"/>
        <w:rPr>
          <w:sz w:val="20"/>
          <w:szCs w:val="20"/>
          <w:color w:val="auto"/>
        </w:rPr>
      </w:pPr>
      <w:r>
        <w:rPr>
          <w:rFonts w:ascii="Arial" w:cs="Arial" w:eastAsia="Arial" w:hAnsi="Arial"/>
          <w:sz w:val="18"/>
          <w:szCs w:val="18"/>
          <w:color w:val="auto"/>
        </w:rPr>
        <w:t>IN WITNESS WHEREOF, the undersigned have executed this agreement on January 28, 2009.</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 ROSSELOT</w:t>
      </w:r>
    </w:p>
    <w:p>
      <w:pPr>
        <w:spacing w:after="0" w:line="6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117" w:lineRule="exact"/>
        <w:rPr>
          <w:sz w:val="20"/>
          <w:szCs w:val="20"/>
          <w:color w:val="auto"/>
        </w:rPr>
      </w:pPr>
    </w:p>
    <w:p>
      <w:pPr>
        <w:ind w:left="1000" w:right="2040"/>
        <w:spacing w:after="0" w:line="362"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132" w:lineRule="exact"/>
        <w:rPr>
          <w:sz w:val="20"/>
          <w:szCs w:val="20"/>
          <w:color w:val="auto"/>
        </w:rPr>
      </w:pPr>
    </w:p>
    <w:p>
      <w:pPr>
        <w:ind w:left="1000" w:right="184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14"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8"/>
          <w:szCs w:val="18"/>
          <w:color w:val="auto"/>
        </w:rPr>
        <w:t>/s/STEVEN J. GRAY</w:t>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Steven J. Gray</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w:t>
      </w:r>
    </w:p>
    <w:p>
      <w:pPr>
        <w:sectPr>
          <w:pgSz w:w="11900" w:h="16838" w:orient="portrait"/>
          <w:cols w:equalWidth="0" w:num="2">
            <w:col w:w="8060" w:space="720"/>
            <w:col w:w="1099"/>
          </w:cols>
          <w:pgMar w:left="580" w:top="33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B</w:t>
      </w:r>
    </w:p>
    <w:p>
      <w:pPr>
        <w:spacing w:after="0" w:line="27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32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52" w:lineRule="exact"/>
        <w:rPr>
          <w:sz w:val="20"/>
          <w:szCs w:val="20"/>
          <w:color w:val="auto"/>
        </w:rPr>
      </w:pPr>
    </w:p>
    <w:p>
      <w:pPr>
        <w:ind w:left="200" w:right="1740" w:firstLine="864"/>
        <w:spacing w:after="0" w:line="286"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71" w:lineRule="exact"/>
        <w:rPr>
          <w:sz w:val="20"/>
          <w:szCs w:val="20"/>
          <w:color w:val="auto"/>
        </w:rPr>
      </w:pPr>
    </w:p>
    <w:p>
      <w:pPr>
        <w:ind w:left="1080" w:hanging="87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w:t>
      </w:r>
    </w:p>
    <w:p>
      <w:pPr>
        <w:spacing w:after="0" w:line="63" w:lineRule="exact"/>
        <w:rPr>
          <w:rFonts w:ascii="Arial" w:cs="Arial" w:eastAsia="Arial" w:hAnsi="Arial"/>
          <w:sz w:val="18"/>
          <w:szCs w:val="18"/>
          <w:color w:val="auto"/>
        </w:rPr>
      </w:pPr>
    </w:p>
    <w:p>
      <w:pPr>
        <w:ind w:left="200" w:right="1820"/>
        <w:spacing w:after="0" w:line="327" w:lineRule="auto"/>
        <w:rPr>
          <w:rFonts w:ascii="Arial" w:cs="Arial" w:eastAsia="Arial" w:hAnsi="Arial"/>
          <w:sz w:val="18"/>
          <w:szCs w:val="18"/>
          <w:color w:val="auto"/>
        </w:rPr>
      </w:pPr>
      <w:r>
        <w:rPr>
          <w:rFonts w:ascii="Arial" w:cs="Arial" w:eastAsia="Arial" w:hAnsi="Arial"/>
          <w:sz w:val="16"/>
          <w:szCs w:val="16"/>
          <w:color w:val="auto"/>
        </w:rPr>
        <w:t>(including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43" w:lineRule="exact"/>
        <w:rPr>
          <w:rFonts w:ascii="Arial" w:cs="Arial" w:eastAsia="Arial" w:hAnsi="Arial"/>
          <w:sz w:val="18"/>
          <w:szCs w:val="18"/>
          <w:color w:val="auto"/>
        </w:rPr>
      </w:pPr>
    </w:p>
    <w:p>
      <w:pPr>
        <w:ind w:left="1080" w:hanging="87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63" w:lineRule="exact"/>
        <w:rPr>
          <w:sz w:val="20"/>
          <w:szCs w:val="20"/>
          <w:color w:val="auto"/>
        </w:rPr>
      </w:pPr>
    </w:p>
    <w:p>
      <w:pPr>
        <w:ind w:left="200" w:right="2120"/>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left="860" w:hanging="65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w:t>
      </w:r>
    </w:p>
    <w:p>
      <w:pPr>
        <w:spacing w:after="0" w:line="63" w:lineRule="exact"/>
        <w:rPr>
          <w:rFonts w:ascii="Arial" w:cs="Arial" w:eastAsia="Arial" w:hAnsi="Arial"/>
          <w:sz w:val="18"/>
          <w:szCs w:val="18"/>
          <w:color w:val="auto"/>
        </w:rPr>
      </w:pPr>
    </w:p>
    <w:p>
      <w:pPr>
        <w:ind w:left="200" w:right="2740"/>
        <w:spacing w:after="0" w:line="367" w:lineRule="auto"/>
        <w:rPr>
          <w:rFonts w:ascii="Arial" w:cs="Arial" w:eastAsia="Arial" w:hAnsi="Arial"/>
          <w:sz w:val="18"/>
          <w:szCs w:val="18"/>
          <w:color w:val="auto"/>
        </w:rPr>
      </w:pPr>
      <w:r>
        <w:rPr>
          <w:rFonts w:ascii="Arial" w:cs="Arial" w:eastAsia="Arial" w:hAnsi="Arial"/>
          <w:sz w:val="16"/>
          <w:szCs w:val="16"/>
          <w:color w:val="auto"/>
        </w:rPr>
        <w:t>attorney-in-fact to act in their discretion on information provided to such attorney-in-fact without independent verification of such information;</w:t>
      </w:r>
    </w:p>
    <w:p>
      <w:pPr>
        <w:spacing w:after="0" w:line="112" w:lineRule="exact"/>
        <w:rPr>
          <w:rFonts w:ascii="Arial" w:cs="Arial" w:eastAsia="Arial" w:hAnsi="Arial"/>
          <w:sz w:val="18"/>
          <w:szCs w:val="18"/>
          <w:color w:val="auto"/>
        </w:rPr>
      </w:pPr>
    </w:p>
    <w:p>
      <w:pPr>
        <w:ind w:left="860" w:hanging="65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documents prepared and/or executed by either such attorney-in-fact on</w:t>
      </w:r>
    </w:p>
    <w:p>
      <w:pPr>
        <w:spacing w:after="0" w:line="63" w:lineRule="exact"/>
        <w:rPr>
          <w:rFonts w:ascii="Arial" w:cs="Arial" w:eastAsia="Arial" w:hAnsi="Arial"/>
          <w:sz w:val="18"/>
          <w:szCs w:val="18"/>
          <w:color w:val="auto"/>
        </w:rPr>
      </w:pPr>
    </w:p>
    <w:p>
      <w:pPr>
        <w:ind w:left="200" w:right="1920"/>
        <w:spacing w:after="0" w:line="290" w:lineRule="auto"/>
        <w:rPr>
          <w:rFonts w:ascii="Arial" w:cs="Arial" w:eastAsia="Arial" w:hAnsi="Arial"/>
          <w:sz w:val="18"/>
          <w:szCs w:val="18"/>
          <w:color w:val="auto"/>
        </w:rPr>
      </w:pPr>
      <w:r>
        <w:rPr>
          <w:rFonts w:ascii="Arial" w:cs="Arial" w:eastAsia="Arial" w:hAnsi="Arial"/>
          <w:sz w:val="18"/>
          <w:szCs w:val="18"/>
          <w:color w:val="auto"/>
        </w:rPr>
        <w:t>behalf of the undersigned pursuant to this Limited Power of Attorney will be in such form and will contain such information and disclosure as such attorney-in-fact, in his or her discretion, deems necessary or desirable;</w:t>
      </w:r>
    </w:p>
    <w:p>
      <w:pPr>
        <w:spacing w:after="0" w:line="168" w:lineRule="exact"/>
        <w:rPr>
          <w:rFonts w:ascii="Arial" w:cs="Arial" w:eastAsia="Arial" w:hAnsi="Arial"/>
          <w:sz w:val="18"/>
          <w:szCs w:val="18"/>
          <w:color w:val="auto"/>
        </w:rPr>
      </w:pPr>
    </w:p>
    <w:p>
      <w:pPr>
        <w:ind w:left="860" w:hanging="65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w:t>
      </w:r>
    </w:p>
    <w:p>
      <w:pPr>
        <w:spacing w:after="0" w:line="63" w:lineRule="exact"/>
        <w:rPr>
          <w:rFonts w:ascii="Arial" w:cs="Arial" w:eastAsia="Arial" w:hAnsi="Arial"/>
          <w:sz w:val="18"/>
          <w:szCs w:val="18"/>
          <w:color w:val="auto"/>
        </w:rPr>
      </w:pPr>
    </w:p>
    <w:p>
      <w:pPr>
        <w:ind w:left="200" w:right="1960"/>
        <w:spacing w:after="0" w:line="290" w:lineRule="auto"/>
        <w:rPr>
          <w:rFonts w:ascii="Arial" w:cs="Arial" w:eastAsia="Arial" w:hAnsi="Arial"/>
          <w:sz w:val="18"/>
          <w:szCs w:val="18"/>
          <w:color w:val="auto"/>
        </w:rPr>
      </w:pPr>
      <w:r>
        <w:rPr>
          <w:rFonts w:ascii="Arial" w:cs="Arial" w:eastAsia="Arial" w:hAnsi="Arial"/>
          <w:sz w:val="18"/>
          <w:szCs w:val="18"/>
          <w:color w:val="auto"/>
        </w:rPr>
        <w:t>any liability for the undersigned’s responsibility to comply with the requirements of the Exchange Act or (ii) any liability of the undersigned for any failure to comply with such requirements; and</w:t>
      </w:r>
    </w:p>
    <w:p>
      <w:pPr>
        <w:spacing w:after="0" w:line="168" w:lineRule="exact"/>
        <w:rPr>
          <w:rFonts w:ascii="Arial" w:cs="Arial" w:eastAsia="Arial" w:hAnsi="Arial"/>
          <w:sz w:val="18"/>
          <w:szCs w:val="18"/>
          <w:color w:val="auto"/>
        </w:rPr>
      </w:pPr>
    </w:p>
    <w:p>
      <w:pPr>
        <w:ind w:left="860" w:hanging="65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w:t>
      </w:r>
    </w:p>
    <w:p>
      <w:pPr>
        <w:spacing w:after="0" w:line="63" w:lineRule="exact"/>
        <w:rPr>
          <w:rFonts w:ascii="Arial" w:cs="Arial" w:eastAsia="Arial" w:hAnsi="Arial"/>
          <w:sz w:val="18"/>
          <w:szCs w:val="18"/>
          <w:color w:val="auto"/>
        </w:rPr>
      </w:pPr>
    </w:p>
    <w:p>
      <w:pPr>
        <w:jc w:val="both"/>
        <w:ind w:left="200" w:right="1900"/>
        <w:spacing w:after="0" w:line="290" w:lineRule="auto"/>
        <w:rPr>
          <w:rFonts w:ascii="Arial" w:cs="Arial" w:eastAsia="Arial" w:hAnsi="Arial"/>
          <w:sz w:val="18"/>
          <w:szCs w:val="18"/>
          <w:color w:val="auto"/>
        </w:rPr>
      </w:pPr>
      <w:r>
        <w:rPr>
          <w:rFonts w:ascii="Arial" w:cs="Arial" w:eastAsia="Arial" w:hAnsi="Arial"/>
          <w:sz w:val="18"/>
          <w:szCs w:val="18"/>
          <w:color w:val="auto"/>
        </w:rPr>
        <w:t>responsibility for compliance with the undersigned’s obligations under the Exchange Act, including without limitation the reporting requirements under Section 13 of the Exchange Act.</w:t>
      </w:r>
    </w:p>
    <w:p>
      <w:pPr>
        <w:spacing w:after="0" w:line="195" w:lineRule="exact"/>
        <w:rPr>
          <w:sz w:val="20"/>
          <w:szCs w:val="20"/>
          <w:color w:val="auto"/>
        </w:rPr>
      </w:pPr>
    </w:p>
    <w:p>
      <w:pPr>
        <w:ind w:left="200" w:right="1880" w:firstLine="324"/>
        <w:spacing w:after="0" w:line="284"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03" w:lineRule="exact"/>
        <w:rPr>
          <w:sz w:val="20"/>
          <w:szCs w:val="20"/>
          <w:color w:val="auto"/>
        </w:rPr>
      </w:pPr>
    </w:p>
    <w:p>
      <w:pPr>
        <w:ind w:left="200" w:right="1780"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40" w:lineRule="exact"/>
        <w:rPr>
          <w:sz w:val="20"/>
          <w:szCs w:val="20"/>
          <w:color w:val="auto"/>
        </w:rPr>
      </w:pPr>
    </w:p>
    <w:p>
      <w:pPr>
        <w:ind w:left="200" w:right="1340"/>
        <w:spacing w:after="0" w:line="269" w:lineRule="auto"/>
        <w:rPr>
          <w:sz w:val="20"/>
          <w:szCs w:val="20"/>
          <w:color w:val="auto"/>
        </w:rPr>
      </w:pPr>
      <w:r>
        <w:rPr>
          <w:rFonts w:ascii="Arial" w:cs="Arial" w:eastAsia="Arial" w:hAnsi="Arial"/>
          <w:sz w:val="18"/>
          <w:szCs w:val="18"/>
          <w:color w:val="auto"/>
        </w:rPr>
        <w:t>IN WITNESS WHEREOF, the undersigned has caused this Limited Power of Attorney to be executed as</w:t>
      </w:r>
    </w:p>
    <w:p>
      <w:pPr>
        <w:spacing w:after="0" w:line="2" w:lineRule="exact"/>
        <w:rPr>
          <w:sz w:val="20"/>
          <w:szCs w:val="20"/>
          <w:color w:val="auto"/>
        </w:rPr>
      </w:pPr>
    </w:p>
    <w:p>
      <w:pPr>
        <w:ind w:left="200"/>
        <w:spacing w:after="0"/>
        <w:tabs>
          <w:tab w:leader="none" w:pos="1480" w:val="left"/>
          <w:tab w:leader="none" w:pos="2560" w:val="left"/>
          <w:tab w:leader="none" w:pos="4300" w:val="left"/>
          <w:tab w:leader="none" w:pos="5700" w:val="left"/>
        </w:tabs>
        <w:rPr>
          <w:sz w:val="20"/>
          <w:szCs w:val="20"/>
          <w:color w:val="auto"/>
        </w:rPr>
      </w:pPr>
      <w:r>
        <w:rPr>
          <w:rFonts w:ascii="Arial" w:cs="Arial" w:eastAsia="Arial" w:hAnsi="Arial"/>
          <w:sz w:val="18"/>
          <w:szCs w:val="18"/>
          <w:color w:val="auto"/>
        </w:rPr>
        <w:t>of this</w:t>
      </w:r>
      <w:r>
        <w:rPr>
          <w:sz w:val="20"/>
          <w:szCs w:val="20"/>
          <w:color w:val="auto"/>
        </w:rPr>
        <w:tab/>
      </w:r>
      <w:r>
        <w:rPr>
          <w:rFonts w:ascii="Arial" w:cs="Arial" w:eastAsia="Arial" w:hAnsi="Arial"/>
          <w:sz w:val="18"/>
          <w:szCs w:val="18"/>
          <w:u w:val="single" w:color="auto"/>
          <w:color w:val="auto"/>
        </w:rPr>
        <w:t>30th</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u w:val="single" w:color="auto"/>
          <w:color w:val="auto"/>
        </w:rPr>
        <w:t>April</w:t>
      </w:r>
      <w:r>
        <w:rPr>
          <w:sz w:val="20"/>
          <w:szCs w:val="20"/>
          <w:color w:val="auto"/>
        </w:rPr>
        <w:tab/>
      </w:r>
      <w:r>
        <w:rPr>
          <w:rFonts w:ascii="Arial" w:cs="Arial" w:eastAsia="Arial" w:hAnsi="Arial"/>
          <w:sz w:val="15"/>
          <w:szCs w:val="15"/>
          <w:color w:val="auto"/>
        </w:rPr>
        <w:t>, 2007</w:t>
      </w:r>
    </w:p>
    <w:p>
      <w:pPr>
        <w:spacing w:after="0" w:line="111" w:lineRule="exact"/>
        <w:rPr>
          <w:sz w:val="20"/>
          <w:szCs w:val="20"/>
          <w:color w:val="auto"/>
        </w:rPr>
      </w:pPr>
    </w:p>
    <w:p>
      <w:pPr>
        <w:jc w:val="right"/>
        <w:ind w:right="600"/>
        <w:spacing w:after="0"/>
        <w:rPr>
          <w:sz w:val="20"/>
          <w:szCs w:val="20"/>
          <w:color w:val="auto"/>
        </w:rPr>
      </w:pPr>
      <w:r>
        <w:rPr>
          <w:rFonts w:ascii="Arial" w:cs="Arial" w:eastAsia="Arial" w:hAnsi="Arial"/>
          <w:sz w:val="18"/>
          <w:szCs w:val="18"/>
          <w:u w:val="single" w:color="auto"/>
          <w:color w:val="auto"/>
        </w:rPr>
        <w:t>/s/Charles B. Johnson</w:t>
      </w:r>
    </w:p>
    <w:p>
      <w:pPr>
        <w:spacing w:after="0" w:line="3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auto"/>
        </w:rPr>
        <w:t>Charles B. Johnson</w:t>
      </w:r>
    </w:p>
    <w:p>
      <w:pPr>
        <w:spacing w:after="0" w:line="5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12 of 14</w:t>
      </w:r>
    </w:p>
    <w:p>
      <w:pPr>
        <w:sectPr>
          <w:pgSz w:w="11900" w:h="16838" w:orient="portrait"/>
          <w:cols w:equalWidth="0" w:num="2">
            <w:col w:w="8060" w:space="720"/>
            <w:col w:w="1099"/>
          </w:cols>
          <w:pgMar w:left="580" w:top="334" w:right="1440" w:bottom="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0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p>
    <w:p>
      <w:pPr>
        <w:spacing w:after="0" w:line="28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90" w:lineRule="exact"/>
        <w:rPr>
          <w:sz w:val="20"/>
          <w:szCs w:val="20"/>
          <w:color w:val="auto"/>
        </w:rPr>
      </w:pPr>
    </w:p>
    <w:p>
      <w:pPr>
        <w:ind w:left="200" w:right="1740" w:firstLine="864"/>
        <w:spacing w:after="0" w:line="298"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160" w:lineRule="exact"/>
        <w:rPr>
          <w:sz w:val="20"/>
          <w:szCs w:val="20"/>
          <w:color w:val="auto"/>
        </w:rPr>
      </w:pPr>
    </w:p>
    <w:p>
      <w:pPr>
        <w:ind w:left="1080" w:hanging="87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execute, acknowledge, deliver and file Schedules 13D and 13G</w:t>
      </w:r>
    </w:p>
    <w:p>
      <w:pPr>
        <w:spacing w:after="0" w:line="63" w:lineRule="exact"/>
        <w:rPr>
          <w:rFonts w:ascii="Arial" w:cs="Arial" w:eastAsia="Arial" w:hAnsi="Arial"/>
          <w:sz w:val="18"/>
          <w:szCs w:val="18"/>
          <w:color w:val="auto"/>
        </w:rPr>
      </w:pPr>
    </w:p>
    <w:p>
      <w:pPr>
        <w:ind w:left="200" w:right="1820"/>
        <w:spacing w:after="0" w:line="327" w:lineRule="auto"/>
        <w:rPr>
          <w:rFonts w:ascii="Arial" w:cs="Arial" w:eastAsia="Arial" w:hAnsi="Arial"/>
          <w:sz w:val="18"/>
          <w:szCs w:val="18"/>
          <w:color w:val="auto"/>
        </w:rPr>
      </w:pPr>
      <w:r>
        <w:rPr>
          <w:rFonts w:ascii="Arial" w:cs="Arial" w:eastAsia="Arial" w:hAnsi="Arial"/>
          <w:sz w:val="16"/>
          <w:szCs w:val="16"/>
          <w:color w:val="auto"/>
        </w:rPr>
        <w:t>(including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43" w:lineRule="exact"/>
        <w:rPr>
          <w:rFonts w:ascii="Arial" w:cs="Arial" w:eastAsia="Arial" w:hAnsi="Arial"/>
          <w:sz w:val="18"/>
          <w:szCs w:val="18"/>
          <w:color w:val="auto"/>
        </w:rPr>
      </w:pPr>
    </w:p>
    <w:p>
      <w:pPr>
        <w:ind w:left="1080" w:hanging="87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63" w:lineRule="exact"/>
        <w:rPr>
          <w:sz w:val="20"/>
          <w:szCs w:val="20"/>
          <w:color w:val="auto"/>
        </w:rPr>
      </w:pPr>
    </w:p>
    <w:p>
      <w:pPr>
        <w:ind w:left="200" w:right="2120"/>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left="860" w:hanging="65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Limited Power of Attorney authorizes, but does not require, each such</w:t>
      </w:r>
    </w:p>
    <w:p>
      <w:pPr>
        <w:spacing w:after="0" w:line="63" w:lineRule="exact"/>
        <w:rPr>
          <w:rFonts w:ascii="Arial" w:cs="Arial" w:eastAsia="Arial" w:hAnsi="Arial"/>
          <w:sz w:val="18"/>
          <w:szCs w:val="18"/>
          <w:color w:val="auto"/>
        </w:rPr>
      </w:pPr>
    </w:p>
    <w:p>
      <w:pPr>
        <w:ind w:left="200" w:right="2740"/>
        <w:spacing w:after="0" w:line="367" w:lineRule="auto"/>
        <w:rPr>
          <w:rFonts w:ascii="Arial" w:cs="Arial" w:eastAsia="Arial" w:hAnsi="Arial"/>
          <w:sz w:val="18"/>
          <w:szCs w:val="18"/>
          <w:color w:val="auto"/>
        </w:rPr>
      </w:pPr>
      <w:r>
        <w:rPr>
          <w:rFonts w:ascii="Arial" w:cs="Arial" w:eastAsia="Arial" w:hAnsi="Arial"/>
          <w:sz w:val="16"/>
          <w:szCs w:val="16"/>
          <w:color w:val="auto"/>
        </w:rPr>
        <w:t>attorney-in-fact to act in their discretion on information provided to such attorney-in-fact without independent verification of such information;</w:t>
      </w:r>
    </w:p>
    <w:p>
      <w:pPr>
        <w:spacing w:after="0" w:line="112" w:lineRule="exact"/>
        <w:rPr>
          <w:rFonts w:ascii="Arial" w:cs="Arial" w:eastAsia="Arial" w:hAnsi="Arial"/>
          <w:sz w:val="18"/>
          <w:szCs w:val="18"/>
          <w:color w:val="auto"/>
        </w:rPr>
      </w:pPr>
    </w:p>
    <w:p>
      <w:pPr>
        <w:ind w:left="860" w:hanging="65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documents prepared and/or executed by either such attorney-in-fact on</w:t>
      </w:r>
    </w:p>
    <w:p>
      <w:pPr>
        <w:spacing w:after="0" w:line="63" w:lineRule="exact"/>
        <w:rPr>
          <w:rFonts w:ascii="Arial" w:cs="Arial" w:eastAsia="Arial" w:hAnsi="Arial"/>
          <w:sz w:val="18"/>
          <w:szCs w:val="18"/>
          <w:color w:val="auto"/>
        </w:rPr>
      </w:pPr>
    </w:p>
    <w:p>
      <w:pPr>
        <w:ind w:left="200" w:right="1920"/>
        <w:spacing w:after="0" w:line="290" w:lineRule="auto"/>
        <w:rPr>
          <w:rFonts w:ascii="Arial" w:cs="Arial" w:eastAsia="Arial" w:hAnsi="Arial"/>
          <w:sz w:val="18"/>
          <w:szCs w:val="18"/>
          <w:color w:val="auto"/>
        </w:rPr>
      </w:pPr>
      <w:r>
        <w:rPr>
          <w:rFonts w:ascii="Arial" w:cs="Arial" w:eastAsia="Arial" w:hAnsi="Arial"/>
          <w:sz w:val="18"/>
          <w:szCs w:val="18"/>
          <w:color w:val="auto"/>
        </w:rPr>
        <w:t>behalf of the undersigned pursuant to this Limited Power of Attorney will be in such form and will contain such information and disclosure as such attorney-in-fact, in his or her discretion, deems necessary or desirable;</w:t>
      </w:r>
    </w:p>
    <w:p>
      <w:pPr>
        <w:spacing w:after="0" w:line="168" w:lineRule="exact"/>
        <w:rPr>
          <w:rFonts w:ascii="Arial" w:cs="Arial" w:eastAsia="Arial" w:hAnsi="Arial"/>
          <w:sz w:val="18"/>
          <w:szCs w:val="18"/>
          <w:color w:val="auto"/>
        </w:rPr>
      </w:pPr>
    </w:p>
    <w:p>
      <w:pPr>
        <w:ind w:left="860" w:hanging="65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w:t>
      </w:r>
    </w:p>
    <w:p>
      <w:pPr>
        <w:spacing w:after="0" w:line="63" w:lineRule="exact"/>
        <w:rPr>
          <w:rFonts w:ascii="Arial" w:cs="Arial" w:eastAsia="Arial" w:hAnsi="Arial"/>
          <w:sz w:val="18"/>
          <w:szCs w:val="18"/>
          <w:color w:val="auto"/>
        </w:rPr>
      </w:pPr>
    </w:p>
    <w:p>
      <w:pPr>
        <w:ind w:left="200" w:right="1960"/>
        <w:spacing w:after="0" w:line="290" w:lineRule="auto"/>
        <w:rPr>
          <w:rFonts w:ascii="Arial" w:cs="Arial" w:eastAsia="Arial" w:hAnsi="Arial"/>
          <w:sz w:val="18"/>
          <w:szCs w:val="18"/>
          <w:color w:val="auto"/>
        </w:rPr>
      </w:pPr>
      <w:r>
        <w:rPr>
          <w:rFonts w:ascii="Arial" w:cs="Arial" w:eastAsia="Arial" w:hAnsi="Arial"/>
          <w:sz w:val="18"/>
          <w:szCs w:val="18"/>
          <w:color w:val="auto"/>
        </w:rPr>
        <w:t>any liability for the undersigned’s responsibility to comply with the requirements of the Exchange Act or (ii) any liability of the undersigned for any failure to comply with such requirements; and</w:t>
      </w:r>
    </w:p>
    <w:p>
      <w:pPr>
        <w:spacing w:after="0" w:line="168" w:lineRule="exact"/>
        <w:rPr>
          <w:rFonts w:ascii="Arial" w:cs="Arial" w:eastAsia="Arial" w:hAnsi="Arial"/>
          <w:sz w:val="18"/>
          <w:szCs w:val="18"/>
          <w:color w:val="auto"/>
        </w:rPr>
      </w:pPr>
    </w:p>
    <w:p>
      <w:pPr>
        <w:ind w:left="860" w:hanging="65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w:t>
      </w:r>
    </w:p>
    <w:p>
      <w:pPr>
        <w:spacing w:after="0" w:line="63" w:lineRule="exact"/>
        <w:rPr>
          <w:rFonts w:ascii="Arial" w:cs="Arial" w:eastAsia="Arial" w:hAnsi="Arial"/>
          <w:sz w:val="18"/>
          <w:szCs w:val="18"/>
          <w:color w:val="auto"/>
        </w:rPr>
      </w:pPr>
    </w:p>
    <w:p>
      <w:pPr>
        <w:jc w:val="both"/>
        <w:ind w:left="200" w:right="1900"/>
        <w:spacing w:after="0" w:line="290" w:lineRule="auto"/>
        <w:rPr>
          <w:rFonts w:ascii="Arial" w:cs="Arial" w:eastAsia="Arial" w:hAnsi="Arial"/>
          <w:sz w:val="18"/>
          <w:szCs w:val="18"/>
          <w:color w:val="auto"/>
        </w:rPr>
      </w:pPr>
      <w:r>
        <w:rPr>
          <w:rFonts w:ascii="Arial" w:cs="Arial" w:eastAsia="Arial" w:hAnsi="Arial"/>
          <w:sz w:val="18"/>
          <w:szCs w:val="18"/>
          <w:color w:val="auto"/>
        </w:rPr>
        <w:t>responsibility for compliance with the undersigned’s obligations under the Exchange Act, including without limitation the reporting requirements under Section 13 of the Exchange Act.</w:t>
      </w:r>
    </w:p>
    <w:p>
      <w:pPr>
        <w:spacing w:after="0" w:line="195" w:lineRule="exact"/>
        <w:rPr>
          <w:sz w:val="20"/>
          <w:szCs w:val="20"/>
          <w:color w:val="auto"/>
        </w:rPr>
      </w:pPr>
    </w:p>
    <w:p>
      <w:pPr>
        <w:ind w:left="200" w:right="1880" w:firstLine="324"/>
        <w:spacing w:after="0" w:line="284"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03" w:lineRule="exact"/>
        <w:rPr>
          <w:sz w:val="20"/>
          <w:szCs w:val="20"/>
          <w:color w:val="auto"/>
        </w:rPr>
      </w:pPr>
    </w:p>
    <w:p>
      <w:pPr>
        <w:ind w:left="200" w:right="1780"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40" w:lineRule="exact"/>
        <w:rPr>
          <w:sz w:val="20"/>
          <w:szCs w:val="20"/>
          <w:color w:val="auto"/>
        </w:rPr>
      </w:pPr>
    </w:p>
    <w:p>
      <w:pPr>
        <w:ind w:left="200" w:right="1340"/>
        <w:spacing w:after="0" w:line="269" w:lineRule="auto"/>
        <w:rPr>
          <w:sz w:val="20"/>
          <w:szCs w:val="20"/>
          <w:color w:val="auto"/>
        </w:rPr>
      </w:pPr>
      <w:r>
        <w:rPr>
          <w:rFonts w:ascii="Arial" w:cs="Arial" w:eastAsia="Arial" w:hAnsi="Arial"/>
          <w:sz w:val="18"/>
          <w:szCs w:val="18"/>
          <w:color w:val="auto"/>
        </w:rPr>
        <w:t>IN WITNESS WHEREOF, the undersigned has caused this Limited Power of Attorney to be executed as</w:t>
      </w:r>
    </w:p>
    <w:p>
      <w:pPr>
        <w:spacing w:after="0" w:line="2" w:lineRule="exact"/>
        <w:rPr>
          <w:sz w:val="20"/>
          <w:szCs w:val="20"/>
          <w:color w:val="auto"/>
        </w:rPr>
      </w:pPr>
    </w:p>
    <w:p>
      <w:pPr>
        <w:ind w:left="200"/>
        <w:spacing w:after="0"/>
        <w:tabs>
          <w:tab w:leader="none" w:pos="1920" w:val="left"/>
          <w:tab w:leader="none" w:pos="3320" w:val="left"/>
          <w:tab w:leader="none" w:pos="4620" w:val="left"/>
          <w:tab w:leader="none" w:pos="6140" w:val="left"/>
        </w:tabs>
        <w:rPr>
          <w:sz w:val="20"/>
          <w:szCs w:val="20"/>
          <w:color w:val="auto"/>
        </w:rPr>
      </w:pPr>
      <w:r>
        <w:rPr>
          <w:rFonts w:ascii="Arial" w:cs="Arial" w:eastAsia="Arial" w:hAnsi="Arial"/>
          <w:sz w:val="18"/>
          <w:szCs w:val="18"/>
          <w:color w:val="auto"/>
        </w:rPr>
        <w:t>of this</w:t>
      </w:r>
      <w:r>
        <w:rPr>
          <w:sz w:val="20"/>
          <w:szCs w:val="20"/>
          <w:color w:val="auto"/>
        </w:rPr>
        <w:tab/>
      </w:r>
      <w:r>
        <w:rPr>
          <w:rFonts w:ascii="Arial" w:cs="Arial" w:eastAsia="Arial" w:hAnsi="Arial"/>
          <w:sz w:val="18"/>
          <w:szCs w:val="18"/>
          <w:u w:val="single" w:color="auto"/>
          <w:color w:val="auto"/>
        </w:rPr>
        <w:t>25th</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u w:val="single" w:color="auto"/>
          <w:color w:val="auto"/>
        </w:rPr>
        <w:t>April</w:t>
      </w:r>
      <w:r>
        <w:rPr>
          <w:sz w:val="20"/>
          <w:szCs w:val="20"/>
          <w:color w:val="auto"/>
        </w:rPr>
        <w:tab/>
      </w:r>
      <w:r>
        <w:rPr>
          <w:rFonts w:ascii="Arial" w:cs="Arial" w:eastAsia="Arial" w:hAnsi="Arial"/>
          <w:sz w:val="15"/>
          <w:szCs w:val="15"/>
          <w:color w:val="auto"/>
        </w:rPr>
        <w:t>, 2007</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5"/>
          <w:szCs w:val="15"/>
          <w:u w:val="single" w:color="auto"/>
          <w:color w:val="auto"/>
        </w:rPr>
        <w:t>/s/ Rupert H. Johnson,</w:t>
      </w:r>
    </w:p>
    <w:p>
      <w:pPr>
        <w:spacing w:after="0" w:line="1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ind w:left="5940"/>
        <w:spacing w:after="0"/>
        <w:rPr>
          <w:sz w:val="20"/>
          <w:szCs w:val="20"/>
          <w:color w:val="auto"/>
        </w:rPr>
      </w:pPr>
      <w:r>
        <w:rPr>
          <w:rFonts w:ascii="Arial" w:cs="Arial" w:eastAsia="Arial" w:hAnsi="Arial"/>
          <w:sz w:val="15"/>
          <w:szCs w:val="15"/>
          <w:u w:val="single" w:color="auto"/>
          <w:color w:val="auto"/>
        </w:rPr>
        <w:t>Rupert H. Johnson, Jr.</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368935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13 of 14</w:t>
      </w:r>
    </w:p>
    <w:p>
      <w:pPr>
        <w:sectPr>
          <w:pgSz w:w="11900" w:h="16838" w:orient="portrait"/>
          <w:cols w:equalWidth="0" w:num="2">
            <w:col w:w="8060" w:space="720"/>
            <w:col w:w="1099"/>
          </w:cols>
          <w:pgMar w:left="580" w:top="334" w:right="1440" w:bottom="499" w:gutter="0" w:footer="0" w:header="0"/>
        </w:sectPr>
      </w:pPr>
    </w:p>
    <w:bookmarkStart w:id="14" w:name="page15"/>
    <w:bookmarkEnd w:id="14"/>
    <w:p>
      <w:pPr>
        <w:spacing w:after="0"/>
        <w:tabs>
          <w:tab w:leader="none" w:pos="1100" w:val="left"/>
          <w:tab w:leader="none" w:pos="4920" w:val="left"/>
          <w:tab w:leader="none" w:pos="8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14</w:t>
      </w:r>
    </w:p>
    <w:p>
      <w:pPr>
        <w:sectPr>
          <w:pgSz w:w="11900" w:h="16838" w:orient="portrait"/>
          <w:cols w:equalWidth="0" w:num="1">
            <w:col w:w="9879"/>
          </w:cols>
          <w:pgMar w:left="580" w:top="334" w:right="1440"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C</w:t>
      </w:r>
    </w:p>
    <w:p>
      <w:pPr>
        <w:spacing w:after="0" w:line="252" w:lineRule="exact"/>
        <w:rPr>
          <w:sz w:val="20"/>
          <w:szCs w:val="20"/>
          <w:color w:val="auto"/>
        </w:rPr>
      </w:pPr>
    </w:p>
    <w:p>
      <w:pPr>
        <w:jc w:val="right"/>
        <w:ind w:right="2439"/>
        <w:spacing w:after="0"/>
        <w:rPr>
          <w:sz w:val="20"/>
          <w:szCs w:val="20"/>
          <w:color w:val="auto"/>
        </w:rPr>
      </w:pPr>
      <w:r>
        <w:rPr>
          <w:rFonts w:ascii="Arial" w:cs="Arial" w:eastAsia="Arial" w:hAnsi="Arial"/>
          <w:sz w:val="18"/>
          <w:szCs w:val="18"/>
          <w:color w:val="auto"/>
        </w:rPr>
        <w:t>Item 3 Classification: 3(e)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Advisory Services, LLC</w:t>
      </w:r>
    </w:p>
    <w:sectPr>
      <w:pgSz w:w="11900" w:h="16838" w:orient="portrait"/>
      <w:cols w:equalWidth="0" w:num="1">
        <w:col w:w="9879"/>
      </w:cols>
      <w:pgMar w:left="580" w:top="3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abstractNum>
  <w:abstractNum w:abstractNumId="2">
    <w:nsid w:val="4E6AFB66"/>
    <w:multiLevelType w:val="hybridMultilevel"/>
    <w:lvl w:ilvl="0">
      <w:lvlJc w:val="left"/>
      <w:lvlText w:val="%1"/>
      <w:numFmt w:val="decimal"/>
      <w:start w:val="1"/>
    </w:lvl>
    <w:lvl w:ilvl="1">
      <w:lvlJc w:val="left"/>
      <w:lvlText w:val="%2."/>
      <w:numFmt w:val="decimal"/>
      <w:start w:val="5"/>
    </w:lvl>
  </w:abstractNum>
  <w:abstractNum w:abstractNumId="3">
    <w:nsid w:val="25E45D32"/>
    <w:multiLevelType w:val="hybridMultilevel"/>
    <w:lvl w:ilvl="0">
      <w:lvlJc w:val="left"/>
      <w:lvlText w:val="%1."/>
      <w:numFmt w:val="decimal"/>
      <w:start w:val="9"/>
    </w:lvl>
    <w:lvl w:ilvl="1">
      <w:lvlJc w:val="left"/>
      <w:lvlText w:val="%2"/>
      <w:numFmt w:val="decimal"/>
      <w:start w:val="1"/>
    </w:lvl>
  </w:abstractNum>
  <w:abstractNum w:abstractNumId="4">
    <w:nsid w:val="519B500D"/>
    <w:multiLevelType w:val="hybridMultilevel"/>
    <w:lvl w:ilvl="0">
      <w:lvlJc w:val="left"/>
      <w:lvlText w:val="%1."/>
      <w:numFmt w:val="decimal"/>
      <w:start w:val="1"/>
    </w:lvl>
    <w:lvl w:ilvl="1">
      <w:lvlJc w:val="left"/>
      <w:lvlText w:val="(%2)"/>
      <w:numFmt w:val="lowerLetter"/>
      <w:start w:val="1"/>
    </w:lvl>
  </w:abstractNum>
  <w:abstractNum w:abstractNumId="5">
    <w:nsid w:val="431BD7B7"/>
    <w:multiLevelType w:val="hybridMultilevel"/>
    <w:lvl w:ilvl="0">
      <w:lvlJc w:val="left"/>
      <w:lvlText w:val="%1"/>
      <w:numFmt w:val="decimal"/>
      <w:start w:val="1"/>
    </w:lvl>
    <w:lvl w:ilvl="1">
      <w:lvlJc w:val="left"/>
      <w:lvlText w:val="%2."/>
      <w:numFmt w:val="decimal"/>
      <w:start w:val="5"/>
    </w:lvl>
  </w:abstractNum>
  <w:abstractNum w:abstractNumId="6">
    <w:nsid w:val="3F2DBA31"/>
    <w:multiLevelType w:val="hybridMultilevel"/>
    <w:lvl w:ilvl="0">
      <w:lvlJc w:val="left"/>
      <w:lvlText w:val="%1."/>
      <w:numFmt w:val="decimal"/>
      <w:start w:val="9"/>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lowerLetter"/>
      <w:start w:val="1"/>
    </w:lvl>
  </w:abstractNum>
  <w:abstractNum w:abstractNumId="8">
    <w:nsid w:val="257130A3"/>
    <w:multiLevelType w:val="hybridMultilevel"/>
    <w:lvl w:ilvl="0">
      <w:lvlJc w:val="left"/>
      <w:lvlText w:val="%1"/>
      <w:numFmt w:val="decimal"/>
      <w:start w:val="1"/>
    </w:lvl>
    <w:lvl w:ilvl="1">
      <w:lvlJc w:val="left"/>
      <w:lvlText w:val="%2."/>
      <w:numFmt w:val="decimal"/>
      <w:start w:val="5"/>
    </w:lvl>
  </w:abstractNum>
  <w:abstractNum w:abstractNumId="9">
    <w:nsid w:val="62BBD95A"/>
    <w:multiLevelType w:val="hybridMultilevel"/>
    <w:lvl w:ilvl="0">
      <w:lvlJc w:val="left"/>
      <w:lvlText w:val="%1."/>
      <w:numFmt w:val="decimal"/>
      <w:start w:val="9"/>
    </w:lvl>
    <w:lvl w:ilvl="1">
      <w:lvlJc w:val="left"/>
      <w:lvlText w:val="%2"/>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1"/>
    </w:lvl>
    <w:lvl w:ilvl="1">
      <w:lvlJc w:val="left"/>
      <w:lvlText w:val="(%2)"/>
      <w:numFmt w:val="lowerLetter"/>
      <w:start w:val="2"/>
    </w:lvl>
  </w:abstractNum>
  <w:abstractNum w:abstractNumId="13">
    <w:nsid w:val="721DA317"/>
    <w:multiLevelType w:val="hybridMultilevel"/>
    <w:lvl w:ilvl="0">
      <w:lvlJc w:val="left"/>
      <w:lvlText w:val="%1."/>
      <w:numFmt w:val="decimal"/>
      <w:start w:val="3"/>
    </w:lvl>
    <w:lvl w:ilvl="1">
      <w:lvlJc w:val="left"/>
      <w:lvlText w:val="%2"/>
      <w:numFmt w:val="lowerLetter"/>
      <w:start w:val="1"/>
    </w:lvl>
  </w:abstractNum>
  <w:abstractNum w:abstractNumId="14">
    <w:nsid w:val="2443A858"/>
    <w:multiLevelType w:val="hybridMultilevel"/>
    <w:lvl w:ilvl="0">
      <w:lvlJc w:val="left"/>
      <w:lvlText w:val="%1"/>
      <w:numFmt w:val="decimal"/>
      <w:start w:val="1"/>
    </w:lvl>
    <w:lvl w:ilvl="1">
      <w:lvlJc w:val="left"/>
      <w:lvlText w:val="%2."/>
      <w:numFmt w:val="decimal"/>
      <w:start w:val="5"/>
    </w:lvl>
  </w:abstractNum>
  <w:abstractNum w:abstractNumId="15">
    <w:nsid w:val="2D1D5AE9"/>
    <w:multiLevelType w:val="hybridMultilevel"/>
    <w:lvl w:ilvl="0">
      <w:lvlJc w:val="left"/>
      <w:lvlText w:val="%1."/>
      <w:numFmt w:val="decimal"/>
      <w:start w:val="9"/>
    </w:lvl>
    <w:lvl w:ilvl="1">
      <w:lvlJc w:val="left"/>
      <w:lvlText w:val="%2"/>
      <w:numFmt w:val="decimal"/>
      <w:start w:val="1"/>
    </w:lvl>
  </w:abstractNum>
  <w:abstractNum w:abstractNumId="16">
    <w:nsid w:val="6763845E"/>
    <w:multiLevelType w:val="hybridMultilevel"/>
    <w:lvl w:ilvl="0">
      <w:lvlJc w:val="left"/>
      <w:lvlText w:val="%1."/>
      <w:numFmt w:val="decimal"/>
      <w:start w:val="10"/>
    </w:lvl>
  </w:abstractNum>
  <w:abstractNum w:abstractNumId="17">
    <w:nsid w:val="75A2A8D4"/>
    <w:multiLevelType w:val="hybridMultilevel"/>
    <w:lvl w:ilvl="0">
      <w:lvlJc w:val="left"/>
      <w:lvlText w:val="%1."/>
      <w:numFmt w:val="decimal"/>
      <w:start w:val="12"/>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lowerLetter"/>
      <w:start w:val="4"/>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25">
    <w:nsid w:val="2CA88611"/>
    <w:multiLevelType w:val="hybridMultilevel"/>
    <w:lvl w:ilvl="0">
      <w:lvlJc w:val="left"/>
      <w:lvlText w:val="(%1)"/>
      <w:numFmt w:val="lowerRoman"/>
      <w:start w:val="4"/>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2019-12-10T03:38:18Z</dcterms:created>
  <dcterms:modified xsi:type="dcterms:W3CDTF">2019-12-10T03:38:18Z</dcterms:modified>
</cp:coreProperties>
</file>