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_X_</w:t>
      </w:r>
      <w:r>
        <w:rPr>
          <w:sz w:val="20"/>
          <w:szCs w:val="20"/>
          <w:color w:val="auto"/>
        </w:rPr>
        <w:tab/>
      </w:r>
      <w:r>
        <w:rPr>
          <w:rFonts w:ascii="Arial" w:cs="Arial" w:eastAsia="Arial" w:hAnsi="Arial"/>
          <w:sz w:val="16"/>
          <w:szCs w:val="16"/>
          <w:color w:val="auto"/>
        </w:rPr>
        <w:t>QUARTERLY REPORT 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spacing w:after="0"/>
        <w:tabs>
          <w:tab w:leader="none" w:pos="23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6"/>
          <w:szCs w:val="16"/>
          <w:color w:val="auto"/>
        </w:rPr>
        <w:t>May 26,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1388745</wp:posOffset>
            </wp:positionH>
            <wp:positionV relativeFrom="paragraph">
              <wp:posOffset>-13970</wp:posOffset>
            </wp:positionV>
            <wp:extent cx="8451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45185" cy="8890"/>
                    </a:xfrm>
                    <a:prstGeom prst="rect">
                      <a:avLst/>
                    </a:prstGeom>
                    <a:noFill/>
                  </pic:spPr>
                </pic:pic>
              </a:graphicData>
            </a:graphic>
          </wp:anchor>
        </w:drawing>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___</w:t>
      </w:r>
      <w:r>
        <w:rPr>
          <w:sz w:val="20"/>
          <w:szCs w:val="20"/>
          <w:color w:val="auto"/>
        </w:rPr>
        <w:tab/>
      </w:r>
      <w:r>
        <w:rPr>
          <w:rFonts w:ascii="Arial" w:cs="Arial" w:eastAsia="Arial" w:hAnsi="Arial"/>
          <w:sz w:val="18"/>
          <w:szCs w:val="18"/>
          <w:color w:val="auto"/>
        </w:rPr>
        <w:t>TRANSITION REPORT 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from _________________________________ to _______________________________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1-6403</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Pr>
          <w:p>
            <w:pPr>
              <w:jc w:val="center"/>
              <w:ind w:left="3612"/>
              <w:spacing w:after="0"/>
              <w:rPr>
                <w:sz w:val="20"/>
                <w:szCs w:val="20"/>
                <w:color w:val="auto"/>
              </w:rPr>
            </w:pPr>
            <w:r>
              <w:rPr>
                <w:rFonts w:ascii="Arial" w:cs="Arial" w:eastAsia="Arial" w:hAnsi="Arial"/>
                <w:sz w:val="18"/>
                <w:szCs w:val="18"/>
                <w:b w:val="1"/>
                <w:bCs w:val="1"/>
                <w:color w:val="auto"/>
                <w:w w:val="98"/>
              </w:rPr>
              <w:t>WINNEBAGO INDUSTRIES, INC.</w:t>
            </w:r>
          </w:p>
        </w:tc>
        <w:tc>
          <w:tcPr>
            <w:tcW w:w="1500" w:type="dxa"/>
            <w:vAlign w:val="bottom"/>
          </w:tcPr>
          <w:p>
            <w:pPr>
              <w:spacing w:after="0"/>
              <w:rPr>
                <w:sz w:val="19"/>
                <w:szCs w:val="19"/>
                <w:color w:val="auto"/>
              </w:rPr>
            </w:pPr>
          </w:p>
        </w:tc>
      </w:tr>
      <w:tr>
        <w:trPr>
          <w:trHeight w:val="432"/>
        </w:trPr>
        <w:tc>
          <w:tcPr>
            <w:tcW w:w="7720" w:type="dxa"/>
            <w:vAlign w:val="bottom"/>
          </w:tcPr>
          <w:p>
            <w:pPr>
              <w:jc w:val="center"/>
              <w:ind w:left="3612"/>
              <w:spacing w:after="0"/>
              <w:rPr>
                <w:sz w:val="20"/>
                <w:szCs w:val="20"/>
                <w:color w:val="auto"/>
              </w:rPr>
            </w:pPr>
            <w:r>
              <w:rPr>
                <w:rFonts w:ascii="Arial" w:cs="Arial" w:eastAsia="Arial" w:hAnsi="Arial"/>
                <w:sz w:val="18"/>
                <w:szCs w:val="18"/>
                <w:color w:val="auto"/>
                <w:w w:val="88"/>
              </w:rPr>
              <w:t>(Exact name of registrant as specified in its charter)</w:t>
            </w:r>
          </w:p>
        </w:tc>
        <w:tc>
          <w:tcPr>
            <w:tcW w:w="1500" w:type="dxa"/>
            <w:vAlign w:val="bottom"/>
          </w:tcPr>
          <w:p>
            <w:pPr>
              <w:spacing w:after="0"/>
              <w:rPr>
                <w:sz w:val="24"/>
                <w:szCs w:val="24"/>
                <w:color w:val="auto"/>
              </w:rPr>
            </w:pPr>
          </w:p>
        </w:tc>
      </w:tr>
      <w:tr>
        <w:trPr>
          <w:trHeight w:val="426"/>
        </w:trPr>
        <w:tc>
          <w:tcPr>
            <w:tcW w:w="7720" w:type="dxa"/>
            <w:vAlign w:val="bottom"/>
          </w:tcPr>
          <w:p>
            <w:pPr>
              <w:jc w:val="center"/>
              <w:ind w:right="1892"/>
              <w:spacing w:after="0"/>
              <w:rPr>
                <w:sz w:val="20"/>
                <w:szCs w:val="20"/>
                <w:color w:val="auto"/>
              </w:rPr>
            </w:pPr>
            <w:r>
              <w:rPr>
                <w:rFonts w:ascii="Arial" w:cs="Arial" w:eastAsia="Arial" w:hAnsi="Arial"/>
                <w:sz w:val="18"/>
                <w:szCs w:val="18"/>
                <w:color w:val="auto"/>
                <w:w w:val="95"/>
              </w:rPr>
              <w:t>IOWA</w:t>
            </w:r>
          </w:p>
        </w:tc>
        <w:tc>
          <w:tcPr>
            <w:tcW w:w="1500" w:type="dxa"/>
            <w:vAlign w:val="bottom"/>
          </w:tcPr>
          <w:p>
            <w:pPr>
              <w:jc w:val="right"/>
              <w:ind w:right="132"/>
              <w:spacing w:after="0"/>
              <w:rPr>
                <w:sz w:val="20"/>
                <w:szCs w:val="20"/>
                <w:color w:val="auto"/>
              </w:rPr>
            </w:pPr>
            <w:r>
              <w:rPr>
                <w:rFonts w:ascii="Arial" w:cs="Arial" w:eastAsia="Arial" w:hAnsi="Arial"/>
                <w:sz w:val="18"/>
                <w:szCs w:val="18"/>
                <w:color w:val="auto"/>
              </w:rPr>
              <w:t>42-0803978</w:t>
            </w:r>
          </w:p>
        </w:tc>
      </w:tr>
      <w:tr>
        <w:trPr>
          <w:trHeight w:val="216"/>
        </w:trPr>
        <w:tc>
          <w:tcPr>
            <w:tcW w:w="7720" w:type="dxa"/>
            <w:vAlign w:val="bottom"/>
          </w:tcPr>
          <w:p>
            <w:pPr>
              <w:jc w:val="center"/>
              <w:ind w:right="1912"/>
              <w:spacing w:after="0"/>
              <w:rPr>
                <w:sz w:val="20"/>
                <w:szCs w:val="20"/>
                <w:color w:val="auto"/>
              </w:rPr>
            </w:pPr>
            <w:r>
              <w:rPr>
                <w:rFonts w:ascii="Arial" w:cs="Arial" w:eastAsia="Arial" w:hAnsi="Arial"/>
                <w:sz w:val="18"/>
                <w:szCs w:val="18"/>
                <w:color w:val="auto"/>
                <w:w w:val="90"/>
              </w:rPr>
              <w:t>(State or other jurisdiction of</w:t>
            </w:r>
          </w:p>
        </w:tc>
        <w:tc>
          <w:tcPr>
            <w:tcW w:w="1500" w:type="dxa"/>
            <w:vAlign w:val="bottom"/>
          </w:tcPr>
          <w:p>
            <w:pPr>
              <w:jc w:val="center"/>
              <w:ind w:left="132"/>
              <w:spacing w:after="0"/>
              <w:rPr>
                <w:sz w:val="20"/>
                <w:szCs w:val="20"/>
                <w:color w:val="auto"/>
              </w:rPr>
            </w:pPr>
            <w:r>
              <w:rPr>
                <w:rFonts w:ascii="Arial" w:cs="Arial" w:eastAsia="Arial" w:hAnsi="Arial"/>
                <w:sz w:val="18"/>
                <w:szCs w:val="18"/>
                <w:color w:val="auto"/>
                <w:w w:val="90"/>
              </w:rPr>
              <w:t>(I.R.S. Employer</w:t>
            </w:r>
          </w:p>
        </w:tc>
      </w:tr>
      <w:tr>
        <w:trPr>
          <w:trHeight w:val="222"/>
        </w:trPr>
        <w:tc>
          <w:tcPr>
            <w:tcW w:w="7720" w:type="dxa"/>
            <w:vAlign w:val="bottom"/>
          </w:tcPr>
          <w:p>
            <w:pPr>
              <w:jc w:val="center"/>
              <w:ind w:right="1912"/>
              <w:spacing w:after="0"/>
              <w:rPr>
                <w:sz w:val="20"/>
                <w:szCs w:val="20"/>
                <w:color w:val="auto"/>
              </w:rPr>
            </w:pPr>
            <w:r>
              <w:rPr>
                <w:rFonts w:ascii="Arial" w:cs="Arial" w:eastAsia="Arial" w:hAnsi="Arial"/>
                <w:sz w:val="18"/>
                <w:szCs w:val="18"/>
                <w:color w:val="auto"/>
                <w:w w:val="90"/>
              </w:rPr>
              <w:t>incorporation or organization)</w:t>
            </w:r>
          </w:p>
        </w:tc>
        <w:tc>
          <w:tcPr>
            <w:tcW w:w="1500" w:type="dxa"/>
            <w:vAlign w:val="bottom"/>
          </w:tcPr>
          <w:p>
            <w:pPr>
              <w:jc w:val="center"/>
              <w:ind w:left="112"/>
              <w:spacing w:after="0"/>
              <w:rPr>
                <w:sz w:val="20"/>
                <w:szCs w:val="20"/>
                <w:color w:val="auto"/>
              </w:rPr>
            </w:pPr>
            <w:r>
              <w:rPr>
                <w:rFonts w:ascii="Arial" w:cs="Arial" w:eastAsia="Arial" w:hAnsi="Arial"/>
                <w:sz w:val="18"/>
                <w:szCs w:val="18"/>
                <w:color w:val="auto"/>
                <w:w w:val="92"/>
              </w:rPr>
              <w:t>Identification No.)</w:t>
            </w:r>
          </w:p>
        </w:tc>
      </w:tr>
      <w:tr>
        <w:trPr>
          <w:trHeight w:val="453"/>
        </w:trPr>
        <w:tc>
          <w:tcPr>
            <w:tcW w:w="7720" w:type="dxa"/>
            <w:vAlign w:val="bottom"/>
          </w:tcPr>
          <w:p>
            <w:pPr>
              <w:jc w:val="center"/>
              <w:ind w:right="1912"/>
              <w:spacing w:after="0"/>
              <w:rPr>
                <w:sz w:val="20"/>
                <w:szCs w:val="20"/>
                <w:color w:val="auto"/>
              </w:rPr>
            </w:pPr>
            <w:r>
              <w:rPr>
                <w:rFonts w:ascii="Arial" w:cs="Arial" w:eastAsia="Arial" w:hAnsi="Arial"/>
                <w:sz w:val="18"/>
                <w:szCs w:val="18"/>
                <w:color w:val="auto"/>
                <w:w w:val="88"/>
              </w:rPr>
              <w:t>P.O. Box 152, Forest City, Iowa</w:t>
            </w:r>
          </w:p>
        </w:tc>
        <w:tc>
          <w:tcPr>
            <w:tcW w:w="1500" w:type="dxa"/>
            <w:vAlign w:val="bottom"/>
          </w:tcPr>
          <w:p>
            <w:pPr>
              <w:jc w:val="right"/>
              <w:ind w:right="352"/>
              <w:spacing w:after="0"/>
              <w:rPr>
                <w:sz w:val="20"/>
                <w:szCs w:val="20"/>
                <w:color w:val="auto"/>
              </w:rPr>
            </w:pPr>
            <w:r>
              <w:rPr>
                <w:rFonts w:ascii="Arial" w:cs="Arial" w:eastAsia="Arial" w:hAnsi="Arial"/>
                <w:sz w:val="18"/>
                <w:szCs w:val="18"/>
                <w:color w:val="auto"/>
              </w:rPr>
              <w:t>50436</w:t>
            </w:r>
          </w:p>
        </w:tc>
      </w:tr>
      <w:tr>
        <w:trPr>
          <w:trHeight w:val="222"/>
        </w:trPr>
        <w:tc>
          <w:tcPr>
            <w:tcW w:w="7720" w:type="dxa"/>
            <w:vAlign w:val="bottom"/>
          </w:tcPr>
          <w:p>
            <w:pPr>
              <w:jc w:val="center"/>
              <w:ind w:right="1892"/>
              <w:spacing w:after="0"/>
              <w:rPr>
                <w:sz w:val="20"/>
                <w:szCs w:val="20"/>
                <w:color w:val="auto"/>
              </w:rPr>
            </w:pPr>
            <w:r>
              <w:rPr>
                <w:rFonts w:ascii="Arial" w:cs="Arial" w:eastAsia="Arial" w:hAnsi="Arial"/>
                <w:sz w:val="18"/>
                <w:szCs w:val="18"/>
                <w:color w:val="auto"/>
                <w:w w:val="90"/>
              </w:rPr>
              <w:t>(Address of principal executive offices)</w:t>
            </w:r>
          </w:p>
        </w:tc>
        <w:tc>
          <w:tcPr>
            <w:tcW w:w="1500" w:type="dxa"/>
            <w:vAlign w:val="bottom"/>
          </w:tcPr>
          <w:p>
            <w:pPr>
              <w:jc w:val="center"/>
              <w:ind w:left="112"/>
              <w:spacing w:after="0"/>
              <w:rPr>
                <w:sz w:val="20"/>
                <w:szCs w:val="20"/>
                <w:color w:val="auto"/>
              </w:rPr>
            </w:pPr>
            <w:r>
              <w:rPr>
                <w:rFonts w:ascii="Arial" w:cs="Arial" w:eastAsia="Arial" w:hAnsi="Arial"/>
                <w:sz w:val="18"/>
                <w:szCs w:val="18"/>
                <w:color w:val="auto"/>
                <w:w w:val="91"/>
              </w:rPr>
              <w:t>(Zip Code)</w:t>
            </w:r>
          </w:p>
        </w:tc>
      </w:tr>
      <w:tr>
        <w:trPr>
          <w:trHeight w:val="432"/>
        </w:trPr>
        <w:tc>
          <w:tcPr>
            <w:tcW w:w="7720" w:type="dxa"/>
            <w:vAlign w:val="bottom"/>
          </w:tcPr>
          <w:p>
            <w:pPr>
              <w:spacing w:after="0"/>
              <w:rPr>
                <w:sz w:val="20"/>
                <w:szCs w:val="20"/>
                <w:color w:val="auto"/>
              </w:rPr>
            </w:pPr>
            <w:r>
              <w:rPr>
                <w:rFonts w:ascii="Arial" w:cs="Arial" w:eastAsia="Arial" w:hAnsi="Arial"/>
                <w:sz w:val="18"/>
                <w:szCs w:val="18"/>
                <w:color w:val="auto"/>
              </w:rPr>
              <w:t>Registrant’s telephone number, including area code: (641) 585-3535</w:t>
            </w:r>
          </w:p>
        </w:tc>
        <w:tc>
          <w:tcPr>
            <w:tcW w:w="1500" w:type="dxa"/>
            <w:vAlign w:val="bottom"/>
          </w:tcPr>
          <w:p>
            <w:pPr>
              <w:spacing w:after="0"/>
              <w:rPr>
                <w:sz w:val="24"/>
                <w:szCs w:val="24"/>
                <w:color w:val="auto"/>
              </w:rPr>
            </w:pPr>
          </w:p>
        </w:tc>
      </w:tr>
    </w:tbl>
    <w:p>
      <w:pPr>
        <w:spacing w:after="0" w:line="210" w:lineRule="exact"/>
        <w:rPr>
          <w:sz w:val="24"/>
          <w:szCs w:val="24"/>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 ___.</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There were 20,735,006 shares of $.50 par value common stock outstanding on July 9, 2001.</w:t>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INDEX TO REPORT ON FORM 10-Q</w:t>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920" w:type="dxa"/>
            <w:vAlign w:val="bottom"/>
            <w:gridSpan w:val="3"/>
          </w:tcPr>
          <w:p>
            <w:pPr>
              <w:ind w:left="1960"/>
              <w:spacing w:after="0"/>
              <w:rPr>
                <w:sz w:val="20"/>
                <w:szCs w:val="20"/>
                <w:color w:val="auto"/>
              </w:rPr>
            </w:pPr>
            <w:r>
              <w:rPr>
                <w:rFonts w:ascii="Arial" w:cs="Arial" w:eastAsia="Arial" w:hAnsi="Arial"/>
                <w:sz w:val="18"/>
                <w:szCs w:val="18"/>
                <w:color w:val="auto"/>
                <w:w w:val="84"/>
              </w:rPr>
              <w:t>Page Number</w:t>
            </w:r>
          </w:p>
        </w:tc>
      </w:tr>
      <w:tr>
        <w:trPr>
          <w:trHeight w:val="478"/>
        </w:trPr>
        <w:tc>
          <w:tcPr>
            <w:tcW w:w="900" w:type="dxa"/>
            <w:vAlign w:val="bottom"/>
          </w:tcPr>
          <w:p>
            <w:pPr>
              <w:spacing w:after="0"/>
              <w:rPr>
                <w:sz w:val="20"/>
                <w:szCs w:val="20"/>
                <w:color w:val="auto"/>
              </w:rPr>
            </w:pPr>
            <w:r>
              <w:rPr>
                <w:rFonts w:ascii="Arial" w:cs="Arial" w:eastAsia="Arial" w:hAnsi="Arial"/>
                <w:sz w:val="18"/>
                <w:szCs w:val="18"/>
                <w:color w:val="auto"/>
              </w:rPr>
              <w:t>PART I.</w:t>
            </w:r>
          </w:p>
        </w:tc>
        <w:tc>
          <w:tcPr>
            <w:tcW w:w="7520" w:type="dxa"/>
            <w:vAlign w:val="bottom"/>
          </w:tcPr>
          <w:p>
            <w:pPr>
              <w:ind w:left="260"/>
              <w:spacing w:after="0"/>
              <w:rPr>
                <w:sz w:val="20"/>
                <w:szCs w:val="20"/>
                <w:color w:val="auto"/>
              </w:rPr>
            </w:pPr>
            <w:r>
              <w:rPr>
                <w:rFonts w:ascii="Arial" w:cs="Arial" w:eastAsia="Arial" w:hAnsi="Arial"/>
                <w:sz w:val="18"/>
                <w:szCs w:val="18"/>
                <w:color w:val="auto"/>
              </w:rPr>
              <w:t>FINANCIAL INFORMATION:</w:t>
            </w:r>
          </w:p>
        </w:tc>
        <w:tc>
          <w:tcPr>
            <w:tcW w:w="19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7520" w:type="dxa"/>
            <w:vAlign w:val="bottom"/>
          </w:tcPr>
          <w:p>
            <w:pPr>
              <w:ind w:left="260"/>
              <w:spacing w:after="0"/>
              <w:rPr>
                <w:sz w:val="20"/>
                <w:szCs w:val="20"/>
                <w:color w:val="auto"/>
              </w:rPr>
            </w:pPr>
            <w:r>
              <w:rPr>
                <w:rFonts w:ascii="Arial" w:cs="Arial" w:eastAsia="Arial" w:hAnsi="Arial"/>
                <w:sz w:val="18"/>
                <w:szCs w:val="18"/>
                <w:color w:val="auto"/>
              </w:rPr>
              <w:t>Consolidated Balance Sheets (Interim period information unaudited)</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580" w:type="dxa"/>
            <w:vAlign w:val="bottom"/>
          </w:tcPr>
          <w:p>
            <w:pPr>
              <w:ind w:left="20"/>
              <w:spacing w:after="0"/>
              <w:rPr>
                <w:sz w:val="20"/>
                <w:szCs w:val="20"/>
                <w:color w:val="auto"/>
              </w:rPr>
            </w:pPr>
            <w:r>
              <w:rPr>
                <w:rFonts w:ascii="Arial" w:cs="Arial" w:eastAsia="Arial" w:hAnsi="Arial"/>
                <w:sz w:val="18"/>
                <w:szCs w:val="18"/>
                <w:color w:val="auto"/>
              </w:rPr>
              <w:t>&amp; 2</w:t>
            </w:r>
          </w:p>
        </w:tc>
      </w:tr>
      <w:tr>
        <w:trPr>
          <w:trHeight w:val="459"/>
        </w:trPr>
        <w:tc>
          <w:tcPr>
            <w:tcW w:w="900" w:type="dxa"/>
            <w:vAlign w:val="bottom"/>
          </w:tcPr>
          <w:p>
            <w:pPr>
              <w:spacing w:after="0"/>
              <w:rPr>
                <w:sz w:val="24"/>
                <w:szCs w:val="24"/>
                <w:color w:val="auto"/>
              </w:rPr>
            </w:pPr>
          </w:p>
        </w:tc>
        <w:tc>
          <w:tcPr>
            <w:tcW w:w="7520" w:type="dxa"/>
            <w:vAlign w:val="bottom"/>
          </w:tcPr>
          <w:p>
            <w:pPr>
              <w:ind w:left="260"/>
              <w:spacing w:after="0"/>
              <w:rPr>
                <w:sz w:val="20"/>
                <w:szCs w:val="20"/>
                <w:color w:val="auto"/>
              </w:rPr>
            </w:pPr>
            <w:r>
              <w:rPr>
                <w:rFonts w:ascii="Arial" w:cs="Arial" w:eastAsia="Arial" w:hAnsi="Arial"/>
                <w:sz w:val="18"/>
                <w:szCs w:val="18"/>
                <w:color w:val="auto"/>
              </w:rPr>
              <w:t>Unaudited Consolidated Statements of Income</w:t>
            </w: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center"/>
              <w:ind w:right="312"/>
              <w:spacing w:after="0"/>
              <w:rPr>
                <w:sz w:val="20"/>
                <w:szCs w:val="20"/>
                <w:color w:val="auto"/>
              </w:rPr>
            </w:pPr>
            <w:r>
              <w:rPr>
                <w:rFonts w:ascii="Arial" w:cs="Arial" w:eastAsia="Arial" w:hAnsi="Arial"/>
                <w:sz w:val="18"/>
                <w:szCs w:val="18"/>
                <w:color w:val="auto"/>
                <w:w w:val="99"/>
              </w:rPr>
              <w:t>3</w:t>
            </w:r>
          </w:p>
        </w:tc>
      </w:tr>
      <w:tr>
        <w:trPr>
          <w:trHeight w:val="459"/>
        </w:trPr>
        <w:tc>
          <w:tcPr>
            <w:tcW w:w="900" w:type="dxa"/>
            <w:vAlign w:val="bottom"/>
          </w:tcPr>
          <w:p>
            <w:pPr>
              <w:spacing w:after="0"/>
              <w:rPr>
                <w:sz w:val="24"/>
                <w:szCs w:val="24"/>
                <w:color w:val="auto"/>
              </w:rPr>
            </w:pPr>
          </w:p>
        </w:tc>
        <w:tc>
          <w:tcPr>
            <w:tcW w:w="7520" w:type="dxa"/>
            <w:vAlign w:val="bottom"/>
          </w:tcPr>
          <w:p>
            <w:pPr>
              <w:ind w:left="260"/>
              <w:spacing w:after="0"/>
              <w:rPr>
                <w:sz w:val="20"/>
                <w:szCs w:val="20"/>
                <w:color w:val="auto"/>
              </w:rPr>
            </w:pPr>
            <w:r>
              <w:rPr>
                <w:rFonts w:ascii="Arial" w:cs="Arial" w:eastAsia="Arial" w:hAnsi="Arial"/>
                <w:sz w:val="18"/>
                <w:szCs w:val="18"/>
                <w:color w:val="auto"/>
              </w:rPr>
              <w:t>Unaudited Consolidated Condensed Statements of Cash Flows</w:t>
            </w: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jc w:val="center"/>
              <w:ind w:right="312"/>
              <w:spacing w:after="0"/>
              <w:rPr>
                <w:sz w:val="20"/>
                <w:szCs w:val="20"/>
                <w:color w:val="auto"/>
              </w:rPr>
            </w:pPr>
            <w:r>
              <w:rPr>
                <w:rFonts w:ascii="Arial" w:cs="Arial" w:eastAsia="Arial" w:hAnsi="Arial"/>
                <w:sz w:val="18"/>
                <w:szCs w:val="18"/>
                <w:color w:val="auto"/>
                <w:w w:val="99"/>
              </w:rPr>
              <w:t>4</w:t>
            </w:r>
          </w:p>
        </w:tc>
      </w:tr>
      <w:tr>
        <w:trPr>
          <w:trHeight w:val="459"/>
        </w:trPr>
        <w:tc>
          <w:tcPr>
            <w:tcW w:w="900" w:type="dxa"/>
            <w:vAlign w:val="bottom"/>
          </w:tcPr>
          <w:p>
            <w:pPr>
              <w:spacing w:after="0"/>
              <w:rPr>
                <w:sz w:val="24"/>
                <w:szCs w:val="24"/>
                <w:color w:val="auto"/>
              </w:rPr>
            </w:pPr>
          </w:p>
        </w:tc>
        <w:tc>
          <w:tcPr>
            <w:tcW w:w="7520" w:type="dxa"/>
            <w:vAlign w:val="bottom"/>
          </w:tcPr>
          <w:p>
            <w:pPr>
              <w:ind w:left="260"/>
              <w:spacing w:after="0"/>
              <w:rPr>
                <w:sz w:val="20"/>
                <w:szCs w:val="20"/>
                <w:color w:val="auto"/>
              </w:rPr>
            </w:pPr>
            <w:r>
              <w:rPr>
                <w:rFonts w:ascii="Arial" w:cs="Arial" w:eastAsia="Arial" w:hAnsi="Arial"/>
                <w:sz w:val="18"/>
                <w:szCs w:val="18"/>
                <w:color w:val="auto"/>
              </w:rPr>
              <w:t>Unaudited Condensed Notes to Consolidated Financial Statements</w:t>
            </w:r>
          </w:p>
        </w:tc>
        <w:tc>
          <w:tcPr>
            <w:tcW w:w="2920" w:type="dxa"/>
            <w:vAlign w:val="bottom"/>
            <w:gridSpan w:val="3"/>
          </w:tcPr>
          <w:p>
            <w:pPr>
              <w:jc w:val="center"/>
              <w:ind w:left="1872"/>
              <w:spacing w:after="0"/>
              <w:rPr>
                <w:sz w:val="20"/>
                <w:szCs w:val="20"/>
                <w:color w:val="auto"/>
              </w:rPr>
            </w:pPr>
            <w:r>
              <w:rPr>
                <w:rFonts w:ascii="Arial" w:cs="Arial" w:eastAsia="Arial" w:hAnsi="Arial"/>
                <w:sz w:val="18"/>
                <w:szCs w:val="18"/>
                <w:color w:val="auto"/>
                <w:w w:val="88"/>
              </w:rPr>
              <w:t>5 - 7</w:t>
            </w:r>
          </w:p>
        </w:tc>
      </w:tr>
      <w:tr>
        <w:trPr>
          <w:trHeight w:val="453"/>
        </w:trPr>
        <w:tc>
          <w:tcPr>
            <w:tcW w:w="900" w:type="dxa"/>
            <w:vAlign w:val="bottom"/>
          </w:tcPr>
          <w:p>
            <w:pPr>
              <w:spacing w:after="0"/>
              <w:rPr>
                <w:sz w:val="24"/>
                <w:szCs w:val="24"/>
                <w:color w:val="auto"/>
              </w:rPr>
            </w:pPr>
          </w:p>
        </w:tc>
        <w:tc>
          <w:tcPr>
            <w:tcW w:w="752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580" w:type="dxa"/>
            <w:vAlign w:val="bottom"/>
          </w:tcPr>
          <w:p>
            <w:pPr>
              <w:ind w:left="20"/>
              <w:spacing w:after="0"/>
              <w:rPr>
                <w:sz w:val="20"/>
                <w:szCs w:val="20"/>
                <w:color w:val="auto"/>
              </w:rPr>
            </w:pPr>
            <w:r>
              <w:rPr>
                <w:rFonts w:ascii="Arial" w:cs="Arial" w:eastAsia="Arial" w:hAnsi="Arial"/>
                <w:sz w:val="18"/>
                <w:szCs w:val="18"/>
                <w:color w:val="auto"/>
              </w:rPr>
              <w:t>- 11</w:t>
            </w:r>
          </w:p>
        </w:tc>
      </w:tr>
      <w:tr>
        <w:trPr>
          <w:trHeight w:val="222"/>
        </w:trPr>
        <w:tc>
          <w:tcPr>
            <w:tcW w:w="900" w:type="dxa"/>
            <w:vAlign w:val="bottom"/>
          </w:tcPr>
          <w:p>
            <w:pPr>
              <w:spacing w:after="0"/>
              <w:rPr>
                <w:sz w:val="19"/>
                <w:szCs w:val="19"/>
                <w:color w:val="auto"/>
              </w:rPr>
            </w:pPr>
          </w:p>
        </w:tc>
        <w:tc>
          <w:tcPr>
            <w:tcW w:w="7520" w:type="dxa"/>
            <w:vAlign w:val="bottom"/>
          </w:tcPr>
          <w:p>
            <w:pPr>
              <w:ind w:left="440"/>
              <w:spacing w:after="0"/>
              <w:rPr>
                <w:sz w:val="20"/>
                <w:szCs w:val="20"/>
                <w:color w:val="auto"/>
              </w:rPr>
            </w:pPr>
            <w:r>
              <w:rPr>
                <w:rFonts w:ascii="Arial" w:cs="Arial" w:eastAsia="Arial" w:hAnsi="Arial"/>
                <w:sz w:val="18"/>
                <w:szCs w:val="18"/>
                <w:color w:val="auto"/>
              </w:rPr>
              <w:t>of Operations</w:t>
            </w:r>
          </w:p>
        </w:tc>
        <w:tc>
          <w:tcPr>
            <w:tcW w:w="1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PART II.</w:t>
            </w:r>
          </w:p>
        </w:tc>
        <w:tc>
          <w:tcPr>
            <w:tcW w:w="7520" w:type="dxa"/>
            <w:vAlign w:val="bottom"/>
          </w:tcPr>
          <w:p>
            <w:pPr>
              <w:ind w:left="260"/>
              <w:spacing w:after="0"/>
              <w:rPr>
                <w:sz w:val="20"/>
                <w:szCs w:val="20"/>
                <w:color w:val="auto"/>
              </w:rPr>
            </w:pPr>
            <w:r>
              <w:rPr>
                <w:rFonts w:ascii="Arial" w:cs="Arial" w:eastAsia="Arial" w:hAnsi="Arial"/>
                <w:sz w:val="18"/>
                <w:szCs w:val="18"/>
                <w:color w:val="auto"/>
              </w:rPr>
              <w:t>OTHER INFORMATION</w:t>
            </w:r>
          </w:p>
        </w:tc>
        <w:tc>
          <w:tcPr>
            <w:tcW w:w="23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580" w:type="dxa"/>
            <w:vAlign w:val="bottom"/>
          </w:tcPr>
          <w:p>
            <w:pPr>
              <w:ind w:left="20"/>
              <w:spacing w:after="0"/>
              <w:rPr>
                <w:sz w:val="20"/>
                <w:szCs w:val="20"/>
                <w:color w:val="auto"/>
              </w:rPr>
            </w:pPr>
            <w:r>
              <w:rPr>
                <w:rFonts w:ascii="Arial" w:cs="Arial" w:eastAsia="Arial" w:hAnsi="Arial"/>
                <w:sz w:val="18"/>
                <w:szCs w:val="18"/>
                <w:color w:val="auto"/>
              </w:rPr>
              <w:t>&amp; 13</w:t>
            </w:r>
          </w:p>
        </w:tc>
      </w:tr>
    </w:tbl>
    <w:p>
      <w:pPr>
        <w:spacing w:after="0" w:line="200" w:lineRule="exact"/>
        <w:rPr>
          <w:sz w:val="24"/>
          <w:szCs w:val="24"/>
          <w:color w:val="auto"/>
        </w:rPr>
      </w:pPr>
    </w:p>
    <w:p>
      <w:pPr>
        <w:sectPr>
          <w:pgSz w:w="11900" w:h="16886" w:orient="portrait"/>
          <w:cols w:equalWidth="0" w:num="1">
            <w:col w:w="11340"/>
          </w:cols>
          <w:pgMar w:left="240" w:top="239" w:right="31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Item 1.</w:t>
      </w:r>
    </w:p>
    <w:p>
      <w:pPr>
        <w:sectPr>
          <w:pgSz w:w="11900" w:h="16886" w:orient="portrait"/>
          <w:cols w:equalWidth="0" w:num="1">
            <w:col w:w="11340"/>
          </w:cols>
          <w:pgMar w:left="240" w:top="239" w:right="319" w:bottom="0" w:gutter="0" w:footer="0" w:header="0"/>
          <w:type w:val="continuous"/>
        </w:sectPr>
      </w:pPr>
    </w:p>
    <w:bookmarkStart w:id="1" w:name="page2"/>
    <w:bookmarkEnd w:id="1"/>
    <w:p>
      <w:pPr>
        <w:jc w:val="center"/>
        <w:ind w:right="-120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5"/>
              </w:rPr>
              <w:t>May 26,</w:t>
            </w:r>
          </w:p>
        </w:tc>
        <w:tc>
          <w:tcPr>
            <w:tcW w:w="2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August 26,</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660" w:type="dxa"/>
            <w:vAlign w:val="bottom"/>
          </w:tcPr>
          <w:p>
            <w:pPr>
              <w:spacing w:after="0" w:line="190" w:lineRule="exact"/>
              <w:rPr>
                <w:sz w:val="20"/>
                <w:szCs w:val="20"/>
                <w:color w:val="auto"/>
              </w:rPr>
            </w:pPr>
            <w:r>
              <w:rPr>
                <w:rFonts w:ascii="Arial" w:cs="Arial" w:eastAsia="Arial" w:hAnsi="Arial"/>
                <w:sz w:val="18"/>
                <w:szCs w:val="18"/>
                <w:b w:val="1"/>
                <w:bCs w:val="1"/>
                <w:color w:val="auto"/>
                <w:w w:val="88"/>
              </w:rPr>
              <w:t>ASSETS</w:t>
            </w:r>
          </w:p>
        </w:tc>
        <w:tc>
          <w:tcPr>
            <w:tcW w:w="2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gridSpan w:val="3"/>
          </w:tcPr>
          <w:p>
            <w:pPr>
              <w:jc w:val="center"/>
              <w:ind w:right="40"/>
              <w:spacing w:after="0" w:line="190" w:lineRule="exact"/>
              <w:rPr>
                <w:sz w:val="20"/>
                <w:szCs w:val="20"/>
                <w:color w:val="auto"/>
              </w:rPr>
            </w:pPr>
            <w:r>
              <w:rPr>
                <w:rFonts w:ascii="Arial" w:cs="Arial" w:eastAsia="Arial" w:hAnsi="Arial"/>
                <w:sz w:val="18"/>
                <w:szCs w:val="18"/>
                <w:b w:val="1"/>
                <w:bCs w:val="1"/>
                <w:color w:val="auto"/>
                <w:w w:val="84"/>
              </w:rPr>
              <w:t>2001</w:t>
            </w:r>
          </w:p>
        </w:tc>
        <w:tc>
          <w:tcPr>
            <w:tcW w:w="220" w:type="dxa"/>
            <w:vAlign w:val="bottom"/>
          </w:tcPr>
          <w:p>
            <w:pPr>
              <w:spacing w:after="0"/>
              <w:rPr>
                <w:sz w:val="16"/>
                <w:szCs w:val="16"/>
                <w:color w:val="auto"/>
              </w:rPr>
            </w:pPr>
          </w:p>
        </w:tc>
        <w:tc>
          <w:tcPr>
            <w:tcW w:w="1020" w:type="dxa"/>
            <w:vAlign w:val="bottom"/>
            <w:gridSpan w:val="3"/>
          </w:tcPr>
          <w:p>
            <w:pPr>
              <w:jc w:val="right"/>
              <w:ind w:right="400"/>
              <w:spacing w:after="0" w:line="190" w:lineRule="exact"/>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54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660" w:type="dxa"/>
            <w:vAlign w:val="bottom"/>
            <w:vMerge w:val="restart"/>
          </w:tcPr>
          <w:p>
            <w:pPr>
              <w:spacing w:after="0"/>
              <w:rPr>
                <w:sz w:val="20"/>
                <w:szCs w:val="20"/>
                <w:color w:val="auto"/>
              </w:rPr>
            </w:pPr>
          </w:p>
        </w:tc>
        <w:tc>
          <w:tcPr>
            <w:tcW w:w="2120" w:type="dxa"/>
            <w:vAlign w:val="bottom"/>
            <w:vMerge w:val="restart"/>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5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93,182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51,443</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Receivables, less allowance for doubtful</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ind w:left="140"/>
              <w:spacing w:after="0"/>
              <w:rPr>
                <w:sz w:val="20"/>
                <w:szCs w:val="20"/>
                <w:color w:val="auto"/>
              </w:rPr>
            </w:pPr>
            <w:r>
              <w:rPr>
                <w:rFonts w:ascii="Arial" w:cs="Arial" w:eastAsia="Arial" w:hAnsi="Arial"/>
                <w:sz w:val="18"/>
                <w:szCs w:val="18"/>
                <w:color w:val="auto"/>
              </w:rPr>
              <w:t>accounts ($1,159 and $1,168, respectively)</w:t>
            </w:r>
          </w:p>
        </w:tc>
        <w:tc>
          <w:tcPr>
            <w:tcW w:w="5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21,622</w:t>
            </w:r>
          </w:p>
        </w:tc>
        <w:tc>
          <w:tcPr>
            <w:tcW w:w="2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32,045</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Dealer financing receivables, less allowance</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ind w:left="140"/>
              <w:spacing w:after="0"/>
              <w:rPr>
                <w:sz w:val="20"/>
                <w:szCs w:val="20"/>
                <w:color w:val="auto"/>
              </w:rPr>
            </w:pPr>
            <w:r>
              <w:rPr>
                <w:rFonts w:ascii="Arial" w:cs="Arial" w:eastAsia="Arial" w:hAnsi="Arial"/>
                <w:sz w:val="18"/>
                <w:szCs w:val="18"/>
                <w:color w:val="auto"/>
              </w:rPr>
              <w:t>for doubtful accounts ($33 and $27, respectively)</w:t>
            </w:r>
          </w:p>
        </w:tc>
        <w:tc>
          <w:tcPr>
            <w:tcW w:w="5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36,698</w:t>
            </w:r>
          </w:p>
        </w:tc>
        <w:tc>
          <w:tcPr>
            <w:tcW w:w="2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32,696</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75,438</w:t>
            </w:r>
          </w:p>
        </w:tc>
        <w:tc>
          <w:tcPr>
            <w:tcW w:w="2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85,707</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3,916</w:t>
            </w:r>
          </w:p>
        </w:tc>
        <w:tc>
          <w:tcPr>
            <w:tcW w:w="2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22"/>
        </w:trPr>
        <w:tc>
          <w:tcPr>
            <w:tcW w:w="532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7,675</w:t>
            </w:r>
          </w:p>
        </w:tc>
        <w:tc>
          <w:tcPr>
            <w:tcW w:w="2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320" w:type="dxa"/>
            <w:vAlign w:val="bottom"/>
            <w:gridSpan w:val="3"/>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238,531</w:t>
            </w:r>
          </w:p>
        </w:tc>
        <w:tc>
          <w:tcPr>
            <w:tcW w:w="2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213,518</w:t>
            </w: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5320" w:type="dxa"/>
            <w:vAlign w:val="bottom"/>
            <w:gridSpan w:val="3"/>
          </w:tcPr>
          <w:p>
            <w:pPr>
              <w:spacing w:after="0"/>
              <w:rPr>
                <w:sz w:val="20"/>
                <w:szCs w:val="20"/>
                <w:color w:val="auto"/>
              </w:rPr>
            </w:pPr>
            <w:r>
              <w:rPr>
                <w:rFonts w:ascii="Arial" w:cs="Arial" w:eastAsia="Arial" w:hAnsi="Arial"/>
                <w:sz w:val="18"/>
                <w:szCs w:val="18"/>
                <w:color w:val="auto"/>
              </w:rPr>
              <w:t>PROPERTY AND EQUIPMENT, at cost</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Land</w:t>
            </w:r>
          </w:p>
        </w:tc>
        <w:tc>
          <w:tcPr>
            <w:tcW w:w="5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5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45,545</w:t>
            </w:r>
          </w:p>
        </w:tc>
        <w:tc>
          <w:tcPr>
            <w:tcW w:w="2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45,219</w:t>
            </w:r>
          </w:p>
        </w:tc>
        <w:tc>
          <w:tcPr>
            <w:tcW w:w="0" w:type="dxa"/>
            <w:vAlign w:val="bottom"/>
          </w:tcPr>
          <w:p>
            <w:pPr>
              <w:spacing w:after="0"/>
              <w:rPr>
                <w:sz w:val="1"/>
                <w:szCs w:val="1"/>
                <w:color w:val="auto"/>
              </w:rPr>
            </w:pPr>
          </w:p>
        </w:tc>
      </w:tr>
      <w:tr>
        <w:trPr>
          <w:trHeight w:val="216"/>
        </w:trPr>
        <w:tc>
          <w:tcPr>
            <w:tcW w:w="5320" w:type="dxa"/>
            <w:vAlign w:val="bottom"/>
            <w:gridSpan w:val="3"/>
          </w:tcPr>
          <w:p>
            <w:pPr>
              <w:spacing w:after="0"/>
              <w:rPr>
                <w:sz w:val="20"/>
                <w:szCs w:val="20"/>
                <w:color w:val="auto"/>
              </w:rPr>
            </w:pPr>
            <w:r>
              <w:rPr>
                <w:rFonts w:ascii="Arial" w:cs="Arial" w:eastAsia="Arial" w:hAnsi="Arial"/>
                <w:sz w:val="18"/>
                <w:szCs w:val="18"/>
                <w:color w:val="auto"/>
              </w:rPr>
              <w:t>Machinery and equipment</w:t>
            </w:r>
          </w:p>
        </w:tc>
        <w:tc>
          <w:tcPr>
            <w:tcW w:w="54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82,321</w:t>
            </w:r>
          </w:p>
        </w:tc>
        <w:tc>
          <w:tcPr>
            <w:tcW w:w="22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78,099</w:t>
            </w:r>
          </w:p>
        </w:tc>
        <w:tc>
          <w:tcPr>
            <w:tcW w:w="0" w:type="dxa"/>
            <w:vAlign w:val="bottom"/>
          </w:tcPr>
          <w:p>
            <w:pPr>
              <w:spacing w:after="0"/>
              <w:rPr>
                <w:sz w:val="1"/>
                <w:szCs w:val="1"/>
                <w:color w:val="auto"/>
              </w:rPr>
            </w:pPr>
          </w:p>
        </w:tc>
      </w:tr>
      <w:tr>
        <w:trPr>
          <w:trHeight w:val="222"/>
        </w:trPr>
        <w:tc>
          <w:tcPr>
            <w:tcW w:w="5320" w:type="dxa"/>
            <w:vAlign w:val="bottom"/>
            <w:gridSpan w:val="3"/>
          </w:tcPr>
          <w:p>
            <w:pPr>
              <w:spacing w:after="0"/>
              <w:rPr>
                <w:sz w:val="20"/>
                <w:szCs w:val="20"/>
                <w:color w:val="auto"/>
              </w:rPr>
            </w:pPr>
            <w:r>
              <w:rPr>
                <w:rFonts w:ascii="Arial" w:cs="Arial" w:eastAsia="Arial" w:hAnsi="Arial"/>
                <w:sz w:val="18"/>
                <w:szCs w:val="18"/>
                <w:color w:val="auto"/>
              </w:rPr>
              <w:t>Transportation equipment</w:t>
            </w:r>
          </w:p>
        </w:tc>
        <w:tc>
          <w:tcPr>
            <w:tcW w:w="5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5,442</w:t>
            </w:r>
          </w:p>
        </w:tc>
        <w:tc>
          <w:tcPr>
            <w:tcW w:w="2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5,414</w:t>
            </w: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134,337</w:t>
            </w:r>
          </w:p>
        </w:tc>
        <w:tc>
          <w:tcPr>
            <w:tcW w:w="2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129,870</w:t>
            </w:r>
          </w:p>
        </w:tc>
        <w:tc>
          <w:tcPr>
            <w:tcW w:w="0" w:type="dxa"/>
            <w:vAlign w:val="bottom"/>
          </w:tcPr>
          <w:p>
            <w:pPr>
              <w:spacing w:after="0"/>
              <w:rPr>
                <w:sz w:val="1"/>
                <w:szCs w:val="1"/>
                <w:color w:val="auto"/>
              </w:rPr>
            </w:pPr>
          </w:p>
        </w:tc>
      </w:tr>
      <w:tr>
        <w:trPr>
          <w:trHeight w:val="222"/>
        </w:trPr>
        <w:tc>
          <w:tcPr>
            <w:tcW w:w="5320" w:type="dxa"/>
            <w:vAlign w:val="bottom"/>
            <w:gridSpan w:val="3"/>
          </w:tcPr>
          <w:p>
            <w:pPr>
              <w:ind w:left="220"/>
              <w:spacing w:after="0"/>
              <w:rPr>
                <w:sz w:val="20"/>
                <w:szCs w:val="20"/>
                <w:color w:val="auto"/>
              </w:rPr>
            </w:pPr>
            <w:r>
              <w:rPr>
                <w:rFonts w:ascii="Arial" w:cs="Arial" w:eastAsia="Arial" w:hAnsi="Arial"/>
                <w:sz w:val="18"/>
                <w:szCs w:val="18"/>
                <w:color w:val="auto"/>
              </w:rPr>
              <w:t>Less accumulated depreciation</w:t>
            </w:r>
          </w:p>
        </w:tc>
        <w:tc>
          <w:tcPr>
            <w:tcW w:w="54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88,249</w:t>
            </w:r>
          </w:p>
        </w:tc>
        <w:tc>
          <w:tcPr>
            <w:tcW w:w="2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84,415</w:t>
            </w: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320" w:type="dxa"/>
            <w:vAlign w:val="bottom"/>
            <w:gridSpan w:val="3"/>
          </w:tcPr>
          <w:p>
            <w:pPr>
              <w:ind w:left="220"/>
              <w:spacing w:after="0"/>
              <w:rPr>
                <w:sz w:val="20"/>
                <w:szCs w:val="20"/>
                <w:color w:val="auto"/>
              </w:rPr>
            </w:pPr>
            <w:r>
              <w:rPr>
                <w:rFonts w:ascii="Arial" w:cs="Arial" w:eastAsia="Arial" w:hAnsi="Arial"/>
                <w:sz w:val="18"/>
                <w:szCs w:val="18"/>
                <w:color w:val="auto"/>
              </w:rPr>
              <w:t>Total property and equipment, net</w:t>
            </w:r>
          </w:p>
        </w:tc>
        <w:tc>
          <w:tcPr>
            <w:tcW w:w="54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46,088</w:t>
            </w:r>
          </w:p>
        </w:tc>
        <w:tc>
          <w:tcPr>
            <w:tcW w:w="2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45,455</w:t>
            </w: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320" w:type="dxa"/>
            <w:vAlign w:val="bottom"/>
            <w:gridSpan w:val="3"/>
          </w:tcPr>
          <w:p>
            <w:pPr>
              <w:spacing w:after="0"/>
              <w:rPr>
                <w:sz w:val="20"/>
                <w:szCs w:val="20"/>
                <w:color w:val="auto"/>
              </w:rPr>
            </w:pPr>
            <w:r>
              <w:rPr>
                <w:rFonts w:ascii="Arial" w:cs="Arial" w:eastAsia="Arial" w:hAnsi="Arial"/>
                <w:sz w:val="18"/>
                <w:szCs w:val="18"/>
                <w:color w:val="auto"/>
              </w:rPr>
              <w:t>INVESTMENT IN LIFE INSURANCE</w:t>
            </w:r>
          </w:p>
        </w:tc>
        <w:tc>
          <w:tcPr>
            <w:tcW w:w="54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22,013</w:t>
            </w:r>
          </w:p>
        </w:tc>
        <w:tc>
          <w:tcPr>
            <w:tcW w:w="2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21,028</w:t>
            </w: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320" w:type="dxa"/>
            <w:vAlign w:val="bottom"/>
            <w:gridSpan w:val="3"/>
          </w:tcPr>
          <w:p>
            <w:pPr>
              <w:spacing w:after="0"/>
              <w:rPr>
                <w:sz w:val="20"/>
                <w:szCs w:val="20"/>
                <w:color w:val="auto"/>
              </w:rPr>
            </w:pPr>
            <w:r>
              <w:rPr>
                <w:rFonts w:ascii="Arial" w:cs="Arial" w:eastAsia="Arial" w:hAnsi="Arial"/>
                <w:sz w:val="18"/>
                <w:szCs w:val="18"/>
                <w:color w:val="auto"/>
              </w:rPr>
              <w:t>DEFERRED INCOME TAXES, NET</w:t>
            </w:r>
          </w:p>
        </w:tc>
        <w:tc>
          <w:tcPr>
            <w:tcW w:w="54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20,635</w:t>
            </w:r>
          </w:p>
        </w:tc>
        <w:tc>
          <w:tcPr>
            <w:tcW w:w="2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20,635</w:t>
            </w: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3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7,786</w:t>
            </w:r>
          </w:p>
        </w:tc>
        <w:tc>
          <w:tcPr>
            <w:tcW w:w="22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110"/>
        </w:trPr>
        <w:tc>
          <w:tcPr>
            <w:tcW w:w="25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3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335,053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308,686</w:t>
            </w:r>
          </w:p>
        </w:tc>
        <w:tc>
          <w:tcPr>
            <w:tcW w:w="0" w:type="dxa"/>
            <w:vAlign w:val="bottom"/>
          </w:tcPr>
          <w:p>
            <w:pPr>
              <w:spacing w:after="0"/>
              <w:rPr>
                <w:sz w:val="1"/>
                <w:szCs w:val="1"/>
                <w:color w:val="auto"/>
              </w:rPr>
            </w:pPr>
          </w:p>
        </w:tc>
      </w:tr>
      <w:tr>
        <w:trPr>
          <w:trHeight w:val="120"/>
        </w:trPr>
        <w:tc>
          <w:tcPr>
            <w:tcW w:w="25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8"/>
        </w:trPr>
        <w:tc>
          <w:tcPr>
            <w:tcW w:w="5320" w:type="dxa"/>
            <w:vAlign w:val="bottom"/>
            <w:gridSpan w:val="3"/>
          </w:tcPr>
          <w:p>
            <w:pPr>
              <w:spacing w:after="0"/>
              <w:rPr>
                <w:sz w:val="20"/>
                <w:szCs w:val="20"/>
                <w:color w:val="auto"/>
              </w:rPr>
            </w:pPr>
            <w:r>
              <w:rPr>
                <w:rFonts w:ascii="Arial" w:cs="Arial" w:eastAsia="Arial" w:hAnsi="Arial"/>
                <w:sz w:val="18"/>
                <w:szCs w:val="18"/>
                <w:color w:val="auto"/>
                <w:w w:val="92"/>
              </w:rPr>
              <w:t>See Unaudited Condensed Notes to Consolidated Financial Statements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4"/>
        </w:trPr>
        <w:tc>
          <w:tcPr>
            <w:tcW w:w="2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-1228725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-1228725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7200" w:type="dxa"/>
            <w:vAlign w:val="bottom"/>
            <w:gridSpan w:val="10"/>
          </w:tcPr>
          <w:p>
            <w:pPr>
              <w:jc w:val="center"/>
              <w:ind w:left="2292"/>
              <w:spacing w:after="0"/>
              <w:rPr>
                <w:sz w:val="20"/>
                <w:szCs w:val="20"/>
                <w:color w:val="auto"/>
              </w:rPr>
            </w:pPr>
            <w:r>
              <w:rPr>
                <w:rFonts w:ascii="Arial" w:cs="Arial" w:eastAsia="Arial" w:hAnsi="Arial"/>
                <w:sz w:val="18"/>
                <w:szCs w:val="18"/>
                <w:b w:val="1"/>
                <w:bCs w:val="1"/>
                <w:color w:val="auto"/>
                <w:w w:val="97"/>
              </w:rPr>
              <w:t>WINNEBAGO INDUSTRIES, INC. AND SUBSIDIARIES</w:t>
            </w:r>
          </w:p>
        </w:tc>
      </w:tr>
      <w:tr>
        <w:trPr>
          <w:trHeight w:val="228"/>
        </w:trPr>
        <w:tc>
          <w:tcPr>
            <w:tcW w:w="920" w:type="dxa"/>
            <w:vAlign w:val="bottom"/>
          </w:tcPr>
          <w:p>
            <w:pPr>
              <w:spacing w:after="0"/>
              <w:rPr>
                <w:sz w:val="19"/>
                <w:szCs w:val="19"/>
                <w:color w:val="auto"/>
              </w:rPr>
            </w:pPr>
          </w:p>
        </w:tc>
        <w:tc>
          <w:tcPr>
            <w:tcW w:w="7200" w:type="dxa"/>
            <w:vAlign w:val="bottom"/>
            <w:gridSpan w:val="10"/>
          </w:tcPr>
          <w:p>
            <w:pPr>
              <w:jc w:val="center"/>
              <w:ind w:left="2312"/>
              <w:spacing w:after="0"/>
              <w:rPr>
                <w:sz w:val="20"/>
                <w:szCs w:val="20"/>
                <w:color w:val="auto"/>
              </w:rPr>
            </w:pPr>
            <w:r>
              <w:rPr>
                <w:rFonts w:ascii="Arial" w:cs="Arial" w:eastAsia="Arial" w:hAnsi="Arial"/>
                <w:sz w:val="18"/>
                <w:szCs w:val="18"/>
                <w:b w:val="1"/>
                <w:bCs w:val="1"/>
                <w:color w:val="auto"/>
                <w:w w:val="96"/>
              </w:rPr>
              <w:t>CONSOLIDATED BALANCE SHEETS</w:t>
            </w:r>
          </w:p>
        </w:tc>
      </w:tr>
      <w:tr>
        <w:trPr>
          <w:trHeight w:val="432"/>
        </w:trPr>
        <w:tc>
          <w:tcPr>
            <w:tcW w:w="5200" w:type="dxa"/>
            <w:vAlign w:val="bottom"/>
            <w:gridSpan w:val="3"/>
          </w:tcPr>
          <w:p>
            <w:pPr>
              <w:spacing w:after="0"/>
              <w:rPr>
                <w:sz w:val="20"/>
                <w:szCs w:val="20"/>
                <w:color w:val="auto"/>
              </w:rPr>
            </w:pPr>
            <w:r>
              <w:rPr>
                <w:rFonts w:ascii="Arial" w:cs="Arial" w:eastAsia="Arial" w:hAnsi="Arial"/>
                <w:sz w:val="18"/>
                <w:szCs w:val="18"/>
                <w:color w:val="auto"/>
              </w:rPr>
              <w:t>Dollars in thousands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0"/>
        </w:trPr>
        <w:tc>
          <w:tcPr>
            <w:tcW w:w="9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5"/>
              </w:rPr>
              <w:t>May 26,</w:t>
            </w:r>
          </w:p>
        </w:tc>
        <w:tc>
          <w:tcPr>
            <w:tcW w:w="24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August 26,</w:t>
            </w:r>
          </w:p>
        </w:tc>
      </w:tr>
      <w:tr>
        <w:trPr>
          <w:trHeight w:val="190"/>
        </w:trPr>
        <w:tc>
          <w:tcPr>
            <w:tcW w:w="920" w:type="dxa"/>
            <w:vAlign w:val="bottom"/>
          </w:tcPr>
          <w:p>
            <w:pPr>
              <w:spacing w:after="0"/>
              <w:rPr>
                <w:sz w:val="16"/>
                <w:szCs w:val="16"/>
                <w:color w:val="auto"/>
              </w:rPr>
            </w:pPr>
          </w:p>
        </w:tc>
        <w:tc>
          <w:tcPr>
            <w:tcW w:w="3820" w:type="dxa"/>
            <w:vAlign w:val="bottom"/>
          </w:tcPr>
          <w:p>
            <w:pPr>
              <w:spacing w:after="0" w:line="190" w:lineRule="exact"/>
              <w:rPr>
                <w:sz w:val="20"/>
                <w:szCs w:val="20"/>
                <w:color w:val="auto"/>
              </w:rPr>
            </w:pPr>
            <w:r>
              <w:rPr>
                <w:rFonts w:ascii="Arial" w:cs="Arial" w:eastAsia="Arial" w:hAnsi="Arial"/>
                <w:sz w:val="18"/>
                <w:szCs w:val="18"/>
                <w:b w:val="1"/>
                <w:bCs w:val="1"/>
                <w:color w:val="auto"/>
                <w:w w:val="99"/>
              </w:rPr>
              <w:t>LIABILITIES AND STOCKHOLDERS’ EQUITY</w:t>
            </w: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gridSpan w:val="3"/>
          </w:tcPr>
          <w:p>
            <w:pPr>
              <w:jc w:val="center"/>
              <w:ind w:right="40"/>
              <w:spacing w:after="0" w:line="190" w:lineRule="exact"/>
              <w:rPr>
                <w:sz w:val="20"/>
                <w:szCs w:val="20"/>
                <w:color w:val="auto"/>
              </w:rPr>
            </w:pPr>
            <w:r>
              <w:rPr>
                <w:rFonts w:ascii="Arial" w:cs="Arial" w:eastAsia="Arial" w:hAnsi="Arial"/>
                <w:sz w:val="18"/>
                <w:szCs w:val="18"/>
                <w:b w:val="1"/>
                <w:bCs w:val="1"/>
                <w:color w:val="auto"/>
                <w:w w:val="84"/>
              </w:rPr>
              <w:t>2001</w:t>
            </w:r>
          </w:p>
        </w:tc>
        <w:tc>
          <w:tcPr>
            <w:tcW w:w="240" w:type="dxa"/>
            <w:vAlign w:val="bottom"/>
          </w:tcPr>
          <w:p>
            <w:pPr>
              <w:spacing w:after="0"/>
              <w:rPr>
                <w:sz w:val="16"/>
                <w:szCs w:val="16"/>
                <w:color w:val="auto"/>
              </w:rPr>
            </w:pPr>
          </w:p>
        </w:tc>
        <w:tc>
          <w:tcPr>
            <w:tcW w:w="1020" w:type="dxa"/>
            <w:vAlign w:val="bottom"/>
            <w:gridSpan w:val="3"/>
          </w:tcPr>
          <w:p>
            <w:pPr>
              <w:jc w:val="right"/>
              <w:ind w:right="400"/>
              <w:spacing w:after="0" w:line="190" w:lineRule="exact"/>
              <w:rPr>
                <w:sz w:val="20"/>
                <w:szCs w:val="20"/>
                <w:color w:val="auto"/>
              </w:rPr>
            </w:pPr>
            <w:r>
              <w:rPr>
                <w:rFonts w:ascii="Arial" w:cs="Arial" w:eastAsia="Arial" w:hAnsi="Arial"/>
                <w:sz w:val="18"/>
                <w:szCs w:val="18"/>
                <w:b w:val="1"/>
                <w:bCs w:val="1"/>
                <w:color w:val="auto"/>
              </w:rPr>
              <w:t>2000</w:t>
            </w:r>
          </w:p>
        </w:tc>
      </w:tr>
      <w:tr>
        <w:trPr>
          <w:trHeight w:val="20"/>
        </w:trPr>
        <w:tc>
          <w:tcPr>
            <w:tcW w:w="92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5"/>
        </w:trPr>
        <w:tc>
          <w:tcPr>
            <w:tcW w:w="9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26"/>
        </w:trPr>
        <w:tc>
          <w:tcPr>
            <w:tcW w:w="52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Accounts payable, trade</w:t>
            </w:r>
          </w:p>
        </w:tc>
        <w:tc>
          <w:tcPr>
            <w:tcW w:w="600" w:type="dxa"/>
            <w:vAlign w:val="bottom"/>
          </w:tcPr>
          <w:p>
            <w:pPr>
              <w:jc w:val="center"/>
              <w:ind w:left="312"/>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23,697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26,212</w:t>
            </w: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Income tax payable</w:t>
            </w:r>
          </w:p>
        </w:tc>
        <w:tc>
          <w:tcPr>
            <w:tcW w:w="6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16,454</w:t>
            </w:r>
          </w:p>
        </w:tc>
        <w:tc>
          <w:tcPr>
            <w:tcW w:w="2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10,381</w:t>
            </w:r>
          </w:p>
        </w:tc>
      </w:tr>
      <w:tr>
        <w:trPr>
          <w:trHeight w:val="216"/>
        </w:trPr>
        <w:tc>
          <w:tcPr>
            <w:tcW w:w="520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5200" w:type="dxa"/>
            <w:vAlign w:val="bottom"/>
            <w:gridSpan w:val="3"/>
          </w:tcPr>
          <w:p>
            <w:pPr>
              <w:ind w:left="220"/>
              <w:spacing w:after="0"/>
              <w:rPr>
                <w:sz w:val="20"/>
                <w:szCs w:val="20"/>
                <w:color w:val="auto"/>
              </w:rPr>
            </w:pPr>
            <w:r>
              <w:rPr>
                <w:rFonts w:ascii="Arial" w:cs="Arial" w:eastAsia="Arial" w:hAnsi="Arial"/>
                <w:sz w:val="18"/>
                <w:szCs w:val="18"/>
                <w:color w:val="auto"/>
              </w:rPr>
              <w:t>Insurance</w:t>
            </w:r>
          </w:p>
        </w:tc>
        <w:tc>
          <w:tcPr>
            <w:tcW w:w="6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5,595</w:t>
            </w:r>
          </w:p>
        </w:tc>
        <w:tc>
          <w:tcPr>
            <w:tcW w:w="2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5,384</w:t>
            </w:r>
          </w:p>
        </w:tc>
      </w:tr>
      <w:tr>
        <w:trPr>
          <w:trHeight w:val="216"/>
        </w:trPr>
        <w:tc>
          <w:tcPr>
            <w:tcW w:w="5200" w:type="dxa"/>
            <w:vAlign w:val="bottom"/>
            <w:gridSpan w:val="3"/>
          </w:tcPr>
          <w:p>
            <w:pPr>
              <w:ind w:left="220"/>
              <w:spacing w:after="0"/>
              <w:rPr>
                <w:sz w:val="20"/>
                <w:szCs w:val="20"/>
                <w:color w:val="auto"/>
              </w:rPr>
            </w:pPr>
            <w:r>
              <w:rPr>
                <w:rFonts w:ascii="Arial" w:cs="Arial" w:eastAsia="Arial" w:hAnsi="Arial"/>
                <w:sz w:val="18"/>
                <w:szCs w:val="18"/>
                <w:color w:val="auto"/>
              </w:rPr>
              <w:t>Product warranties</w:t>
            </w:r>
          </w:p>
        </w:tc>
        <w:tc>
          <w:tcPr>
            <w:tcW w:w="6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8,494</w:t>
            </w:r>
          </w:p>
        </w:tc>
        <w:tc>
          <w:tcPr>
            <w:tcW w:w="2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8,114</w:t>
            </w:r>
          </w:p>
        </w:tc>
      </w:tr>
      <w:tr>
        <w:trPr>
          <w:trHeight w:val="216"/>
        </w:trPr>
        <w:tc>
          <w:tcPr>
            <w:tcW w:w="5200" w:type="dxa"/>
            <w:vAlign w:val="bottom"/>
            <w:gridSpan w:val="3"/>
          </w:tcPr>
          <w:p>
            <w:pPr>
              <w:ind w:left="220"/>
              <w:spacing w:after="0"/>
              <w:rPr>
                <w:sz w:val="20"/>
                <w:szCs w:val="20"/>
                <w:color w:val="auto"/>
              </w:rPr>
            </w:pPr>
            <w:r>
              <w:rPr>
                <w:rFonts w:ascii="Arial" w:cs="Arial" w:eastAsia="Arial" w:hAnsi="Arial"/>
                <w:sz w:val="18"/>
                <w:szCs w:val="18"/>
                <w:color w:val="auto"/>
              </w:rPr>
              <w:t>Accrued compensation</w:t>
            </w:r>
          </w:p>
        </w:tc>
        <w:tc>
          <w:tcPr>
            <w:tcW w:w="6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12,131</w:t>
            </w:r>
          </w:p>
        </w:tc>
        <w:tc>
          <w:tcPr>
            <w:tcW w:w="2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13,924</w:t>
            </w:r>
          </w:p>
        </w:tc>
      </w:tr>
      <w:tr>
        <w:trPr>
          <w:trHeight w:val="216"/>
        </w:trPr>
        <w:tc>
          <w:tcPr>
            <w:tcW w:w="5200" w:type="dxa"/>
            <w:vAlign w:val="bottom"/>
            <w:gridSpan w:val="3"/>
          </w:tcPr>
          <w:p>
            <w:pPr>
              <w:ind w:left="220"/>
              <w:spacing w:after="0"/>
              <w:rPr>
                <w:sz w:val="20"/>
                <w:szCs w:val="20"/>
                <w:color w:val="auto"/>
              </w:rPr>
            </w:pPr>
            <w:r>
              <w:rPr>
                <w:rFonts w:ascii="Arial" w:cs="Arial" w:eastAsia="Arial" w:hAnsi="Arial"/>
                <w:sz w:val="18"/>
                <w:szCs w:val="18"/>
                <w:color w:val="auto"/>
              </w:rPr>
              <w:t>Promotional</w:t>
            </w:r>
          </w:p>
        </w:tc>
        <w:tc>
          <w:tcPr>
            <w:tcW w:w="6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9,266</w:t>
            </w:r>
          </w:p>
        </w:tc>
        <w:tc>
          <w:tcPr>
            <w:tcW w:w="24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3,145</w:t>
            </w:r>
          </w:p>
        </w:tc>
      </w:tr>
      <w:tr>
        <w:trPr>
          <w:trHeight w:val="222"/>
        </w:trPr>
        <w:tc>
          <w:tcPr>
            <w:tcW w:w="5200" w:type="dxa"/>
            <w:vAlign w:val="bottom"/>
            <w:gridSpan w:val="3"/>
          </w:tcPr>
          <w:p>
            <w:pPr>
              <w:ind w:left="22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3,543</w:t>
            </w:r>
          </w:p>
        </w:tc>
        <w:tc>
          <w:tcPr>
            <w:tcW w:w="24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4,675</w:t>
            </w:r>
          </w:p>
        </w:tc>
      </w:tr>
      <w:tr>
        <w:trPr>
          <w:trHeight w:val="110"/>
        </w:trPr>
        <w:tc>
          <w:tcPr>
            <w:tcW w:w="9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r>
    </w:tbl>
    <w:p>
      <w:pPr>
        <w:sectPr>
          <w:pgSz w:w="11900" w:h="16838" w:orient="portrait"/>
          <w:cols w:equalWidth="0" w:num="1">
            <w:col w:w="10219"/>
          </w:cols>
          <w:pgMar w:left="240" w:top="125" w:right="1440" w:bottom="22" w:gutter="0" w:footer="0" w:header="0"/>
        </w:sectPr>
      </w:pPr>
    </w:p>
    <w:bookmarkStart w:id="2" w:name="page3"/>
    <w:bookmarkEnd w:id="2"/>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480" w:type="dxa"/>
            <w:vAlign w:val="bottom"/>
          </w:tcPr>
          <w:p>
            <w:pPr>
              <w:jc w:val="right"/>
              <w:ind w:right="80"/>
              <w:spacing w:after="0"/>
              <w:rPr>
                <w:sz w:val="20"/>
                <w:szCs w:val="20"/>
                <w:color w:val="auto"/>
              </w:rPr>
            </w:pPr>
            <w:r>
              <w:rPr>
                <w:rFonts w:ascii="Arial" w:cs="Arial" w:eastAsia="Arial" w:hAnsi="Arial"/>
                <w:sz w:val="18"/>
                <w:szCs w:val="18"/>
                <w:color w:val="auto"/>
              </w:rPr>
              <w:t>79,180</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rPr>
              <w:t>71,835</w:t>
            </w:r>
          </w:p>
        </w:tc>
      </w:tr>
      <w:tr>
        <w:trPr>
          <w:trHeight w:val="110"/>
        </w:trPr>
        <w:tc>
          <w:tcPr>
            <w:tcW w:w="53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525"/>
        </w:trPr>
        <w:tc>
          <w:tcPr>
            <w:tcW w:w="5320" w:type="dxa"/>
            <w:vAlign w:val="bottom"/>
          </w:tcPr>
          <w:p>
            <w:pPr>
              <w:spacing w:after="0"/>
              <w:rPr>
                <w:sz w:val="20"/>
                <w:szCs w:val="20"/>
                <w:color w:val="auto"/>
              </w:rPr>
            </w:pPr>
            <w:r>
              <w:rPr>
                <w:rFonts w:ascii="Arial" w:cs="Arial" w:eastAsia="Arial" w:hAnsi="Arial"/>
                <w:sz w:val="18"/>
                <w:szCs w:val="18"/>
                <w:color w:val="auto"/>
              </w:rPr>
              <w:t>POSTRETIREMENT HEALTH CARE AND DEFERRED</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5320" w:type="dxa"/>
            <w:vAlign w:val="bottom"/>
          </w:tcPr>
          <w:p>
            <w:pPr>
              <w:ind w:left="140"/>
              <w:spacing w:after="0"/>
              <w:rPr>
                <w:sz w:val="20"/>
                <w:szCs w:val="20"/>
                <w:color w:val="auto"/>
              </w:rPr>
            </w:pPr>
            <w:r>
              <w:rPr>
                <w:rFonts w:ascii="Arial" w:cs="Arial" w:eastAsia="Arial" w:hAnsi="Arial"/>
                <w:sz w:val="18"/>
                <w:szCs w:val="18"/>
                <w:color w:val="auto"/>
              </w:rPr>
              <w:t>COMPENSATION BENEFITS</w:t>
            </w:r>
          </w:p>
        </w:tc>
        <w:tc>
          <w:tcPr>
            <w:tcW w:w="1480" w:type="dxa"/>
            <w:vAlign w:val="bottom"/>
          </w:tcPr>
          <w:p>
            <w:pPr>
              <w:jc w:val="right"/>
              <w:ind w:right="80"/>
              <w:spacing w:after="0"/>
              <w:rPr>
                <w:sz w:val="20"/>
                <w:szCs w:val="20"/>
                <w:color w:val="auto"/>
              </w:rPr>
            </w:pPr>
            <w:r>
              <w:rPr>
                <w:rFonts w:ascii="Arial" w:cs="Arial" w:eastAsia="Arial" w:hAnsi="Arial"/>
                <w:sz w:val="18"/>
                <w:szCs w:val="18"/>
                <w:color w:val="auto"/>
              </w:rPr>
              <w:t>64,709</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rPr>
              <w:t>61,942</w:t>
            </w:r>
          </w:p>
        </w:tc>
      </w:tr>
      <w:tr>
        <w:trPr>
          <w:trHeight w:val="110"/>
        </w:trPr>
        <w:tc>
          <w:tcPr>
            <w:tcW w:w="53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525"/>
        </w:trPr>
        <w:tc>
          <w:tcPr>
            <w:tcW w:w="5320" w:type="dxa"/>
            <w:vAlign w:val="bottom"/>
          </w:tcPr>
          <w:p>
            <w:pPr>
              <w:spacing w:after="0"/>
              <w:rPr>
                <w:sz w:val="20"/>
                <w:szCs w:val="20"/>
                <w:color w:val="auto"/>
              </w:rPr>
            </w:pPr>
            <w:r>
              <w:rPr>
                <w:rFonts w:ascii="Arial" w:cs="Arial" w:eastAsia="Arial" w:hAnsi="Arial"/>
                <w:sz w:val="18"/>
                <w:szCs w:val="18"/>
                <w:color w:val="auto"/>
              </w:rPr>
              <w:t>STOCKHOLDERS’ EQUITY</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Capital stock, common, par value $.50; authorized</w:t>
            </w: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60,000,000 shares: issued 25,886,000 and 25,878,000</w:t>
            </w: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Arial" w:cs="Arial" w:eastAsia="Arial" w:hAnsi="Arial"/>
                <w:sz w:val="18"/>
                <w:szCs w:val="18"/>
                <w:color w:val="auto"/>
              </w:rPr>
              <w:t>shares, respectively</w:t>
            </w:r>
          </w:p>
        </w:tc>
        <w:tc>
          <w:tcPr>
            <w:tcW w:w="1480" w:type="dxa"/>
            <w:vAlign w:val="bottom"/>
          </w:tcPr>
          <w:p>
            <w:pPr>
              <w:jc w:val="right"/>
              <w:ind w:right="80"/>
              <w:spacing w:after="0"/>
              <w:rPr>
                <w:sz w:val="20"/>
                <w:szCs w:val="20"/>
                <w:color w:val="auto"/>
              </w:rPr>
            </w:pPr>
            <w:r>
              <w:rPr>
                <w:rFonts w:ascii="Arial" w:cs="Arial" w:eastAsia="Arial" w:hAnsi="Arial"/>
                <w:sz w:val="18"/>
                <w:szCs w:val="18"/>
                <w:color w:val="auto"/>
              </w:rPr>
              <w:t>12,943</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rPr>
              <w:t>12,939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80" w:type="dxa"/>
            <w:vAlign w:val="bottom"/>
          </w:tcPr>
          <w:p>
            <w:pPr>
              <w:jc w:val="right"/>
              <w:ind w:right="80"/>
              <w:spacing w:after="0"/>
              <w:rPr>
                <w:sz w:val="20"/>
                <w:szCs w:val="20"/>
                <w:color w:val="auto"/>
              </w:rPr>
            </w:pPr>
            <w:r>
              <w:rPr>
                <w:rFonts w:ascii="Arial" w:cs="Arial" w:eastAsia="Arial" w:hAnsi="Arial"/>
                <w:sz w:val="18"/>
                <w:szCs w:val="18"/>
                <w:color w:val="auto"/>
              </w:rPr>
              <w:t>21,373</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rPr>
              <w:t>21,994</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Reinvested earnings</w:t>
            </w:r>
          </w:p>
        </w:tc>
        <w:tc>
          <w:tcPr>
            <w:tcW w:w="1480" w:type="dxa"/>
            <w:vAlign w:val="bottom"/>
          </w:tcPr>
          <w:p>
            <w:pPr>
              <w:jc w:val="right"/>
              <w:ind w:right="80"/>
              <w:spacing w:after="0"/>
              <w:rPr>
                <w:sz w:val="20"/>
                <w:szCs w:val="20"/>
                <w:color w:val="auto"/>
              </w:rPr>
            </w:pPr>
            <w:r>
              <w:rPr>
                <w:rFonts w:ascii="Arial" w:cs="Arial" w:eastAsia="Arial" w:hAnsi="Arial"/>
                <w:sz w:val="18"/>
                <w:szCs w:val="18"/>
                <w:color w:val="auto"/>
              </w:rPr>
              <w:t>220,669</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rPr>
              <w:t>195,556</w:t>
            </w:r>
          </w:p>
        </w:tc>
      </w:tr>
      <w:tr>
        <w:trPr>
          <w:trHeight w:val="110"/>
        </w:trPr>
        <w:tc>
          <w:tcPr>
            <w:tcW w:w="53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309"/>
        </w:trPr>
        <w:tc>
          <w:tcPr>
            <w:tcW w:w="5320" w:type="dxa"/>
            <w:vAlign w:val="bottom"/>
          </w:tcPr>
          <w:p>
            <w:pPr>
              <w:spacing w:after="0"/>
              <w:rPr>
                <w:sz w:val="24"/>
                <w:szCs w:val="24"/>
                <w:color w:val="auto"/>
              </w:rPr>
            </w:pPr>
          </w:p>
        </w:tc>
        <w:tc>
          <w:tcPr>
            <w:tcW w:w="1480" w:type="dxa"/>
            <w:vAlign w:val="bottom"/>
          </w:tcPr>
          <w:p>
            <w:pPr>
              <w:jc w:val="right"/>
              <w:ind w:right="80"/>
              <w:spacing w:after="0"/>
              <w:rPr>
                <w:sz w:val="20"/>
                <w:szCs w:val="20"/>
                <w:color w:val="auto"/>
              </w:rPr>
            </w:pPr>
            <w:r>
              <w:rPr>
                <w:rFonts w:ascii="Arial" w:cs="Arial" w:eastAsia="Arial" w:hAnsi="Arial"/>
                <w:sz w:val="18"/>
                <w:szCs w:val="18"/>
                <w:color w:val="auto"/>
              </w:rPr>
              <w:t>254,985</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rPr>
              <w:t>230,489</w:t>
            </w: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Less treasury stock, at cost</w:t>
            </w:r>
          </w:p>
        </w:tc>
        <w:tc>
          <w:tcPr>
            <w:tcW w:w="1480" w:type="dxa"/>
            <w:vAlign w:val="bottom"/>
          </w:tcPr>
          <w:p>
            <w:pPr>
              <w:jc w:val="right"/>
              <w:ind w:right="80"/>
              <w:spacing w:after="0"/>
              <w:rPr>
                <w:sz w:val="20"/>
                <w:szCs w:val="20"/>
                <w:color w:val="auto"/>
              </w:rPr>
            </w:pPr>
            <w:r>
              <w:rPr>
                <w:rFonts w:ascii="Arial" w:cs="Arial" w:eastAsia="Arial" w:hAnsi="Arial"/>
                <w:sz w:val="18"/>
                <w:szCs w:val="18"/>
                <w:color w:val="auto"/>
              </w:rPr>
              <w:t>63,821</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rPr>
              <w:t>55,580</w:t>
            </w:r>
          </w:p>
        </w:tc>
      </w:tr>
      <w:tr>
        <w:trPr>
          <w:trHeight w:val="110"/>
        </w:trPr>
        <w:tc>
          <w:tcPr>
            <w:tcW w:w="53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532"/>
        </w:trPr>
        <w:tc>
          <w:tcPr>
            <w:tcW w:w="53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480" w:type="dxa"/>
            <w:vAlign w:val="bottom"/>
          </w:tcPr>
          <w:p>
            <w:pPr>
              <w:jc w:val="right"/>
              <w:ind w:right="80"/>
              <w:spacing w:after="0"/>
              <w:rPr>
                <w:sz w:val="20"/>
                <w:szCs w:val="20"/>
                <w:color w:val="auto"/>
              </w:rPr>
            </w:pPr>
            <w:r>
              <w:rPr>
                <w:rFonts w:ascii="Arial" w:cs="Arial" w:eastAsia="Arial" w:hAnsi="Arial"/>
                <w:sz w:val="18"/>
                <w:szCs w:val="18"/>
                <w:color w:val="auto"/>
              </w:rPr>
              <w:t>191,164</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rPr>
              <w:t>174,909</w:t>
            </w:r>
          </w:p>
        </w:tc>
      </w:tr>
      <w:tr>
        <w:trPr>
          <w:trHeight w:val="110"/>
        </w:trPr>
        <w:tc>
          <w:tcPr>
            <w:tcW w:w="532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532"/>
        </w:trPr>
        <w:tc>
          <w:tcPr>
            <w:tcW w:w="53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tcPr>
          <w:p>
            <w:pPr>
              <w:jc w:val="right"/>
              <w:ind w:right="80"/>
              <w:spacing w:after="0"/>
              <w:rPr>
                <w:sz w:val="20"/>
                <w:szCs w:val="20"/>
                <w:color w:val="auto"/>
              </w:rPr>
            </w:pPr>
            <w:r>
              <w:rPr>
                <w:rFonts w:ascii="Arial" w:cs="Arial" w:eastAsia="Arial" w:hAnsi="Arial"/>
                <w:sz w:val="18"/>
                <w:szCs w:val="18"/>
                <w:color w:val="auto"/>
                <w:w w:val="89"/>
              </w:rPr>
              <w:t>$335,053</w:t>
            </w:r>
          </w:p>
        </w:tc>
        <w:tc>
          <w:tcPr>
            <w:tcW w:w="1320" w:type="dxa"/>
            <w:vAlign w:val="bottom"/>
          </w:tcPr>
          <w:p>
            <w:pPr>
              <w:jc w:val="right"/>
              <w:ind w:right="100"/>
              <w:spacing w:after="0"/>
              <w:rPr>
                <w:sz w:val="20"/>
                <w:szCs w:val="20"/>
                <w:color w:val="auto"/>
              </w:rPr>
            </w:pPr>
            <w:r>
              <w:rPr>
                <w:rFonts w:ascii="Arial" w:cs="Arial" w:eastAsia="Arial" w:hAnsi="Arial"/>
                <w:sz w:val="18"/>
                <w:szCs w:val="18"/>
                <w:color w:val="auto"/>
                <w:w w:val="86"/>
              </w:rPr>
              <w:t>$308,686</w:t>
            </w:r>
          </w:p>
        </w:tc>
      </w:tr>
      <w:tr>
        <w:trPr>
          <w:trHeight w:val="120"/>
        </w:trPr>
        <w:tc>
          <w:tcPr>
            <w:tcW w:w="53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r>
        <w:trPr>
          <w:trHeight w:val="778"/>
        </w:trPr>
        <w:tc>
          <w:tcPr>
            <w:tcW w:w="5320" w:type="dxa"/>
            <w:vAlign w:val="bottom"/>
          </w:tcPr>
          <w:p>
            <w:pPr>
              <w:spacing w:after="0"/>
              <w:rPr>
                <w:sz w:val="20"/>
                <w:szCs w:val="20"/>
                <w:color w:val="auto"/>
              </w:rPr>
            </w:pPr>
            <w:r>
              <w:rPr>
                <w:rFonts w:ascii="Arial" w:cs="Arial" w:eastAsia="Arial" w:hAnsi="Arial"/>
                <w:sz w:val="18"/>
                <w:szCs w:val="18"/>
                <w:color w:val="auto"/>
                <w:w w:val="92"/>
              </w:rPr>
              <w:t>See Unaudited Condensed Notes to Consolidated Financial Statements</w:t>
            </w: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34"/>
        </w:trPr>
        <w:tc>
          <w:tcPr>
            <w:tcW w:w="5320" w:type="dxa"/>
            <w:vAlign w:val="bottom"/>
          </w:tcPr>
          <w:p>
            <w:pPr>
              <w:spacing w:after="0"/>
              <w:rPr>
                <w:sz w:val="24"/>
                <w:szCs w:val="24"/>
                <w:color w:val="auto"/>
              </w:rPr>
            </w:pPr>
          </w:p>
        </w:tc>
        <w:tc>
          <w:tcPr>
            <w:tcW w:w="1480" w:type="dxa"/>
            <w:vAlign w:val="bottom"/>
          </w:tcPr>
          <w:p>
            <w:pPr>
              <w:jc w:val="right"/>
              <w:ind w:right="960"/>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-1228725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-1228725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40" w:type="dxa"/>
            <w:vAlign w:val="bottom"/>
            <w:gridSpan w:val="20"/>
          </w:tcPr>
          <w:p>
            <w:pPr>
              <w:jc w:val="right"/>
              <w:ind w:right="200"/>
              <w:spacing w:after="0"/>
              <w:rPr>
                <w:sz w:val="20"/>
                <w:szCs w:val="20"/>
                <w:color w:val="auto"/>
              </w:rPr>
            </w:pPr>
            <w:r>
              <w:rPr>
                <w:rFonts w:ascii="Arial" w:cs="Arial" w:eastAsia="Arial" w:hAnsi="Arial"/>
                <w:sz w:val="18"/>
                <w:szCs w:val="18"/>
                <w:b w:val="1"/>
                <w:bCs w:val="1"/>
                <w:color w:val="auto"/>
                <w:w w:val="97"/>
              </w:rPr>
              <w:t>WINNEBAGO INDUSTRIES, INC. AND SUBSIDIARIES</w:t>
            </w:r>
          </w:p>
        </w:tc>
      </w:tr>
      <w:tr>
        <w:trPr>
          <w:trHeight w:val="228"/>
        </w:trPr>
        <w:tc>
          <w:tcPr>
            <w:tcW w:w="2500" w:type="dxa"/>
            <w:vAlign w:val="bottom"/>
          </w:tcPr>
          <w:p>
            <w:pPr>
              <w:spacing w:after="0"/>
              <w:rPr>
                <w:sz w:val="19"/>
                <w:szCs w:val="19"/>
                <w:color w:val="auto"/>
              </w:rPr>
            </w:pPr>
          </w:p>
        </w:tc>
        <w:tc>
          <w:tcPr>
            <w:tcW w:w="5620" w:type="dxa"/>
            <w:vAlign w:val="bottom"/>
            <w:gridSpan w:val="21"/>
          </w:tcPr>
          <w:p>
            <w:pPr>
              <w:jc w:val="right"/>
              <w:spacing w:after="0"/>
              <w:rPr>
                <w:sz w:val="20"/>
                <w:szCs w:val="20"/>
                <w:color w:val="auto"/>
              </w:rPr>
            </w:pPr>
            <w:r>
              <w:rPr>
                <w:rFonts w:ascii="Arial" w:cs="Arial" w:eastAsia="Arial" w:hAnsi="Arial"/>
                <w:sz w:val="18"/>
                <w:szCs w:val="18"/>
                <w:b w:val="1"/>
                <w:bCs w:val="1"/>
                <w:color w:val="auto"/>
              </w:rPr>
              <w:t>UNAUDITED CONSOLIDATED STATEMENTS OF INCOME</w:t>
            </w:r>
          </w:p>
        </w:tc>
      </w:tr>
      <w:tr>
        <w:trPr>
          <w:trHeight w:val="432"/>
        </w:trPr>
        <w:tc>
          <w:tcPr>
            <w:tcW w:w="3480" w:type="dxa"/>
            <w:vAlign w:val="bottom"/>
            <w:gridSpan w:val="2"/>
          </w:tcPr>
          <w:p>
            <w:pPr>
              <w:spacing w:after="0"/>
              <w:rPr>
                <w:sz w:val="20"/>
                <w:szCs w:val="20"/>
                <w:color w:val="auto"/>
              </w:rPr>
            </w:pPr>
            <w:r>
              <w:rPr>
                <w:rFonts w:ascii="Arial" w:cs="Arial" w:eastAsia="Arial" w:hAnsi="Arial"/>
                <w:sz w:val="18"/>
                <w:szCs w:val="18"/>
                <w:color w:val="auto"/>
              </w:rPr>
              <w:t>In thousands except per share data</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2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gridSpan w:val="9"/>
          </w:tcPr>
          <w:p>
            <w:pPr>
              <w:ind w:left="60"/>
              <w:spacing w:after="0"/>
              <w:rPr>
                <w:sz w:val="20"/>
                <w:szCs w:val="20"/>
                <w:color w:val="auto"/>
              </w:rPr>
            </w:pPr>
            <w:r>
              <w:rPr>
                <w:rFonts w:ascii="Arial" w:cs="Arial" w:eastAsia="Arial" w:hAnsi="Arial"/>
                <w:sz w:val="18"/>
                <w:szCs w:val="18"/>
                <w:b w:val="1"/>
                <w:bCs w:val="1"/>
                <w:color w:val="auto"/>
                <w:w w:val="93"/>
              </w:rPr>
              <w:t>Thirteen Weeks Ended</w:t>
            </w:r>
          </w:p>
        </w:tc>
        <w:tc>
          <w:tcPr>
            <w:tcW w:w="180" w:type="dxa"/>
            <w:vAlign w:val="bottom"/>
          </w:tcPr>
          <w:p>
            <w:pPr>
              <w:spacing w:after="0"/>
              <w:rPr>
                <w:sz w:val="24"/>
                <w:szCs w:val="24"/>
                <w:color w:val="auto"/>
              </w:rPr>
            </w:pPr>
          </w:p>
        </w:tc>
        <w:tc>
          <w:tcPr>
            <w:tcW w:w="2040" w:type="dxa"/>
            <w:vAlign w:val="bottom"/>
            <w:gridSpan w:val="9"/>
          </w:tcPr>
          <w:p>
            <w:pPr>
              <w:jc w:val="right"/>
              <w:ind w:right="80"/>
              <w:spacing w:after="0"/>
              <w:rPr>
                <w:sz w:val="20"/>
                <w:szCs w:val="20"/>
                <w:color w:val="auto"/>
              </w:rPr>
            </w:pPr>
            <w:r>
              <w:rPr>
                <w:rFonts w:ascii="Arial" w:cs="Arial" w:eastAsia="Arial" w:hAnsi="Arial"/>
                <w:sz w:val="18"/>
                <w:szCs w:val="18"/>
                <w:b w:val="1"/>
                <w:bCs w:val="1"/>
                <w:color w:val="auto"/>
                <w:w w:val="89"/>
              </w:rPr>
              <w:t>Thirty-Nine Weeks Ended</w:t>
            </w:r>
          </w:p>
        </w:tc>
      </w:tr>
      <w:tr>
        <w:trPr>
          <w:trHeight w:val="222"/>
        </w:trPr>
        <w:tc>
          <w:tcPr>
            <w:tcW w:w="2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May 26,</w:t>
            </w: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May 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May 26,</w:t>
            </w:r>
          </w:p>
        </w:tc>
        <w:tc>
          <w:tcPr>
            <w:tcW w:w="2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2"/>
              </w:rPr>
              <w:t>May 27,</w:t>
            </w:r>
          </w:p>
        </w:tc>
        <w:tc>
          <w:tcPr>
            <w:tcW w:w="80" w:type="dxa"/>
            <w:vAlign w:val="bottom"/>
          </w:tcPr>
          <w:p>
            <w:pPr>
              <w:spacing w:after="0"/>
              <w:rPr>
                <w:sz w:val="19"/>
                <w:szCs w:val="19"/>
                <w:color w:val="auto"/>
              </w:rPr>
            </w:pPr>
          </w:p>
        </w:tc>
      </w:tr>
      <w:tr>
        <w:trPr>
          <w:trHeight w:val="190"/>
        </w:trPr>
        <w:tc>
          <w:tcPr>
            <w:tcW w:w="2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gridSpan w:val="2"/>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84"/>
              </w:rPr>
              <w:t>2001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2000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3"/>
          </w:tcPr>
          <w:p>
            <w:pPr>
              <w:jc w:val="right"/>
              <w:ind w:right="340"/>
              <w:spacing w:after="0" w:line="190" w:lineRule="exact"/>
              <w:rPr>
                <w:sz w:val="20"/>
                <w:szCs w:val="20"/>
                <w:color w:val="auto"/>
              </w:rPr>
            </w:pPr>
            <w:r>
              <w:rPr>
                <w:rFonts w:ascii="Arial" w:cs="Arial" w:eastAsia="Arial" w:hAnsi="Arial"/>
                <w:sz w:val="18"/>
                <w:szCs w:val="18"/>
                <w:b w:val="1"/>
                <w:bCs w:val="1"/>
                <w:color w:val="auto"/>
              </w:rPr>
              <w:t>2001</w:t>
            </w:r>
          </w:p>
        </w:tc>
        <w:tc>
          <w:tcPr>
            <w:tcW w:w="220" w:type="dxa"/>
            <w:vAlign w:val="bottom"/>
          </w:tcPr>
          <w:p>
            <w:pPr>
              <w:spacing w:after="0"/>
              <w:rPr>
                <w:sz w:val="16"/>
                <w:szCs w:val="16"/>
                <w:color w:val="auto"/>
              </w:rPr>
            </w:pPr>
          </w:p>
        </w:tc>
        <w:tc>
          <w:tcPr>
            <w:tcW w:w="640" w:type="dxa"/>
            <w:vAlign w:val="bottom"/>
            <w:gridSpan w:val="3"/>
          </w:tcPr>
          <w:p>
            <w:pPr>
              <w:jc w:val="right"/>
              <w:ind w:right="160"/>
              <w:spacing w:after="0" w:line="190" w:lineRule="exact"/>
              <w:rPr>
                <w:sz w:val="20"/>
                <w:szCs w:val="20"/>
                <w:color w:val="auto"/>
              </w:rPr>
            </w:pPr>
            <w:r>
              <w:rPr>
                <w:rFonts w:ascii="Arial" w:cs="Arial" w:eastAsia="Arial" w:hAnsi="Arial"/>
                <w:sz w:val="18"/>
                <w:szCs w:val="18"/>
                <w:b w:val="1"/>
                <w:bCs w:val="1"/>
                <w:color w:val="auto"/>
              </w:rPr>
              <w:t>2000</w:t>
            </w:r>
          </w:p>
        </w:tc>
        <w:tc>
          <w:tcPr>
            <w:tcW w:w="80" w:type="dxa"/>
            <w:vAlign w:val="bottom"/>
          </w:tcPr>
          <w:p>
            <w:pPr>
              <w:spacing w:after="0"/>
              <w:rPr>
                <w:sz w:val="16"/>
                <w:szCs w:val="16"/>
                <w:color w:val="auto"/>
              </w:rPr>
            </w:pPr>
          </w:p>
        </w:tc>
      </w:tr>
      <w:tr>
        <w:trPr>
          <w:trHeight w:val="20"/>
        </w:trPr>
        <w:tc>
          <w:tcPr>
            <w:tcW w:w="2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444"/>
        </w:trPr>
        <w:tc>
          <w:tcPr>
            <w:tcW w:w="34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197,005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214,070</w:t>
            </w:r>
          </w:p>
        </w:tc>
        <w:tc>
          <w:tcPr>
            <w:tcW w:w="100" w:type="dxa"/>
            <w:vAlign w:val="bottom"/>
          </w:tcPr>
          <w:p>
            <w:pPr>
              <w:spacing w:after="0"/>
              <w:rPr>
                <w:sz w:val="24"/>
                <w:szCs w:val="24"/>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503,703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588,584</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540" w:type="dxa"/>
            <w:vAlign w:val="bottom"/>
          </w:tcPr>
          <w:p>
            <w:pPr>
              <w:spacing w:after="0"/>
              <w:rPr>
                <w:sz w:val="19"/>
                <w:szCs w:val="19"/>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169,019</w:t>
            </w:r>
          </w:p>
        </w:tc>
        <w:tc>
          <w:tcPr>
            <w:tcW w:w="2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179,493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436,068</w:t>
            </w:r>
          </w:p>
        </w:tc>
        <w:tc>
          <w:tcPr>
            <w:tcW w:w="22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98"/>
              </w:rPr>
              <w:t>496,287</w:t>
            </w:r>
          </w:p>
        </w:tc>
      </w:tr>
      <w:tr>
        <w:trPr>
          <w:trHeight w:val="110"/>
        </w:trPr>
        <w:tc>
          <w:tcPr>
            <w:tcW w:w="2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Gross profit</w:t>
            </w:r>
          </w:p>
        </w:tc>
        <w:tc>
          <w:tcPr>
            <w:tcW w:w="540" w:type="dxa"/>
            <w:vAlign w:val="bottom"/>
          </w:tcPr>
          <w:p>
            <w:pPr>
              <w:spacing w:after="0"/>
              <w:rPr>
                <w:sz w:val="24"/>
                <w:szCs w:val="24"/>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27,986</w:t>
            </w:r>
          </w:p>
        </w:tc>
        <w:tc>
          <w:tcPr>
            <w:tcW w:w="28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34,577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67,635</w:t>
            </w:r>
          </w:p>
        </w:tc>
        <w:tc>
          <w:tcPr>
            <w:tcW w:w="22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92,297</w:t>
            </w:r>
          </w:p>
        </w:tc>
      </w:tr>
      <w:tr>
        <w:trPr>
          <w:trHeight w:val="110"/>
        </w:trPr>
        <w:tc>
          <w:tcPr>
            <w:tcW w:w="2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09"/>
        </w:trPr>
        <w:tc>
          <w:tcPr>
            <w:tcW w:w="3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Selling</w:t>
            </w:r>
          </w:p>
        </w:tc>
        <w:tc>
          <w:tcPr>
            <w:tcW w:w="5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5,959</w:t>
            </w:r>
          </w:p>
        </w:tc>
        <w:tc>
          <w:tcPr>
            <w:tcW w:w="2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17,768</w:t>
            </w:r>
          </w:p>
        </w:tc>
        <w:tc>
          <w:tcPr>
            <w:tcW w:w="2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18,956</w:t>
            </w:r>
          </w:p>
        </w:tc>
      </w:tr>
      <w:tr>
        <w:trPr>
          <w:trHeight w:val="222"/>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9"/>
                <w:szCs w:val="19"/>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3,929</w:t>
            </w:r>
          </w:p>
        </w:tc>
        <w:tc>
          <w:tcPr>
            <w:tcW w:w="2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9,839</w:t>
            </w:r>
          </w:p>
        </w:tc>
        <w:tc>
          <w:tcPr>
            <w:tcW w:w="22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14,565</w:t>
            </w:r>
          </w:p>
        </w:tc>
      </w:tr>
      <w:tr>
        <w:trPr>
          <w:trHeight w:val="110"/>
        </w:trPr>
        <w:tc>
          <w:tcPr>
            <w:tcW w:w="2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4"/>
                <w:szCs w:val="24"/>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9,888</w:t>
            </w:r>
          </w:p>
        </w:tc>
        <w:tc>
          <w:tcPr>
            <w:tcW w:w="28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10,864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27,607</w:t>
            </w:r>
          </w:p>
        </w:tc>
        <w:tc>
          <w:tcPr>
            <w:tcW w:w="22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33,521</w:t>
            </w:r>
          </w:p>
        </w:tc>
      </w:tr>
      <w:tr>
        <w:trPr>
          <w:trHeight w:val="110"/>
        </w:trPr>
        <w:tc>
          <w:tcPr>
            <w:tcW w:w="2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09"/>
        </w:trPr>
        <w:tc>
          <w:tcPr>
            <w:tcW w:w="34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40" w:type="dxa"/>
            <w:vAlign w:val="bottom"/>
          </w:tcPr>
          <w:p>
            <w:pPr>
              <w:spacing w:after="0"/>
              <w:rPr>
                <w:sz w:val="24"/>
                <w:szCs w:val="24"/>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18,098</w:t>
            </w:r>
          </w:p>
        </w:tc>
        <w:tc>
          <w:tcPr>
            <w:tcW w:w="280" w:type="dxa"/>
            <w:vAlign w:val="bottom"/>
          </w:tcPr>
          <w:p>
            <w:pPr>
              <w:spacing w:after="0"/>
              <w:rPr>
                <w:sz w:val="24"/>
                <w:szCs w:val="2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23,713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40,028</w:t>
            </w:r>
          </w:p>
        </w:tc>
        <w:tc>
          <w:tcPr>
            <w:tcW w:w="220" w:type="dxa"/>
            <w:vAlign w:val="bottom"/>
          </w:tcPr>
          <w:p>
            <w:pPr>
              <w:spacing w:after="0"/>
              <w:rPr>
                <w:sz w:val="24"/>
                <w:szCs w:val="2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58,776</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540" w:type="dxa"/>
            <w:vAlign w:val="bottom"/>
          </w:tcPr>
          <w:p>
            <w:pPr>
              <w:spacing w:after="0"/>
              <w:rPr>
                <w:sz w:val="19"/>
                <w:szCs w:val="19"/>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922</w:t>
            </w:r>
          </w:p>
        </w:tc>
        <w:tc>
          <w:tcPr>
            <w:tcW w:w="2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2,794</w:t>
            </w:r>
          </w:p>
        </w:tc>
        <w:tc>
          <w:tcPr>
            <w:tcW w:w="22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2,389</w:t>
            </w:r>
          </w:p>
        </w:tc>
      </w:tr>
      <w:tr>
        <w:trPr>
          <w:trHeight w:val="110"/>
        </w:trPr>
        <w:tc>
          <w:tcPr>
            <w:tcW w:w="2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09"/>
        </w:trPr>
        <w:tc>
          <w:tcPr>
            <w:tcW w:w="3480" w:type="dxa"/>
            <w:vAlign w:val="bottom"/>
            <w:gridSpan w:val="2"/>
          </w:tcPr>
          <w:p>
            <w:pPr>
              <w:spacing w:after="0"/>
              <w:rPr>
                <w:sz w:val="20"/>
                <w:szCs w:val="20"/>
                <w:color w:val="auto"/>
              </w:rPr>
            </w:pPr>
            <w:r>
              <w:rPr>
                <w:rFonts w:ascii="Arial" w:cs="Arial" w:eastAsia="Arial" w:hAnsi="Arial"/>
                <w:sz w:val="18"/>
                <w:szCs w:val="18"/>
                <w:color w:val="auto"/>
                <w:w w:val="97"/>
              </w:rPr>
              <w:t>Income before tax and cumulative effect of a</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80" w:type="dxa"/>
            <w:vAlign w:val="bottom"/>
            <w:gridSpan w:val="2"/>
          </w:tcPr>
          <w:p>
            <w:pPr>
              <w:ind w:left="140"/>
              <w:spacing w:after="0"/>
              <w:rPr>
                <w:sz w:val="20"/>
                <w:szCs w:val="20"/>
                <w:color w:val="auto"/>
              </w:rPr>
            </w:pPr>
            <w:r>
              <w:rPr>
                <w:rFonts w:ascii="Arial" w:cs="Arial" w:eastAsia="Arial" w:hAnsi="Arial"/>
                <w:sz w:val="18"/>
                <w:szCs w:val="18"/>
                <w:color w:val="auto"/>
              </w:rPr>
              <w:t>change in accounting method</w:t>
            </w:r>
          </w:p>
        </w:tc>
        <w:tc>
          <w:tcPr>
            <w:tcW w:w="5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19,020</w:t>
            </w:r>
          </w:p>
        </w:tc>
        <w:tc>
          <w:tcPr>
            <w:tcW w:w="2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24,544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42,822</w:t>
            </w:r>
          </w:p>
        </w:tc>
        <w:tc>
          <w:tcPr>
            <w:tcW w:w="2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61,165</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540" w:type="dxa"/>
            <w:vAlign w:val="bottom"/>
          </w:tcPr>
          <w:p>
            <w:pPr>
              <w:spacing w:after="0"/>
              <w:rPr>
                <w:sz w:val="19"/>
                <w:szCs w:val="19"/>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6,576</w:t>
            </w:r>
          </w:p>
        </w:tc>
        <w:tc>
          <w:tcPr>
            <w:tcW w:w="2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8,287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14,598</w:t>
            </w:r>
          </w:p>
        </w:tc>
        <w:tc>
          <w:tcPr>
            <w:tcW w:w="220" w:type="dxa"/>
            <w:vAlign w:val="bottom"/>
          </w:tcPr>
          <w:p>
            <w:pPr>
              <w:spacing w:after="0"/>
              <w:rPr>
                <w:sz w:val="19"/>
                <w:szCs w:val="19"/>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20,676</w:t>
            </w:r>
          </w:p>
        </w:tc>
      </w:tr>
      <w:tr>
        <w:trPr>
          <w:trHeight w:val="110"/>
        </w:trPr>
        <w:tc>
          <w:tcPr>
            <w:tcW w:w="2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09"/>
        </w:trPr>
        <w:tc>
          <w:tcPr>
            <w:tcW w:w="3480" w:type="dxa"/>
            <w:vAlign w:val="bottom"/>
            <w:gridSpan w:val="2"/>
          </w:tcPr>
          <w:p>
            <w:pPr>
              <w:spacing w:after="0"/>
              <w:rPr>
                <w:sz w:val="20"/>
                <w:szCs w:val="20"/>
                <w:color w:val="auto"/>
              </w:rPr>
            </w:pPr>
            <w:r>
              <w:rPr>
                <w:rFonts w:ascii="Arial" w:cs="Arial" w:eastAsia="Arial" w:hAnsi="Arial"/>
                <w:sz w:val="18"/>
                <w:szCs w:val="18"/>
                <w:color w:val="auto"/>
                <w:w w:val="92"/>
              </w:rPr>
              <w:t>Income before cumulative effect of a change in</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480" w:type="dxa"/>
            <w:vAlign w:val="bottom"/>
            <w:gridSpan w:val="2"/>
          </w:tcPr>
          <w:p>
            <w:pPr>
              <w:ind w:left="140"/>
              <w:spacing w:after="0"/>
              <w:rPr>
                <w:sz w:val="20"/>
                <w:szCs w:val="20"/>
                <w:color w:val="auto"/>
              </w:rPr>
            </w:pPr>
            <w:r>
              <w:rPr>
                <w:rFonts w:ascii="Arial" w:cs="Arial" w:eastAsia="Arial" w:hAnsi="Arial"/>
                <w:sz w:val="18"/>
                <w:szCs w:val="18"/>
                <w:color w:val="auto"/>
              </w:rPr>
              <w:t>accounting method</w:t>
            </w:r>
          </w:p>
        </w:tc>
        <w:tc>
          <w:tcPr>
            <w:tcW w:w="540" w:type="dxa"/>
            <w:vAlign w:val="bottom"/>
          </w:tcPr>
          <w:p>
            <w:pPr>
              <w:spacing w:after="0"/>
              <w:rPr>
                <w:sz w:val="18"/>
                <w:szCs w:val="18"/>
                <w:color w:val="auto"/>
              </w:rPr>
            </w:pP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12,444</w:t>
            </w:r>
          </w:p>
        </w:tc>
        <w:tc>
          <w:tcPr>
            <w:tcW w:w="2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16,257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28,224</w:t>
            </w:r>
          </w:p>
        </w:tc>
        <w:tc>
          <w:tcPr>
            <w:tcW w:w="2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40,489</w:t>
            </w:r>
          </w:p>
        </w:tc>
      </w:tr>
      <w:tr>
        <w:trPr>
          <w:trHeight w:val="216"/>
        </w:trPr>
        <w:tc>
          <w:tcPr>
            <w:tcW w:w="4020" w:type="dxa"/>
            <w:vAlign w:val="bottom"/>
            <w:gridSpan w:val="3"/>
          </w:tcPr>
          <w:p>
            <w:pPr>
              <w:spacing w:after="0"/>
              <w:rPr>
                <w:sz w:val="20"/>
                <w:szCs w:val="20"/>
                <w:color w:val="auto"/>
              </w:rPr>
            </w:pPr>
            <w:r>
              <w:rPr>
                <w:rFonts w:ascii="Arial" w:cs="Arial" w:eastAsia="Arial" w:hAnsi="Arial"/>
                <w:sz w:val="18"/>
                <w:szCs w:val="18"/>
                <w:color w:val="auto"/>
              </w:rPr>
              <w:t>Cumulative effect on prior years of the accounting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3480" w:type="dxa"/>
            <w:vAlign w:val="bottom"/>
            <w:gridSpan w:val="2"/>
          </w:tcPr>
          <w:p>
            <w:pPr>
              <w:ind w:left="140"/>
              <w:spacing w:after="0"/>
              <w:rPr>
                <w:sz w:val="20"/>
                <w:szCs w:val="20"/>
                <w:color w:val="auto"/>
              </w:rPr>
            </w:pPr>
            <w:r>
              <w:rPr>
                <w:rFonts w:ascii="Arial" w:cs="Arial" w:eastAsia="Arial" w:hAnsi="Arial"/>
                <w:sz w:val="18"/>
                <w:szCs w:val="18"/>
                <w:color w:val="auto"/>
              </w:rPr>
              <w:t>method change</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110"/>
        </w:trPr>
        <w:tc>
          <w:tcPr>
            <w:tcW w:w="2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3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12,444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16,257</w:t>
            </w:r>
          </w:p>
        </w:tc>
        <w:tc>
          <w:tcPr>
            <w:tcW w:w="100" w:type="dxa"/>
            <w:vAlign w:val="bottom"/>
          </w:tcPr>
          <w:p>
            <w:pPr>
              <w:spacing w:after="0"/>
              <w:rPr>
                <w:sz w:val="24"/>
                <w:szCs w:val="24"/>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27,174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40,489</w:t>
            </w:r>
          </w:p>
        </w:tc>
      </w:tr>
      <w:tr>
        <w:trPr>
          <w:trHeight w:val="120"/>
        </w:trPr>
        <w:tc>
          <w:tcPr>
            <w:tcW w:w="25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280"/>
        </w:trPr>
        <w:tc>
          <w:tcPr>
            <w:tcW w:w="3480" w:type="dxa"/>
            <w:vAlign w:val="bottom"/>
            <w:gridSpan w:val="2"/>
          </w:tcPr>
          <w:p>
            <w:pPr>
              <w:spacing w:after="0"/>
              <w:rPr>
                <w:sz w:val="20"/>
                <w:szCs w:val="20"/>
                <w:color w:val="auto"/>
              </w:rPr>
            </w:pPr>
            <w:r>
              <w:rPr>
                <w:rFonts w:ascii="Arial" w:cs="Arial" w:eastAsia="Arial" w:hAnsi="Arial"/>
                <w:sz w:val="18"/>
                <w:szCs w:val="18"/>
                <w:color w:val="auto"/>
              </w:rPr>
              <w:t>Earnings per share - basic (Note 8):</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8"/>
        </w:trPr>
        <w:tc>
          <w:tcPr>
            <w:tcW w:w="3480" w:type="dxa"/>
            <w:vAlign w:val="bottom"/>
            <w:gridSpan w:val="2"/>
          </w:tcPr>
          <w:p>
            <w:pPr>
              <w:ind w:left="140"/>
              <w:spacing w:after="0"/>
              <w:rPr>
                <w:sz w:val="20"/>
                <w:szCs w:val="20"/>
                <w:color w:val="auto"/>
              </w:rPr>
            </w:pPr>
            <w:r>
              <w:rPr>
                <w:rFonts w:ascii="Arial" w:cs="Arial" w:eastAsia="Arial" w:hAnsi="Arial"/>
                <w:sz w:val="18"/>
                <w:szCs w:val="18"/>
                <w:color w:val="auto"/>
                <w:w w:val="92"/>
              </w:rPr>
              <w:t>Income before cumulative effect of change in</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480" w:type="dxa"/>
            <w:vAlign w:val="bottom"/>
            <w:gridSpan w:val="2"/>
          </w:tcPr>
          <w:p>
            <w:pPr>
              <w:ind w:left="280"/>
              <w:spacing w:after="0"/>
              <w:rPr>
                <w:sz w:val="20"/>
                <w:szCs w:val="20"/>
                <w:color w:val="auto"/>
              </w:rPr>
            </w:pPr>
            <w:r>
              <w:rPr>
                <w:rFonts w:ascii="Arial" w:cs="Arial" w:eastAsia="Arial" w:hAnsi="Arial"/>
                <w:sz w:val="18"/>
                <w:szCs w:val="18"/>
                <w:color w:val="auto"/>
              </w:rPr>
              <w:t>accounting method</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1.86</w:t>
            </w:r>
          </w:p>
        </w:tc>
      </w:tr>
      <w:tr>
        <w:trPr>
          <w:trHeight w:val="216"/>
        </w:trPr>
        <w:tc>
          <w:tcPr>
            <w:tcW w:w="3480" w:type="dxa"/>
            <w:vAlign w:val="bottom"/>
            <w:gridSpan w:val="2"/>
          </w:tcPr>
          <w:p>
            <w:pPr>
              <w:ind w:left="140"/>
              <w:spacing w:after="0"/>
              <w:rPr>
                <w:sz w:val="20"/>
                <w:szCs w:val="20"/>
                <w:color w:val="auto"/>
              </w:rPr>
            </w:pPr>
            <w:r>
              <w:rPr>
                <w:rFonts w:ascii="Arial" w:cs="Arial" w:eastAsia="Arial" w:hAnsi="Arial"/>
                <w:sz w:val="18"/>
                <w:szCs w:val="18"/>
                <w:color w:val="auto"/>
              </w:rPr>
              <w:t>Cumulative effect on prior years of the</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3480" w:type="dxa"/>
            <w:vAlign w:val="bottom"/>
            <w:gridSpan w:val="2"/>
          </w:tcPr>
          <w:p>
            <w:pPr>
              <w:ind w:left="280"/>
              <w:spacing w:after="0"/>
              <w:rPr>
                <w:sz w:val="20"/>
                <w:szCs w:val="20"/>
                <w:color w:val="auto"/>
              </w:rPr>
            </w:pPr>
            <w:r>
              <w:rPr>
                <w:rFonts w:ascii="Arial" w:cs="Arial" w:eastAsia="Arial" w:hAnsi="Arial"/>
                <w:sz w:val="18"/>
                <w:szCs w:val="18"/>
                <w:color w:val="auto"/>
              </w:rPr>
              <w:t>accounting method change</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110"/>
        </w:trPr>
        <w:tc>
          <w:tcPr>
            <w:tcW w:w="25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3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120"/>
              <w:spacing w:after="0"/>
              <w:rPr>
                <w:sz w:val="20"/>
                <w:szCs w:val="20"/>
                <w:color w:val="auto"/>
              </w:rPr>
            </w:pPr>
            <w:r>
              <w:rPr>
                <w:rFonts w:ascii="Arial" w:cs="Arial" w:eastAsia="Arial" w:hAnsi="Arial"/>
                <w:sz w:val="18"/>
                <w:szCs w:val="18"/>
                <w:color w:val="auto"/>
              </w:rPr>
              <w:t>.61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1.86</w:t>
            </w:r>
          </w:p>
        </w:tc>
      </w:tr>
      <w:tr>
        <w:trPr>
          <w:trHeight w:val="120"/>
        </w:trPr>
        <w:tc>
          <w:tcPr>
            <w:tcW w:w="25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319"/>
        </w:trPr>
        <w:tc>
          <w:tcPr>
            <w:tcW w:w="3480" w:type="dxa"/>
            <w:vAlign w:val="bottom"/>
            <w:gridSpan w:val="2"/>
          </w:tcPr>
          <w:p>
            <w:pPr>
              <w:spacing w:after="0"/>
              <w:rPr>
                <w:sz w:val="20"/>
                <w:szCs w:val="20"/>
                <w:color w:val="auto"/>
              </w:rPr>
            </w:pPr>
            <w:r>
              <w:rPr>
                <w:rFonts w:ascii="Arial" w:cs="Arial" w:eastAsia="Arial" w:hAnsi="Arial"/>
                <w:sz w:val="18"/>
                <w:szCs w:val="18"/>
                <w:color w:val="auto"/>
                <w:w w:val="87"/>
              </w:rPr>
              <w:t>Number of shares used in per share calculations -</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-1340485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-1340485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-216535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2" w:orient="portrait"/>
          <w:cols w:equalWidth="0" w:num="1">
            <w:col w:w="10219"/>
          </w:cols>
          <w:pgMar w:left="240" w:top="131"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3720" w:type="dxa"/>
            <w:vAlign w:val="bottom"/>
            <w:gridSpan w:val="2"/>
          </w:tcPr>
          <w:p>
            <w:pPr>
              <w:ind w:left="140"/>
              <w:spacing w:after="0"/>
              <w:rPr>
                <w:sz w:val="20"/>
                <w:szCs w:val="20"/>
                <w:color w:val="auto"/>
              </w:rPr>
            </w:pPr>
            <w:r>
              <w:rPr>
                <w:rFonts w:ascii="Arial" w:cs="Arial" w:eastAsia="Arial" w:hAnsi="Arial"/>
                <w:sz w:val="18"/>
                <w:szCs w:val="18"/>
                <w:color w:val="auto"/>
              </w:rPr>
              <w:t>basic (Note 8)</w:t>
            </w:r>
          </w:p>
        </w:tc>
        <w:tc>
          <w:tcPr>
            <w:tcW w:w="3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20,566</w:t>
            </w: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21,531</w:t>
            </w:r>
          </w:p>
        </w:tc>
        <w:tc>
          <w:tcPr>
            <w:tcW w:w="3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20,748</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21,808</w:t>
            </w:r>
          </w:p>
        </w:tc>
      </w:tr>
      <w:tr>
        <w:trPr>
          <w:trHeight w:val="120"/>
        </w:trPr>
        <w:tc>
          <w:tcPr>
            <w:tcW w:w="2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280"/>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Earnings per share - diluted (Note 8):</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8"/>
        </w:trPr>
        <w:tc>
          <w:tcPr>
            <w:tcW w:w="3720" w:type="dxa"/>
            <w:vAlign w:val="bottom"/>
            <w:gridSpan w:val="2"/>
          </w:tcPr>
          <w:p>
            <w:pPr>
              <w:ind w:left="140"/>
              <w:spacing w:after="0"/>
              <w:rPr>
                <w:sz w:val="20"/>
                <w:szCs w:val="20"/>
                <w:color w:val="auto"/>
              </w:rPr>
            </w:pPr>
            <w:r>
              <w:rPr>
                <w:rFonts w:ascii="Arial" w:cs="Arial" w:eastAsia="Arial" w:hAnsi="Arial"/>
                <w:sz w:val="18"/>
                <w:szCs w:val="18"/>
                <w:color w:val="auto"/>
                <w:w w:val="95"/>
              </w:rPr>
              <w:t>Income before cumulative effect of a change in</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6"/>
        </w:trPr>
        <w:tc>
          <w:tcPr>
            <w:tcW w:w="3720" w:type="dxa"/>
            <w:vAlign w:val="bottom"/>
            <w:gridSpan w:val="2"/>
          </w:tcPr>
          <w:p>
            <w:pPr>
              <w:ind w:left="280"/>
              <w:spacing w:after="0"/>
              <w:rPr>
                <w:sz w:val="20"/>
                <w:szCs w:val="20"/>
                <w:color w:val="auto"/>
              </w:rPr>
            </w:pPr>
            <w:r>
              <w:rPr>
                <w:rFonts w:ascii="Arial" w:cs="Arial" w:eastAsia="Arial" w:hAnsi="Arial"/>
                <w:sz w:val="18"/>
                <w:szCs w:val="18"/>
                <w:color w:val="auto"/>
              </w:rPr>
              <w:t>accounting method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3720" w:type="dxa"/>
            <w:vAlign w:val="bottom"/>
            <w:gridSpan w:val="2"/>
          </w:tcPr>
          <w:p>
            <w:pPr>
              <w:ind w:left="140"/>
              <w:spacing w:after="0"/>
              <w:rPr>
                <w:sz w:val="20"/>
                <w:szCs w:val="20"/>
                <w:color w:val="auto"/>
              </w:rPr>
            </w:pPr>
            <w:r>
              <w:rPr>
                <w:rFonts w:ascii="Arial" w:cs="Arial" w:eastAsia="Arial" w:hAnsi="Arial"/>
                <w:sz w:val="18"/>
                <w:szCs w:val="18"/>
                <w:color w:val="auto"/>
              </w:rPr>
              <w:t>Cumulative effect on prior years of the</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3720" w:type="dxa"/>
            <w:vAlign w:val="bottom"/>
            <w:gridSpan w:val="2"/>
          </w:tcPr>
          <w:p>
            <w:pPr>
              <w:ind w:left="280"/>
              <w:spacing w:after="0"/>
              <w:rPr>
                <w:sz w:val="20"/>
                <w:szCs w:val="20"/>
                <w:color w:val="auto"/>
              </w:rPr>
            </w:pPr>
            <w:r>
              <w:rPr>
                <w:rFonts w:ascii="Arial" w:cs="Arial" w:eastAsia="Arial" w:hAnsi="Arial"/>
                <w:sz w:val="18"/>
                <w:szCs w:val="18"/>
                <w:color w:val="auto"/>
              </w:rPr>
              <w:t>accounting method change</w:t>
            </w:r>
          </w:p>
        </w:tc>
        <w:tc>
          <w:tcPr>
            <w:tcW w:w="3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26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r>
      <w:tr>
        <w:trPr>
          <w:trHeight w:val="316"/>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120"/>
        </w:trPr>
        <w:tc>
          <w:tcPr>
            <w:tcW w:w="2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313"/>
        </w:trPr>
        <w:tc>
          <w:tcPr>
            <w:tcW w:w="3720" w:type="dxa"/>
            <w:vAlign w:val="bottom"/>
            <w:gridSpan w:val="2"/>
          </w:tcPr>
          <w:p>
            <w:pPr>
              <w:spacing w:after="0"/>
              <w:rPr>
                <w:sz w:val="20"/>
                <w:szCs w:val="20"/>
                <w:color w:val="auto"/>
              </w:rPr>
            </w:pPr>
            <w:r>
              <w:rPr>
                <w:rFonts w:ascii="Arial" w:cs="Arial" w:eastAsia="Arial" w:hAnsi="Arial"/>
                <w:sz w:val="18"/>
                <w:szCs w:val="18"/>
                <w:color w:val="auto"/>
                <w:w w:val="93"/>
              </w:rPr>
              <w:t>Number of shares used in per share calculations -</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3720" w:type="dxa"/>
            <w:vAlign w:val="bottom"/>
            <w:gridSpan w:val="2"/>
          </w:tcPr>
          <w:p>
            <w:pPr>
              <w:ind w:left="140"/>
              <w:spacing w:after="0"/>
              <w:rPr>
                <w:sz w:val="20"/>
                <w:szCs w:val="20"/>
                <w:color w:val="auto"/>
              </w:rPr>
            </w:pPr>
            <w:r>
              <w:rPr>
                <w:rFonts w:ascii="Arial" w:cs="Arial" w:eastAsia="Arial" w:hAnsi="Arial"/>
                <w:sz w:val="18"/>
                <w:szCs w:val="18"/>
                <w:color w:val="auto"/>
              </w:rPr>
              <w:t>diluted (Note 8)</w:t>
            </w:r>
          </w:p>
        </w:tc>
        <w:tc>
          <w:tcPr>
            <w:tcW w:w="3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20,885</w:t>
            </w: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21,848</w:t>
            </w:r>
          </w:p>
        </w:tc>
        <w:tc>
          <w:tcPr>
            <w:tcW w:w="3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21,016</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22,176</w:t>
            </w:r>
          </w:p>
        </w:tc>
      </w:tr>
      <w:tr>
        <w:trPr>
          <w:trHeight w:val="120"/>
        </w:trPr>
        <w:tc>
          <w:tcPr>
            <w:tcW w:w="26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313"/>
        </w:trPr>
        <w:tc>
          <w:tcPr>
            <w:tcW w:w="3720" w:type="dxa"/>
            <w:vAlign w:val="bottom"/>
            <w:gridSpan w:val="2"/>
          </w:tcPr>
          <w:p>
            <w:pPr>
              <w:spacing w:after="0"/>
              <w:rPr>
                <w:sz w:val="20"/>
                <w:szCs w:val="20"/>
                <w:color w:val="auto"/>
              </w:rPr>
            </w:pPr>
            <w:r>
              <w:rPr>
                <w:rFonts w:ascii="Arial" w:cs="Arial" w:eastAsia="Arial" w:hAnsi="Arial"/>
                <w:sz w:val="18"/>
                <w:szCs w:val="18"/>
                <w:color w:val="auto"/>
                <w:w w:val="95"/>
              </w:rPr>
              <w:t>Proforma information for the adoption of SAB101</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w w:val="98"/>
              </w:rPr>
              <w:t>197,005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217,511</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503,703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587,611</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12,444</w:t>
            </w:r>
          </w:p>
        </w:tc>
        <w:tc>
          <w:tcPr>
            <w:tcW w:w="3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16,633</w:t>
            </w:r>
          </w:p>
        </w:tc>
        <w:tc>
          <w:tcPr>
            <w:tcW w:w="3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28,224</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40,285</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Earnings per share - basic</w:t>
            </w:r>
          </w:p>
        </w:tc>
        <w:tc>
          <w:tcPr>
            <w:tcW w:w="32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18"/>
                <w:szCs w:val="18"/>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3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380" w:type="dxa"/>
            <w:vAlign w:val="bottom"/>
          </w:tcPr>
          <w:p>
            <w:pPr>
              <w:spacing w:after="0"/>
              <w:rPr>
                <w:sz w:val="19"/>
                <w:szCs w:val="19"/>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-2317750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-1194435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-1194435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-765810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-765810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3</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UNAUDITED CONSOLIDATED CONDENSED STATEMENTS OF CASH FLOWS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Dollars in thousands</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4"/>
        </w:trPr>
        <w:tc>
          <w:tcPr>
            <w:tcW w:w="5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gridSpan w:val="7"/>
          </w:tcPr>
          <w:p>
            <w:pPr>
              <w:spacing w:after="0"/>
              <w:rPr>
                <w:sz w:val="20"/>
                <w:szCs w:val="20"/>
                <w:color w:val="auto"/>
              </w:rPr>
            </w:pPr>
            <w:r>
              <w:rPr>
                <w:rFonts w:ascii="Arial" w:cs="Arial" w:eastAsia="Arial" w:hAnsi="Arial"/>
                <w:sz w:val="18"/>
                <w:szCs w:val="18"/>
                <w:b w:val="1"/>
                <w:bCs w:val="1"/>
                <w:color w:val="auto"/>
                <w:w w:val="93"/>
              </w:rPr>
              <w:t>Thirty-Nine Weeks Ended</w:t>
            </w:r>
          </w:p>
        </w:tc>
      </w:tr>
      <w:tr>
        <w:trPr>
          <w:trHeight w:val="222"/>
        </w:trPr>
        <w:tc>
          <w:tcPr>
            <w:tcW w:w="5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May 26,</w:t>
            </w:r>
          </w:p>
        </w:tc>
        <w:tc>
          <w:tcPr>
            <w:tcW w:w="1000" w:type="dxa"/>
            <w:vAlign w:val="bottom"/>
            <w:tcBorders>
              <w:top w:val="single" w:sz="8" w:color="auto"/>
            </w:tcBorders>
            <w:gridSpan w:val="3"/>
          </w:tcPr>
          <w:p>
            <w:pPr>
              <w:jc w:val="center"/>
              <w:ind w:left="112"/>
              <w:spacing w:after="0"/>
              <w:rPr>
                <w:sz w:val="20"/>
                <w:szCs w:val="20"/>
                <w:color w:val="auto"/>
              </w:rPr>
            </w:pPr>
            <w:r>
              <w:rPr>
                <w:rFonts w:ascii="Arial" w:cs="Arial" w:eastAsia="Arial" w:hAnsi="Arial"/>
                <w:sz w:val="18"/>
                <w:szCs w:val="18"/>
                <w:b w:val="1"/>
                <w:bCs w:val="1"/>
                <w:color w:val="auto"/>
                <w:w w:val="92"/>
              </w:rPr>
              <w:t>May 27,</w:t>
            </w:r>
          </w:p>
        </w:tc>
        <w:tc>
          <w:tcPr>
            <w:tcW w:w="80" w:type="dxa"/>
            <w:vAlign w:val="bottom"/>
          </w:tcPr>
          <w:p>
            <w:pPr>
              <w:spacing w:after="0"/>
              <w:rPr>
                <w:sz w:val="19"/>
                <w:szCs w:val="19"/>
                <w:color w:val="auto"/>
              </w:rPr>
            </w:pPr>
          </w:p>
        </w:tc>
      </w:tr>
      <w:tr>
        <w:trPr>
          <w:trHeight w:val="190"/>
        </w:trPr>
        <w:tc>
          <w:tcPr>
            <w:tcW w:w="5260" w:type="dxa"/>
            <w:vAlign w:val="bottom"/>
          </w:tcPr>
          <w:p>
            <w:pPr>
              <w:spacing w:after="0"/>
              <w:rPr>
                <w:sz w:val="16"/>
                <w:szCs w:val="16"/>
                <w:color w:val="auto"/>
              </w:rPr>
            </w:pPr>
          </w:p>
        </w:tc>
        <w:tc>
          <w:tcPr>
            <w:tcW w:w="1780" w:type="dxa"/>
            <w:vAlign w:val="bottom"/>
            <w:gridSpan w:val="4"/>
          </w:tcPr>
          <w:p>
            <w:pPr>
              <w:jc w:val="right"/>
              <w:ind w:right="260"/>
              <w:spacing w:after="0" w:line="190" w:lineRule="exact"/>
              <w:rPr>
                <w:sz w:val="20"/>
                <w:szCs w:val="20"/>
                <w:color w:val="auto"/>
              </w:rPr>
            </w:pPr>
            <w:r>
              <w:rPr>
                <w:rFonts w:ascii="Arial" w:cs="Arial" w:eastAsia="Arial" w:hAnsi="Arial"/>
                <w:sz w:val="18"/>
                <w:szCs w:val="18"/>
                <w:b w:val="1"/>
                <w:bCs w:val="1"/>
                <w:color w:val="auto"/>
              </w:rPr>
              <w:t>2001</w:t>
            </w:r>
          </w:p>
        </w:tc>
        <w:tc>
          <w:tcPr>
            <w:tcW w:w="78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2000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44"/>
        </w:trPr>
        <w:tc>
          <w:tcPr>
            <w:tcW w:w="52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Net income as defined on the statements of income (page 3)</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  27,174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  40,489</w:t>
            </w:r>
          </w:p>
        </w:tc>
        <w:tc>
          <w:tcPr>
            <w:tcW w:w="8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5,508</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4,826</w:t>
            </w: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Other</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122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Decrease in receivable and other assets</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10,414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Decrease (increase) in inventories</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10,269</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Increase in accounts payable and accrued expenses</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1,272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2,916</w:t>
            </w: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Increase (decrease) in income taxes payable</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6,073</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8"/>
                <w:szCs w:val="18"/>
                <w:color w:val="auto"/>
              </w:rPr>
            </w:pPr>
          </w:p>
        </w:tc>
      </w:tr>
      <w:tr>
        <w:trPr>
          <w:trHeight w:val="222"/>
        </w:trPr>
        <w:tc>
          <w:tcPr>
            <w:tcW w:w="5260" w:type="dxa"/>
            <w:vAlign w:val="bottom"/>
          </w:tcPr>
          <w:p>
            <w:pPr>
              <w:ind w:left="100"/>
              <w:spacing w:after="0"/>
              <w:rPr>
                <w:sz w:val="20"/>
                <w:szCs w:val="20"/>
                <w:color w:val="auto"/>
              </w:rPr>
            </w:pPr>
            <w:r>
              <w:rPr>
                <w:rFonts w:ascii="Arial" w:cs="Arial" w:eastAsia="Arial" w:hAnsi="Arial"/>
                <w:sz w:val="18"/>
                <w:szCs w:val="18"/>
                <w:color w:val="auto"/>
              </w:rPr>
              <w:t>Increase in postretirement benefits</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4,967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3,862</w:t>
            </w:r>
          </w:p>
        </w:tc>
        <w:tc>
          <w:tcPr>
            <w:tcW w:w="80" w:type="dxa"/>
            <w:vAlign w:val="bottom"/>
          </w:tcPr>
          <w:p>
            <w:pPr>
              <w:spacing w:after="0"/>
              <w:rPr>
                <w:sz w:val="19"/>
                <w:szCs w:val="19"/>
                <w:color w:val="auto"/>
              </w:rPr>
            </w:pPr>
          </w:p>
        </w:tc>
      </w:tr>
      <w:tr>
        <w:trPr>
          <w:trHeight w:val="110"/>
        </w:trPr>
        <w:tc>
          <w:tcPr>
            <w:tcW w:w="5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2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65,799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52,086</w:t>
            </w:r>
          </w:p>
        </w:tc>
        <w:tc>
          <w:tcPr>
            <w:tcW w:w="80" w:type="dxa"/>
            <w:vAlign w:val="bottom"/>
          </w:tcPr>
          <w:p>
            <w:pPr>
              <w:spacing w:after="0"/>
              <w:rPr>
                <w:sz w:val="24"/>
                <w:szCs w:val="24"/>
                <w:color w:val="auto"/>
              </w:rPr>
            </w:pPr>
          </w:p>
        </w:tc>
      </w:tr>
      <w:tr>
        <w:trPr>
          <w:trHeight w:val="110"/>
        </w:trPr>
        <w:tc>
          <w:tcPr>
            <w:tcW w:w="5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525"/>
        </w:trPr>
        <w:tc>
          <w:tcPr>
            <w:tcW w:w="5260" w:type="dxa"/>
            <w:vAlign w:val="bottom"/>
          </w:tcPr>
          <w:p>
            <w:pPr>
              <w:spacing w:after="0"/>
              <w:rPr>
                <w:sz w:val="20"/>
                <w:szCs w:val="20"/>
                <w:color w:val="auto"/>
              </w:rPr>
            </w:pPr>
            <w:r>
              <w:rPr>
                <w:rFonts w:ascii="Arial" w:cs="Arial" w:eastAsia="Arial" w:hAnsi="Arial"/>
                <w:sz w:val="18"/>
                <w:szCs w:val="18"/>
                <w:color w:val="auto"/>
              </w:rPr>
              <w:t>Cash flows used by investing activities: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Purchases of property and equipment</w:t>
            </w: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rPr>
              <w:t>(6,577)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(11,715)</w:t>
            </w: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Investments in dealer receivables</w:t>
            </w: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rPr>
              <w:t>(82,464)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(81,963)</w:t>
            </w: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Collections of dealer receivables</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78,464</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74,634</w:t>
            </w:r>
          </w:p>
        </w:tc>
        <w:tc>
          <w:tcPr>
            <w:tcW w:w="80" w:type="dxa"/>
            <w:vAlign w:val="bottom"/>
          </w:tcPr>
          <w:p>
            <w:pPr>
              <w:spacing w:after="0"/>
              <w:rPr>
                <w:sz w:val="18"/>
                <w:szCs w:val="18"/>
                <w:color w:val="auto"/>
              </w:rPr>
            </w:pPr>
          </w:p>
        </w:tc>
      </w:tr>
      <w:tr>
        <w:trPr>
          <w:trHeight w:val="222"/>
        </w:trPr>
        <w:tc>
          <w:tcPr>
            <w:tcW w:w="5260" w:type="dxa"/>
            <w:vAlign w:val="bottom"/>
          </w:tcPr>
          <w:p>
            <w:pPr>
              <w:ind w:left="100"/>
              <w:spacing w:after="0"/>
              <w:rPr>
                <w:sz w:val="20"/>
                <w:szCs w:val="20"/>
                <w:color w:val="auto"/>
              </w:rPr>
            </w:pPr>
            <w:r>
              <w:rPr>
                <w:rFonts w:ascii="Arial" w:cs="Arial" w:eastAsia="Arial" w:hAnsi="Arial"/>
                <w:sz w:val="18"/>
                <w:szCs w:val="18"/>
                <w:color w:val="auto"/>
              </w:rPr>
              <w:t>Other</w:t>
            </w: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rPr>
              <w:t>(2,564)</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(2,696)</w:t>
            </w:r>
          </w:p>
        </w:tc>
        <w:tc>
          <w:tcPr>
            <w:tcW w:w="80" w:type="dxa"/>
            <w:vAlign w:val="bottom"/>
          </w:tcPr>
          <w:p>
            <w:pPr>
              <w:spacing w:after="0"/>
              <w:rPr>
                <w:sz w:val="19"/>
                <w:szCs w:val="19"/>
                <w:color w:val="auto"/>
              </w:rPr>
            </w:pPr>
          </w:p>
        </w:tc>
      </w:tr>
      <w:tr>
        <w:trPr>
          <w:trHeight w:val="110"/>
        </w:trPr>
        <w:tc>
          <w:tcPr>
            <w:tcW w:w="5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26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rPr>
              <w:t>(13,141)</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(21,740)</w:t>
            </w:r>
          </w:p>
        </w:tc>
        <w:tc>
          <w:tcPr>
            <w:tcW w:w="80" w:type="dxa"/>
            <w:vAlign w:val="bottom"/>
          </w:tcPr>
          <w:p>
            <w:pPr>
              <w:spacing w:after="0"/>
              <w:rPr>
                <w:sz w:val="24"/>
                <w:szCs w:val="24"/>
                <w:color w:val="auto"/>
              </w:rPr>
            </w:pPr>
          </w:p>
        </w:tc>
      </w:tr>
      <w:tr>
        <w:trPr>
          <w:trHeight w:val="110"/>
        </w:trPr>
        <w:tc>
          <w:tcPr>
            <w:tcW w:w="5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525"/>
        </w:trPr>
        <w:tc>
          <w:tcPr>
            <w:tcW w:w="5260" w:type="dxa"/>
            <w:vAlign w:val="bottom"/>
          </w:tcPr>
          <w:p>
            <w:pPr>
              <w:spacing w:after="0"/>
              <w:rPr>
                <w:sz w:val="20"/>
                <w:szCs w:val="20"/>
                <w:color w:val="auto"/>
              </w:rPr>
            </w:pPr>
            <w:r>
              <w:rPr>
                <w:rFonts w:ascii="Arial" w:cs="Arial" w:eastAsia="Arial" w:hAnsi="Arial"/>
                <w:sz w:val="18"/>
                <w:szCs w:val="18"/>
                <w:color w:val="auto"/>
              </w:rPr>
              <w:t>Cash flows used by financing activities and capital transactions:</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Payments for purchase of common stock</w:t>
            </w: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rPr>
              <w:t>(10,686)</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(17,747)</w:t>
            </w:r>
          </w:p>
        </w:tc>
        <w:tc>
          <w:tcPr>
            <w:tcW w:w="80" w:type="dxa"/>
            <w:vAlign w:val="bottom"/>
          </w:tcPr>
          <w:p>
            <w:pPr>
              <w:spacing w:after="0"/>
              <w:rPr>
                <w:sz w:val="18"/>
                <w:szCs w:val="18"/>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Payment of cash dividends</w:t>
            </w: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rPr>
              <w:t>(2,062)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(2,189)</w:t>
            </w:r>
          </w:p>
        </w:tc>
        <w:tc>
          <w:tcPr>
            <w:tcW w:w="80" w:type="dxa"/>
            <w:vAlign w:val="bottom"/>
          </w:tcPr>
          <w:p>
            <w:pPr>
              <w:spacing w:after="0"/>
              <w:rPr>
                <w:sz w:val="18"/>
                <w:szCs w:val="18"/>
                <w:color w:val="auto"/>
              </w:rPr>
            </w:pPr>
          </w:p>
        </w:tc>
      </w:tr>
      <w:tr>
        <w:trPr>
          <w:trHeight w:val="222"/>
        </w:trPr>
        <w:tc>
          <w:tcPr>
            <w:tcW w:w="5260" w:type="dxa"/>
            <w:vAlign w:val="bottom"/>
          </w:tcPr>
          <w:p>
            <w:pPr>
              <w:ind w:left="100"/>
              <w:spacing w:after="0"/>
              <w:rPr>
                <w:sz w:val="20"/>
                <w:szCs w:val="20"/>
                <w:color w:val="auto"/>
              </w:rPr>
            </w:pPr>
            <w:r>
              <w:rPr>
                <w:rFonts w:ascii="Arial" w:cs="Arial" w:eastAsia="Arial" w:hAnsi="Arial"/>
                <w:sz w:val="18"/>
                <w:szCs w:val="18"/>
                <w:color w:val="auto"/>
              </w:rPr>
              <w:t>Proceeds from issuance of common and treasury stock</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1,829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9"/>
                <w:szCs w:val="19"/>
                <w:color w:val="auto"/>
              </w:rPr>
            </w:pPr>
          </w:p>
        </w:tc>
      </w:tr>
      <w:tr>
        <w:trPr>
          <w:trHeight w:val="110"/>
        </w:trPr>
        <w:tc>
          <w:tcPr>
            <w:tcW w:w="5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09"/>
        </w:trPr>
        <w:tc>
          <w:tcPr>
            <w:tcW w:w="5260" w:type="dxa"/>
            <w:vAlign w:val="bottom"/>
          </w:tcPr>
          <w:p>
            <w:pPr>
              <w:spacing w:after="0"/>
              <w:rPr>
                <w:sz w:val="20"/>
                <w:szCs w:val="20"/>
                <w:color w:val="auto"/>
              </w:rPr>
            </w:pPr>
            <w:r>
              <w:rPr>
                <w:rFonts w:ascii="Arial" w:cs="Arial" w:eastAsia="Arial" w:hAnsi="Arial"/>
                <w:sz w:val="18"/>
                <w:szCs w:val="18"/>
                <w:color w:val="auto"/>
              </w:rPr>
              <w:t>Net cash used by financing activities and</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2"/>
        </w:trPr>
        <w:tc>
          <w:tcPr>
            <w:tcW w:w="5260" w:type="dxa"/>
            <w:vAlign w:val="bottom"/>
          </w:tcPr>
          <w:p>
            <w:pPr>
              <w:ind w:left="140"/>
              <w:spacing w:after="0"/>
              <w:rPr>
                <w:sz w:val="20"/>
                <w:szCs w:val="20"/>
                <w:color w:val="auto"/>
              </w:rPr>
            </w:pPr>
            <w:r>
              <w:rPr>
                <w:rFonts w:ascii="Arial" w:cs="Arial" w:eastAsia="Arial" w:hAnsi="Arial"/>
                <w:sz w:val="18"/>
                <w:szCs w:val="18"/>
                <w:color w:val="auto"/>
              </w:rPr>
              <w:t>capital transactions</w:t>
            </w:r>
          </w:p>
        </w:tc>
        <w:tc>
          <w:tcPr>
            <w:tcW w:w="1780" w:type="dxa"/>
            <w:vAlign w:val="bottom"/>
            <w:gridSpan w:val="4"/>
          </w:tcPr>
          <w:p>
            <w:pPr>
              <w:jc w:val="right"/>
              <w:ind w:right="200"/>
              <w:spacing w:after="0"/>
              <w:rPr>
                <w:sz w:val="20"/>
                <w:szCs w:val="20"/>
                <w:color w:val="auto"/>
              </w:rPr>
            </w:pPr>
            <w:r>
              <w:rPr>
                <w:rFonts w:ascii="Arial" w:cs="Arial" w:eastAsia="Arial" w:hAnsi="Arial"/>
                <w:sz w:val="18"/>
                <w:szCs w:val="18"/>
                <w:color w:val="auto"/>
              </w:rPr>
              <w:t>(10,919)</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(18,781)</w:t>
            </w:r>
          </w:p>
        </w:tc>
        <w:tc>
          <w:tcPr>
            <w:tcW w:w="80" w:type="dxa"/>
            <w:vAlign w:val="bottom"/>
          </w:tcPr>
          <w:p>
            <w:pPr>
              <w:spacing w:after="0"/>
              <w:rPr>
                <w:sz w:val="19"/>
                <w:szCs w:val="19"/>
                <w:color w:val="auto"/>
              </w:rPr>
            </w:pPr>
          </w:p>
        </w:tc>
      </w:tr>
      <w:tr>
        <w:trPr>
          <w:trHeight w:val="110"/>
        </w:trPr>
        <w:tc>
          <w:tcPr>
            <w:tcW w:w="5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r>
        <w:trPr>
          <w:trHeight w:val="316"/>
        </w:trPr>
        <w:tc>
          <w:tcPr>
            <w:tcW w:w="52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41,739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11,565</w:t>
            </w:r>
          </w:p>
        </w:tc>
        <w:tc>
          <w:tcPr>
            <w:tcW w:w="80" w:type="dxa"/>
            <w:vAlign w:val="bottom"/>
          </w:tcPr>
          <w:p>
            <w:pPr>
              <w:spacing w:after="0"/>
              <w:rPr>
                <w:sz w:val="24"/>
                <w:szCs w:val="24"/>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780" w:type="dxa"/>
            <w:vAlign w:val="bottom"/>
            <w:gridSpan w:val="4"/>
          </w:tcPr>
          <w:p>
            <w:pPr>
              <w:jc w:val="right"/>
              <w:ind w:right="260"/>
              <w:spacing w:after="0"/>
              <w:rPr>
                <w:sz w:val="20"/>
                <w:szCs w:val="20"/>
                <w:color w:val="auto"/>
              </w:rPr>
            </w:pPr>
            <w:r>
              <w:rPr>
                <w:rFonts w:ascii="Arial" w:cs="Arial" w:eastAsia="Arial" w:hAnsi="Arial"/>
                <w:sz w:val="18"/>
                <w:szCs w:val="18"/>
                <w:color w:val="auto"/>
              </w:rPr>
              <w:t>51,443</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48,160</w:t>
            </w:r>
          </w:p>
        </w:tc>
        <w:tc>
          <w:tcPr>
            <w:tcW w:w="80" w:type="dxa"/>
            <w:vAlign w:val="bottom"/>
          </w:tcPr>
          <w:p>
            <w:pPr>
              <w:spacing w:after="0"/>
              <w:rPr>
                <w:sz w:val="24"/>
                <w:szCs w:val="24"/>
                <w:color w:val="auto"/>
              </w:rPr>
            </w:pPr>
          </w:p>
        </w:tc>
      </w:tr>
      <w:tr>
        <w:trPr>
          <w:trHeight w:val="110"/>
        </w:trPr>
        <w:tc>
          <w:tcPr>
            <w:tcW w:w="5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r>
    </w:tbl>
    <w:p>
      <w:pPr>
        <w:spacing w:after="0" w:line="200" w:lineRule="exact"/>
        <w:rPr>
          <w:sz w:val="20"/>
          <w:szCs w:val="20"/>
          <w:color w:val="auto"/>
        </w:rPr>
      </w:pPr>
    </w:p>
    <w:p>
      <w:pPr>
        <w:sectPr>
          <w:pgSz w:w="11900" w:h="16838" w:orient="portrait"/>
          <w:cols w:equalWidth="0" w:num="1">
            <w:col w:w="10219"/>
          </w:cols>
          <w:pgMar w:left="240" w:top="131" w:right="1440" w:bottom="0" w:gutter="0" w:footer="0" w:header="0"/>
        </w:sectPr>
      </w:pPr>
    </w:p>
    <w:p>
      <w:pPr>
        <w:spacing w:after="0" w:line="116" w:lineRule="exact"/>
        <w:rPr>
          <w:sz w:val="20"/>
          <w:szCs w:val="20"/>
          <w:color w:val="auto"/>
        </w:rPr>
      </w:pPr>
    </w:p>
    <w:p>
      <w:pPr>
        <w:spacing w:after="0"/>
        <w:tabs>
          <w:tab w:leader="none" w:pos="6000" w:val="left"/>
          <w:tab w:leader="none" w:pos="6280" w:val="left"/>
          <w:tab w:leader="none" w:pos="7160" w:val="left"/>
          <w:tab w:leader="none" w:pos="7440" w:val="left"/>
        </w:tabs>
        <w:rPr>
          <w:sz w:val="20"/>
          <w:szCs w:val="20"/>
          <w:color w:val="auto"/>
        </w:rPr>
      </w:pPr>
      <w:r>
        <w:rPr>
          <w:rFonts w:ascii="Arial" w:cs="Arial" w:eastAsia="Arial" w:hAnsi="Arial"/>
          <w:sz w:val="18"/>
          <w:szCs w:val="18"/>
          <w:color w:val="auto"/>
        </w:rPr>
        <w:t>Cash and cash equivalents - end of period</w:t>
      </w:r>
      <w:r>
        <w:rPr>
          <w:sz w:val="20"/>
          <w:szCs w:val="20"/>
          <w:color w:val="auto"/>
        </w:rPr>
        <w:tab/>
      </w:r>
      <w:r>
        <w:rPr>
          <w:rFonts w:ascii="Arial" w:cs="Arial" w:eastAsia="Arial" w:hAnsi="Arial"/>
          <w:sz w:val="18"/>
          <w:szCs w:val="18"/>
          <w:color w:val="auto"/>
        </w:rPr>
        <w:t>$</w:t>
        <w:tab/>
        <w:t>93,182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59,725</w:t>
      </w:r>
    </w:p>
    <w:p>
      <w:pPr>
        <w:sectPr>
          <w:pgSz w:w="11900" w:h="16838" w:orient="portrait"/>
          <w:cols w:equalWidth="0" w:num="1">
            <w:col w:w="10219"/>
          </w:cols>
          <w:pgMar w:left="240" w:top="131" w:right="1440"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514985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19050"/>
                    </a:xfrm>
                    <a:prstGeom prst="rect">
                      <a:avLst/>
                    </a:prstGeom>
                    <a:noFill/>
                  </pic:spPr>
                </pic:pic>
              </a:graphicData>
            </a:graphic>
          </wp:anchor>
        </w:drawing>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left="580" w:right="20"/>
        <w:spacing w:after="0" w:line="290" w:lineRule="auto"/>
        <w:rPr>
          <w:sz w:val="20"/>
          <w:szCs w:val="20"/>
          <w:color w:val="auto"/>
        </w:rPr>
      </w:pPr>
      <w:r>
        <w:rPr>
          <w:rFonts w:ascii="Arial" w:cs="Arial" w:eastAsia="Arial" w:hAnsi="Arial"/>
          <w:sz w:val="16"/>
          <w:szCs w:val="16"/>
          <w:color w:val="auto"/>
        </w:rPr>
        <w:t>In the opinion of management, the accompanying unaudited consolidated condensed financial statements contain all adjustments, consisting of normal recurring accruals, necessary to present fairly the consolidated financial position as of May 26, 2001, the consolidated results of operations for the 39 and 13 weeks ended May 26, 2001 and May 27, 2000, and the consolidated cash flows for the 39 weeks ended May 26, 2001 and May 27, 2000. The statement of income for the 39 weeks ended May 26, 2001, is not necessarily indicative of the results to be expected for the full year. The balance sheet data as of August 26, 2000 was derived from audited financial statements, but does not include all disclosures contained in the Company’s Annual Report to Shareholders for the year ended August 26, 2000. These interim consolidated financial statements should be read in conjunction with the audited financial statements and notes thereto appearing in the Company’s Annual Report to Shareholders for the year ended August 26, 2000.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31" w:lineRule="exact"/>
        <w:rPr>
          <w:sz w:val="20"/>
          <w:szCs w:val="20"/>
          <w:color w:val="auto"/>
        </w:rPr>
      </w:pPr>
    </w:p>
    <w:p>
      <w:pPr>
        <w:ind w:left="580" w:right="120"/>
        <w:spacing w:after="0" w:line="291" w:lineRule="auto"/>
        <w:rPr>
          <w:sz w:val="20"/>
          <w:szCs w:val="20"/>
          <w:color w:val="auto"/>
        </w:rPr>
      </w:pPr>
      <w:r>
        <w:rPr>
          <w:rFonts w:ascii="Arial" w:cs="Arial" w:eastAsia="Arial" w:hAnsi="Arial"/>
          <w:sz w:val="16"/>
          <w:szCs w:val="16"/>
          <w:color w:val="auto"/>
        </w:rPr>
        <w:t xml:space="preserve">On August 27, 2000, the Company adopted the Securities and Exchange Commission’s (SEC) Staff Accounting Bulletin (SAB) No. 101 —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 in Financial Statements</w:t>
      </w:r>
      <w:r>
        <w:rPr>
          <w:rFonts w:ascii="Arial" w:cs="Arial" w:eastAsia="Arial" w:hAnsi="Arial"/>
          <w:sz w:val="16"/>
          <w:szCs w:val="16"/>
          <w:color w:val="auto"/>
        </w:rPr>
        <w:t>, which the SEC staff issued in December 1999. SAB No. 101 sets forth the SEC’s views concerning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As a result of SAB No. 101 the Company began recording revenue upon receipt of products by Winnebago Industries’ dealers rather than upon shipment by the Company. This change required an adjustment to retained earnings in the Company’s first quarter 2001 results, which reflects the cumulative effect on the prior year’s results due to the application of SAB No. 101. Pro forma information for the 13 and 39 weeks ended May 27, 2000 is disclosed on the Company’s Unaudited Consolidated Statements of Income (page 3 of this report).</w:t>
      </w:r>
    </w:p>
    <w:p>
      <w:pPr>
        <w:spacing w:after="0" w:line="201"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 xml:space="preserve">On August 27, 2000, the Company adopted Statement of Financial Accounting Standards (SFAS) No.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Activities</w:t>
      </w:r>
      <w:r>
        <w:rPr>
          <w:rFonts w:ascii="Arial" w:cs="Arial" w:eastAsia="Arial" w:hAnsi="Arial"/>
          <w:sz w:val="16"/>
          <w:szCs w:val="16"/>
          <w:color w:val="auto"/>
        </w:rPr>
        <w:t>, as amended by SFAS No. 138,</w:t>
      </w:r>
      <w:r>
        <w:rPr>
          <w:rFonts w:ascii="Arial" w:cs="Arial" w:eastAsia="Arial" w:hAnsi="Arial"/>
          <w:sz w:val="16"/>
          <w:szCs w:val="16"/>
          <w:i w:val="1"/>
          <w:iCs w:val="1"/>
          <w:color w:val="auto"/>
        </w:rPr>
        <w:t xml:space="preserve"> Accounting for Certain Derivative Instruments and Certain Hedging Activities</w:t>
      </w:r>
      <w:r>
        <w:rPr>
          <w:rFonts w:ascii="Arial" w:cs="Arial" w:eastAsia="Arial" w:hAnsi="Arial"/>
          <w:sz w:val="16"/>
          <w:szCs w:val="16"/>
          <w:color w:val="auto"/>
        </w:rPr>
        <w:t>. SFAS No. 133 and No.</w:t>
      </w:r>
      <w:r>
        <w:rPr>
          <w:rFonts w:ascii="Arial" w:cs="Arial" w:eastAsia="Arial" w:hAnsi="Arial"/>
          <w:sz w:val="16"/>
          <w:szCs w:val="16"/>
          <w:i w:val="1"/>
          <w:iCs w:val="1"/>
          <w:color w:val="auto"/>
        </w:rPr>
        <w:t xml:space="preserve"> </w:t>
      </w:r>
      <w:r>
        <w:rPr>
          <w:rFonts w:ascii="Arial" w:cs="Arial" w:eastAsia="Arial" w:hAnsi="Arial"/>
          <w:sz w:val="16"/>
          <w:szCs w:val="16"/>
          <w:color w:val="auto"/>
        </w:rPr>
        <w:t>138 require that all derivatives, including those embedded in other contracts, be recognized as either assets or liabilities and that such financial instruments be measured at fair value. The accounting for changes in the fair value of derivatives depends on their intended use and designation. Management has reviewed the requirements of SFAS No. 133 and SFAS No. 138 and has determined that the Company has no freestanding or embedded derivatives. All contracts that contain provisions meeting the definition of a derivative also meet the requirements of, and have been designated as, normal purchases or sales. The Company’s policy is to not use freestanding derivatives and to not enter into contracts with terms that cannot be designated as normal purchases or sales.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31" w:lineRule="exact"/>
        <w:rPr>
          <w:sz w:val="20"/>
          <w:szCs w:val="20"/>
          <w:color w:val="auto"/>
        </w:rPr>
      </w:pPr>
    </w:p>
    <w:p>
      <w:pPr>
        <w:ind w:left="580" w:right="34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4840" w:type="dxa"/>
            <w:vAlign w:val="bottom"/>
            <w:gridSpan w:val="2"/>
          </w:tcPr>
          <w:p>
            <w:pPr>
              <w:spacing w:after="0"/>
              <w:rPr>
                <w:sz w:val="20"/>
                <w:szCs w:val="20"/>
                <w:color w:val="auto"/>
              </w:rPr>
            </w:pPr>
            <w:r>
              <w:rPr>
                <w:rFonts w:ascii="Arial" w:cs="Arial" w:eastAsia="Arial" w:hAnsi="Arial"/>
                <w:sz w:val="18"/>
                <w:szCs w:val="18"/>
                <w:color w:val="auto"/>
                <w:w w:val="93"/>
              </w:rPr>
              <w:t>Inventories are composed of the following (dollars in thousands):</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47"/>
        </w:trPr>
        <w:tc>
          <w:tcPr>
            <w:tcW w:w="2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May 26,</w:t>
            </w:r>
          </w:p>
        </w:tc>
        <w:tc>
          <w:tcPr>
            <w:tcW w:w="18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6"/>
              </w:rPr>
              <w:t>August 26,</w:t>
            </w:r>
          </w:p>
        </w:tc>
      </w:tr>
      <w:tr>
        <w:trPr>
          <w:trHeight w:val="190"/>
        </w:trPr>
        <w:tc>
          <w:tcPr>
            <w:tcW w:w="24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right"/>
              <w:spacing w:after="0" w:line="190" w:lineRule="exact"/>
              <w:rPr>
                <w:sz w:val="20"/>
                <w:szCs w:val="20"/>
                <w:color w:val="auto"/>
              </w:rPr>
            </w:pPr>
            <w:r>
              <w:rPr>
                <w:rFonts w:ascii="Arial" w:cs="Arial" w:eastAsia="Arial" w:hAnsi="Arial"/>
                <w:sz w:val="18"/>
                <w:szCs w:val="18"/>
                <w:b w:val="1"/>
                <w:bCs w:val="1"/>
                <w:color w:val="auto"/>
                <w:w w:val="84"/>
              </w:rPr>
              <w:t>2001</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right"/>
              <w:ind w:right="380"/>
              <w:spacing w:after="0" w:line="190" w:lineRule="exact"/>
              <w:rPr>
                <w:sz w:val="20"/>
                <w:szCs w:val="20"/>
                <w:color w:val="auto"/>
              </w:rPr>
            </w:pPr>
            <w:r>
              <w:rPr>
                <w:rFonts w:ascii="Arial" w:cs="Arial" w:eastAsia="Arial" w:hAnsi="Arial"/>
                <w:sz w:val="18"/>
                <w:szCs w:val="18"/>
                <w:b w:val="1"/>
                <w:bCs w:val="1"/>
                <w:color w:val="auto"/>
              </w:rPr>
              <w:t>2000</w:t>
            </w:r>
          </w:p>
        </w:tc>
      </w:tr>
      <w:tr>
        <w:trPr>
          <w:trHeight w:val="20"/>
        </w:trPr>
        <w:tc>
          <w:tcPr>
            <w:tcW w:w="48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44"/>
        </w:trPr>
        <w:tc>
          <w:tcPr>
            <w:tcW w:w="4840" w:type="dxa"/>
            <w:vAlign w:val="bottom"/>
            <w:gridSpan w:val="2"/>
          </w:tcPr>
          <w:p>
            <w:pPr>
              <w:ind w:left="2440"/>
              <w:spacing w:after="0"/>
              <w:rPr>
                <w:sz w:val="20"/>
                <w:szCs w:val="20"/>
                <w:color w:val="auto"/>
              </w:rPr>
            </w:pPr>
            <w:r>
              <w:rPr>
                <w:rFonts w:ascii="Arial" w:cs="Arial" w:eastAsia="Arial" w:hAnsi="Arial"/>
                <w:sz w:val="18"/>
                <w:szCs w:val="18"/>
                <w:color w:val="auto"/>
              </w:rPr>
              <w:t>Finished goods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32,636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28,286</w:t>
            </w:r>
          </w:p>
        </w:tc>
      </w:tr>
      <w:tr>
        <w:trPr>
          <w:trHeight w:val="216"/>
        </w:trPr>
        <w:tc>
          <w:tcPr>
            <w:tcW w:w="4840" w:type="dxa"/>
            <w:vAlign w:val="bottom"/>
            <w:gridSpan w:val="2"/>
          </w:tcPr>
          <w:p>
            <w:pPr>
              <w:ind w:left="2440"/>
              <w:spacing w:after="0"/>
              <w:rPr>
                <w:sz w:val="20"/>
                <w:szCs w:val="20"/>
                <w:color w:val="auto"/>
              </w:rPr>
            </w:pPr>
            <w:r>
              <w:rPr>
                <w:rFonts w:ascii="Arial" w:cs="Arial" w:eastAsia="Arial" w:hAnsi="Arial"/>
                <w:sz w:val="18"/>
                <w:szCs w:val="18"/>
                <w:color w:val="auto"/>
              </w:rPr>
              <w:t>Work in process</w:t>
            </w:r>
          </w:p>
        </w:tc>
        <w:tc>
          <w:tcPr>
            <w:tcW w:w="98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21,276</w:t>
            </w: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19,577</w:t>
            </w:r>
          </w:p>
        </w:tc>
      </w:tr>
      <w:tr>
        <w:trPr>
          <w:trHeight w:val="222"/>
        </w:trPr>
        <w:tc>
          <w:tcPr>
            <w:tcW w:w="4840" w:type="dxa"/>
            <w:vAlign w:val="bottom"/>
            <w:gridSpan w:val="2"/>
          </w:tcPr>
          <w:p>
            <w:pPr>
              <w:ind w:left="2440"/>
              <w:spacing w:after="0"/>
              <w:rPr>
                <w:sz w:val="20"/>
                <w:szCs w:val="20"/>
                <w:color w:val="auto"/>
              </w:rPr>
            </w:pPr>
            <w:r>
              <w:rPr>
                <w:rFonts w:ascii="Arial" w:cs="Arial" w:eastAsia="Arial" w:hAnsi="Arial"/>
                <w:sz w:val="18"/>
                <w:szCs w:val="18"/>
                <w:color w:val="auto"/>
              </w:rPr>
              <w:t>Raw materials</w:t>
            </w:r>
          </w:p>
        </w:tc>
        <w:tc>
          <w:tcPr>
            <w:tcW w:w="98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44,308</w:t>
            </w:r>
          </w:p>
        </w:tc>
        <w:tc>
          <w:tcPr>
            <w:tcW w:w="18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59,674</w:t>
            </w:r>
          </w:p>
        </w:tc>
      </w:tr>
      <w:tr>
        <w:trPr>
          <w:trHeight w:val="110"/>
        </w:trPr>
        <w:tc>
          <w:tcPr>
            <w:tcW w:w="2440" w:type="dxa"/>
            <w:vAlign w:val="bottom"/>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r>
      <w:tr>
        <w:trPr>
          <w:trHeight w:val="309"/>
        </w:trPr>
        <w:tc>
          <w:tcPr>
            <w:tcW w:w="2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98,220</w:t>
            </w:r>
          </w:p>
        </w:tc>
        <w:tc>
          <w:tcPr>
            <w:tcW w:w="180" w:type="dxa"/>
            <w:vAlign w:val="bottom"/>
          </w:tcPr>
          <w:p>
            <w:pPr>
              <w:spacing w:after="0"/>
              <w:rPr>
                <w:sz w:val="24"/>
                <w:szCs w:val="2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107,537</w:t>
            </w:r>
          </w:p>
        </w:tc>
      </w:tr>
      <w:tr>
        <w:trPr>
          <w:trHeight w:val="222"/>
        </w:trPr>
        <w:tc>
          <w:tcPr>
            <w:tcW w:w="4840" w:type="dxa"/>
            <w:vAlign w:val="bottom"/>
            <w:gridSpan w:val="2"/>
          </w:tcPr>
          <w:p>
            <w:pPr>
              <w:ind w:left="2440"/>
              <w:spacing w:after="0"/>
              <w:rPr>
                <w:sz w:val="20"/>
                <w:szCs w:val="20"/>
                <w:color w:val="auto"/>
              </w:rPr>
            </w:pPr>
            <w:r>
              <w:rPr>
                <w:rFonts w:ascii="Arial" w:cs="Arial" w:eastAsia="Arial" w:hAnsi="Arial"/>
                <w:sz w:val="18"/>
                <w:szCs w:val="18"/>
                <w:color w:val="auto"/>
              </w:rPr>
              <w:t>LIFO reserve</w:t>
            </w:r>
          </w:p>
        </w:tc>
        <w:tc>
          <w:tcPr>
            <w:tcW w:w="98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(22,782)</w:t>
            </w:r>
          </w:p>
        </w:tc>
        <w:tc>
          <w:tcPr>
            <w:tcW w:w="18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(21,830)</w:t>
            </w:r>
          </w:p>
        </w:tc>
      </w:tr>
      <w:tr>
        <w:trPr>
          <w:trHeight w:val="110"/>
        </w:trPr>
        <w:tc>
          <w:tcPr>
            <w:tcW w:w="2440" w:type="dxa"/>
            <w:vAlign w:val="bottom"/>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r>
      <w:tr>
        <w:trPr>
          <w:trHeight w:val="316"/>
        </w:trPr>
        <w:tc>
          <w:tcPr>
            <w:tcW w:w="2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75,438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85,707</w:t>
            </w:r>
          </w:p>
        </w:tc>
      </w:tr>
      <w:tr>
        <w:trPr>
          <w:trHeight w:val="120"/>
        </w:trPr>
        <w:tc>
          <w:tcPr>
            <w:tcW w:w="2440" w:type="dxa"/>
            <w:vAlign w:val="bottom"/>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r>
      <w:tr>
        <w:trPr>
          <w:trHeight w:val="778"/>
        </w:trPr>
        <w:tc>
          <w:tcPr>
            <w:tcW w:w="2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80" w:type="dxa"/>
            <w:vAlign w:val="bottom"/>
          </w:tcPr>
          <w:p>
            <w:pPr>
              <w:jc w:val="right"/>
              <w:ind w:right="552"/>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-508635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-508635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Notes Payable</w:t>
      </w:r>
    </w:p>
    <w:p>
      <w:pPr>
        <w:spacing w:after="0" w:line="231" w:lineRule="exact"/>
        <w:rPr>
          <w:sz w:val="20"/>
          <w:szCs w:val="20"/>
          <w:color w:val="auto"/>
        </w:rPr>
      </w:pPr>
    </w:p>
    <w:p>
      <w:pPr>
        <w:ind w:left="580"/>
        <w:spacing w:after="0" w:line="290" w:lineRule="auto"/>
        <w:rPr>
          <w:sz w:val="20"/>
          <w:szCs w:val="20"/>
          <w:color w:val="auto"/>
        </w:rPr>
      </w:pPr>
      <w:r>
        <w:rPr>
          <w:rFonts w:ascii="Arial" w:cs="Arial" w:eastAsia="Arial" w:hAnsi="Arial"/>
          <w:sz w:val="16"/>
          <w:szCs w:val="16"/>
          <w:color w:val="auto"/>
        </w:rPr>
        <w:t>On October 19, 2000, the Company entered into an unsecured Credit Agreement with Wells Fargo Bank Iowa, National Association, as amended. The Credit Agreement provides the Company with a line of credit of $20,000,000 until January 31, 2002, at an interest rate of either (1) a variable rate per annum of one percent below the Bank’s prime rate in effect from time to time or (2) a fixed rate per annum determined by the Bank to be one percent above LIBOR, as selected by the Company in accordance with the Credit Agreement. The Credit Agreement contains covenants that, among other things, impose certain limitations on mergers, transfers of assets and encumbering or otherwise pledging the Company’s assets. In addition, the Company is required to satisfy certain financial covenants and tests relating to tangible net worth, total liabilities and current ratio. As of May 26, 2001, the Company was in compliance with these financial covenants. There were no outstanding borrowings under the line of credit at May 26, 2001.</w:t>
      </w:r>
    </w:p>
    <w:p>
      <w:pPr>
        <w:sectPr>
          <w:pgSz w:w="11900" w:h="16838" w:orient="portrait"/>
          <w:cols w:equalWidth="0" w:num="1">
            <w:col w:w="11400"/>
          </w:cols>
          <w:pgMar w:left="240" w:top="725" w:right="259" w:bottom="0" w:gutter="0" w:footer="0" w:header="0"/>
        </w:sectPr>
      </w:pPr>
    </w:p>
    <w:bookmarkStart w:id="5" w:name="page6"/>
    <w:bookmarkEnd w:id="5"/>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Contingent Liabilities and Commitments</w:t>
      </w:r>
    </w:p>
    <w:p>
      <w:pPr>
        <w:spacing w:after="0" w:line="231" w:lineRule="exact"/>
        <w:rPr>
          <w:sz w:val="20"/>
          <w:szCs w:val="20"/>
          <w:color w:val="auto"/>
        </w:rPr>
      </w:pPr>
    </w:p>
    <w:p>
      <w:pPr>
        <w:ind w:left="580"/>
        <w:spacing w:after="0" w:line="253" w:lineRule="auto"/>
        <w:rPr>
          <w:sz w:val="20"/>
          <w:szCs w:val="20"/>
          <w:color w:val="auto"/>
        </w:rPr>
      </w:pPr>
      <w:r>
        <w:rPr>
          <w:rFonts w:ascii="Arial" w:cs="Arial" w:eastAsia="Arial" w:hAnsi="Arial"/>
          <w:sz w:val="18"/>
          <w:szCs w:val="18"/>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$236,668,000 and $219,873,000 under repurchase agreements with lending institutions as of May 26, 2001 and August 26, 2000, respectively. Included in these contingent liabilities as of May 26, 2001 and August 26, 2000 are approximately $3,389,000 and $6,846,000, respectively, of certain dealer receivables subject to recourse agreements with Bank of America Specialty Group (formerly NationsBank Specialty Lending Unit) and Conseco Finance Servicing Group (formerly Green Tree Financial).</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Supplemental Cash Flow Disclosure</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periods indicated, the Company paid cash for the following (dollars in thousands):</w:t>
      </w:r>
    </w:p>
    <w:p>
      <w:pPr>
        <w:spacing w:after="0" w:line="229" w:lineRule="exact"/>
        <w:rPr>
          <w:sz w:val="20"/>
          <w:szCs w:val="20"/>
          <w:color w:val="auto"/>
        </w:rPr>
      </w:pPr>
    </w:p>
    <w:tbl>
      <w:tblPr>
        <w:tblLayout w:type="fixed"/>
        <w:tblInd w:w="302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9"/>
              </w:rPr>
              <w:t>Thirty-Nine Weeks Ended</w:t>
            </w:r>
          </w:p>
        </w:tc>
      </w:tr>
      <w:tr>
        <w:trPr>
          <w:trHeight w:val="222"/>
        </w:trPr>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May 26,</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May 27,</w:t>
            </w:r>
          </w:p>
        </w:tc>
      </w:tr>
      <w:tr>
        <w:trPr>
          <w:trHeight w:val="190"/>
        </w:trPr>
        <w:tc>
          <w:tcPr>
            <w:tcW w:w="2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2001</w:t>
            </w:r>
          </w:p>
        </w:tc>
        <w:tc>
          <w:tcPr>
            <w:tcW w:w="580" w:type="dxa"/>
            <w:vAlign w:val="bottom"/>
          </w:tcPr>
          <w:p>
            <w:pPr>
              <w:spacing w:after="0"/>
              <w:rPr>
                <w:sz w:val="16"/>
                <w:szCs w:val="16"/>
                <w:color w:val="auto"/>
              </w:rPr>
            </w:pPr>
          </w:p>
        </w:tc>
        <w:tc>
          <w:tcPr>
            <w:tcW w:w="820" w:type="dxa"/>
            <w:vAlign w:val="bottom"/>
            <w:gridSpan w:val="3"/>
          </w:tcPr>
          <w:p>
            <w:pPr>
              <w:jc w:val="right"/>
              <w:ind w:right="260"/>
              <w:spacing w:after="0" w:line="190" w:lineRule="exact"/>
              <w:rPr>
                <w:sz w:val="20"/>
                <w:szCs w:val="20"/>
                <w:color w:val="auto"/>
              </w:rPr>
            </w:pPr>
            <w:r>
              <w:rPr>
                <w:rFonts w:ascii="Arial" w:cs="Arial" w:eastAsia="Arial" w:hAnsi="Arial"/>
                <w:sz w:val="18"/>
                <w:szCs w:val="18"/>
                <w:b w:val="1"/>
                <w:bCs w:val="1"/>
                <w:color w:val="auto"/>
              </w:rPr>
              <w:t>2000</w:t>
            </w:r>
          </w:p>
        </w:tc>
      </w:tr>
      <w:tr>
        <w:trPr>
          <w:trHeight w:val="20"/>
        </w:trPr>
        <w:tc>
          <w:tcPr>
            <w:tcW w:w="2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8"/>
        </w:trPr>
        <w:tc>
          <w:tcPr>
            <w:tcW w:w="2040" w:type="dxa"/>
            <w:vAlign w:val="bottom"/>
          </w:tcPr>
          <w:p>
            <w:pPr>
              <w:spacing w:after="0"/>
              <w:rPr>
                <w:sz w:val="20"/>
                <w:szCs w:val="20"/>
                <w:color w:val="auto"/>
              </w:rPr>
            </w:pPr>
            <w:r>
              <w:rPr>
                <w:rFonts w:ascii="Arial" w:cs="Arial" w:eastAsia="Arial" w:hAnsi="Arial"/>
                <w:sz w:val="18"/>
                <w:szCs w:val="18"/>
                <w:color w:val="auto"/>
              </w:rPr>
              <w:t>Interest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Income taxes</w:t>
            </w:r>
          </w:p>
        </w:tc>
        <w:tc>
          <w:tcPr>
            <w:tcW w:w="1240" w:type="dxa"/>
            <w:vAlign w:val="bottom"/>
          </w:tcPr>
          <w:p>
            <w:pPr>
              <w:spacing w:after="0"/>
              <w:rPr>
                <w:sz w:val="19"/>
                <w:szCs w:val="19"/>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7,020</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21,930</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Repurchase of Outstanding Stock</w:t>
      </w:r>
    </w:p>
    <w:p>
      <w:pPr>
        <w:spacing w:after="0" w:line="231" w:lineRule="exact"/>
        <w:rPr>
          <w:sz w:val="20"/>
          <w:szCs w:val="20"/>
          <w:color w:val="auto"/>
        </w:rPr>
      </w:pPr>
    </w:p>
    <w:p>
      <w:pPr>
        <w:ind w:left="580" w:right="40"/>
        <w:spacing w:after="0" w:line="332" w:lineRule="auto"/>
        <w:rPr>
          <w:sz w:val="20"/>
          <w:szCs w:val="20"/>
          <w:color w:val="auto"/>
        </w:rPr>
      </w:pPr>
      <w:r>
        <w:rPr>
          <w:rFonts w:ascii="Arial" w:cs="Arial" w:eastAsia="Arial" w:hAnsi="Arial"/>
          <w:sz w:val="16"/>
          <w:szCs w:val="16"/>
          <w:color w:val="auto"/>
        </w:rPr>
        <w:t>On March 8, 2001, the Company completed the repurchase of outstanding shares of its common stock authorized by the Board of Directors on March 15, 2000. Under this repurchase program, 1,163,766 shares were repurchased for an aggregate consideration of approximately $14,999,000.</w:t>
      </w:r>
    </w:p>
    <w:p>
      <w:pPr>
        <w:spacing w:after="0" w:line="166" w:lineRule="exact"/>
        <w:rPr>
          <w:sz w:val="20"/>
          <w:szCs w:val="20"/>
          <w:color w:val="auto"/>
        </w:rPr>
      </w:pPr>
    </w:p>
    <w:p>
      <w:pPr>
        <w:ind w:left="580" w:right="180"/>
        <w:spacing w:after="0" w:line="259" w:lineRule="auto"/>
        <w:rPr>
          <w:sz w:val="20"/>
          <w:szCs w:val="20"/>
          <w:color w:val="auto"/>
        </w:rPr>
      </w:pPr>
      <w:r>
        <w:rPr>
          <w:rFonts w:ascii="Arial" w:cs="Arial" w:eastAsia="Arial" w:hAnsi="Arial"/>
          <w:sz w:val="18"/>
          <w:szCs w:val="18"/>
          <w:color w:val="auto"/>
        </w:rPr>
        <w:t>On March 14, 2001, the Board of Directors authorized the repurchase of outstanding shares of the Company’s common stock for an aggregate purchase price of up to $15,000,000. As of May 26, 2001, 25,800 shares had been repurchased for an aggregate consideration of approximately $413,000 under this authorization.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Per Share</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reflects the calculation of basic and diluted earnings per share for the 13 and 39 weeks ended May 26, 2001 and May 27, 2000:</w:t>
      </w:r>
    </w:p>
    <w:p>
      <w:pPr>
        <w:spacing w:after="0" w:line="252" w:lineRule="exact"/>
        <w:rPr>
          <w:sz w:val="20"/>
          <w:szCs w:val="20"/>
          <w:color w:val="auto"/>
        </w:rPr>
      </w:pPr>
    </w:p>
    <w:tbl>
      <w:tblPr>
        <w:tblLayout w:type="fixed"/>
        <w:tblInd w:w="1660" w:type="dxa"/>
        <w:tblCellMar>
          <w:top w:w="0" w:type="dxa"/>
          <w:left w:w="0" w:type="dxa"/>
          <w:bottom w:w="0" w:type="dxa"/>
          <w:right w:w="0" w:type="dxa"/>
        </w:tblCellMar>
      </w:tblPr>
      <w:tr>
        <w:trPr>
          <w:trHeight w:val="207"/>
        </w:trPr>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7"/>
          </w:tcPr>
          <w:p>
            <w:pPr>
              <w:spacing w:after="0"/>
              <w:rPr>
                <w:sz w:val="20"/>
                <w:szCs w:val="20"/>
                <w:color w:val="auto"/>
              </w:rPr>
            </w:pPr>
            <w:r>
              <w:rPr>
                <w:rFonts w:ascii="Arial" w:cs="Arial" w:eastAsia="Arial" w:hAnsi="Arial"/>
                <w:sz w:val="18"/>
                <w:szCs w:val="18"/>
                <w:b w:val="1"/>
                <w:bCs w:val="1"/>
                <w:color w:val="auto"/>
                <w:w w:val="88"/>
              </w:rPr>
              <w:t>Thirteen Weeks Ended</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80" w:type="dxa"/>
            <w:vAlign w:val="bottom"/>
            <w:gridSpan w:val="8"/>
          </w:tcPr>
          <w:p>
            <w:pPr>
              <w:jc w:val="right"/>
              <w:ind w:right="220"/>
              <w:spacing w:after="0"/>
              <w:rPr>
                <w:sz w:val="20"/>
                <w:szCs w:val="20"/>
                <w:color w:val="auto"/>
              </w:rPr>
            </w:pPr>
            <w:r>
              <w:rPr>
                <w:rFonts w:ascii="Arial" w:cs="Arial" w:eastAsia="Arial" w:hAnsi="Arial"/>
                <w:sz w:val="18"/>
                <w:szCs w:val="18"/>
                <w:b w:val="1"/>
                <w:bCs w:val="1"/>
                <w:color w:val="auto"/>
                <w:w w:val="89"/>
              </w:rPr>
              <w:t>Thirty-Nine Weeks Ended</w:t>
            </w:r>
          </w:p>
        </w:tc>
      </w:tr>
      <w:tr>
        <w:trPr>
          <w:trHeight w:val="20"/>
        </w:trPr>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2"/>
        </w:trPr>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May 26,</w:t>
            </w:r>
          </w:p>
        </w:tc>
        <w:tc>
          <w:tcPr>
            <w:tcW w:w="300" w:type="dxa"/>
            <w:vAlign w:val="bottom"/>
          </w:tcPr>
          <w:p>
            <w:pPr>
              <w:spacing w:after="0"/>
              <w:rPr>
                <w:sz w:val="19"/>
                <w:szCs w:val="19"/>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5"/>
              </w:rPr>
              <w:t>May 27,</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May 26,</w:t>
            </w:r>
          </w:p>
        </w:tc>
        <w:tc>
          <w:tcPr>
            <w:tcW w:w="320" w:type="dxa"/>
            <w:vAlign w:val="bottom"/>
          </w:tcPr>
          <w:p>
            <w:pPr>
              <w:spacing w:after="0"/>
              <w:rPr>
                <w:sz w:val="19"/>
                <w:szCs w:val="19"/>
                <w:color w:val="auto"/>
              </w:rPr>
            </w:pPr>
          </w:p>
        </w:tc>
        <w:tc>
          <w:tcPr>
            <w:tcW w:w="9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2"/>
              </w:rPr>
              <w:t>May 27,</w:t>
            </w:r>
          </w:p>
        </w:tc>
      </w:tr>
      <w:tr>
        <w:trPr>
          <w:trHeight w:val="190"/>
        </w:trPr>
        <w:tc>
          <w:tcPr>
            <w:tcW w:w="3240" w:type="dxa"/>
            <w:vAlign w:val="bottom"/>
            <w:gridSpan w:val="3"/>
          </w:tcPr>
          <w:p>
            <w:pPr>
              <w:ind w:left="420"/>
              <w:spacing w:after="0" w:line="190" w:lineRule="exact"/>
              <w:rPr>
                <w:sz w:val="20"/>
                <w:szCs w:val="20"/>
                <w:color w:val="auto"/>
              </w:rPr>
            </w:pPr>
            <w:r>
              <w:rPr>
                <w:rFonts w:ascii="Arial" w:cs="Arial" w:eastAsia="Arial" w:hAnsi="Arial"/>
                <w:sz w:val="18"/>
                <w:szCs w:val="18"/>
                <w:b w:val="1"/>
                <w:bCs w:val="1"/>
                <w:color w:val="auto"/>
                <w:w w:val="92"/>
              </w:rPr>
              <w:t>In thousands except per share data</w:t>
            </w:r>
          </w:p>
        </w:tc>
        <w:tc>
          <w:tcPr>
            <w:tcW w:w="380" w:type="dxa"/>
            <w:vAlign w:val="bottom"/>
          </w:tcPr>
          <w:p>
            <w:pPr>
              <w:spacing w:after="0"/>
              <w:rPr>
                <w:sz w:val="16"/>
                <w:szCs w:val="16"/>
                <w:color w:val="auto"/>
              </w:rPr>
            </w:pPr>
          </w:p>
        </w:tc>
        <w:tc>
          <w:tcPr>
            <w:tcW w:w="580" w:type="dxa"/>
            <w:vAlign w:val="bottom"/>
            <w:gridSpan w:val="3"/>
          </w:tcPr>
          <w:p>
            <w:pPr>
              <w:jc w:val="right"/>
              <w:spacing w:after="0" w:line="190" w:lineRule="exact"/>
              <w:rPr>
                <w:sz w:val="20"/>
                <w:szCs w:val="20"/>
                <w:color w:val="auto"/>
              </w:rPr>
            </w:pPr>
            <w:r>
              <w:rPr>
                <w:rFonts w:ascii="Arial" w:cs="Arial" w:eastAsia="Arial" w:hAnsi="Arial"/>
                <w:sz w:val="18"/>
                <w:szCs w:val="18"/>
                <w:b w:val="1"/>
                <w:bCs w:val="1"/>
                <w:color w:val="auto"/>
              </w:rPr>
              <w:t>2001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3"/>
          </w:tcPr>
          <w:p>
            <w:pPr>
              <w:jc w:val="right"/>
              <w:ind w:right="120"/>
              <w:spacing w:after="0" w:line="190" w:lineRule="exact"/>
              <w:rPr>
                <w:sz w:val="20"/>
                <w:szCs w:val="20"/>
                <w:color w:val="auto"/>
              </w:rPr>
            </w:pPr>
            <w:r>
              <w:rPr>
                <w:rFonts w:ascii="Arial" w:cs="Arial" w:eastAsia="Arial" w:hAnsi="Arial"/>
                <w:sz w:val="18"/>
                <w:szCs w:val="18"/>
                <w:b w:val="1"/>
                <w:bCs w:val="1"/>
                <w:color w:val="auto"/>
              </w:rPr>
              <w:t>2000</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3"/>
          </w:tcPr>
          <w:p>
            <w:pPr>
              <w:jc w:val="right"/>
              <w:spacing w:after="0" w:line="190" w:lineRule="exact"/>
              <w:rPr>
                <w:sz w:val="20"/>
                <w:szCs w:val="20"/>
                <w:color w:val="auto"/>
              </w:rPr>
            </w:pPr>
            <w:r>
              <w:rPr>
                <w:rFonts w:ascii="Arial" w:cs="Arial" w:eastAsia="Arial" w:hAnsi="Arial"/>
                <w:sz w:val="18"/>
                <w:szCs w:val="18"/>
                <w:b w:val="1"/>
                <w:bCs w:val="1"/>
                <w:color w:val="auto"/>
              </w:rPr>
              <w:t>2001</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3"/>
          </w:tcPr>
          <w:p>
            <w:pPr>
              <w:jc w:val="right"/>
              <w:ind w:right="220"/>
              <w:spacing w:after="0" w:line="190" w:lineRule="exact"/>
              <w:rPr>
                <w:sz w:val="20"/>
                <w:szCs w:val="20"/>
                <w:color w:val="auto"/>
              </w:rPr>
            </w:pPr>
            <w:r>
              <w:rPr>
                <w:rFonts w:ascii="Arial" w:cs="Arial" w:eastAsia="Arial" w:hAnsi="Arial"/>
                <w:sz w:val="18"/>
                <w:szCs w:val="18"/>
                <w:b w:val="1"/>
                <w:bCs w:val="1"/>
                <w:color w:val="auto"/>
              </w:rPr>
              <w:t>2000</w:t>
            </w:r>
          </w:p>
        </w:tc>
        <w:tc>
          <w:tcPr>
            <w:tcW w:w="220" w:type="dxa"/>
            <w:vAlign w:val="bottom"/>
          </w:tcPr>
          <w:p>
            <w:pPr>
              <w:spacing w:after="0"/>
              <w:rPr>
                <w:sz w:val="16"/>
                <w:szCs w:val="16"/>
                <w:color w:val="auto"/>
              </w:rPr>
            </w:pPr>
          </w:p>
        </w:tc>
      </w:tr>
      <w:tr>
        <w:trPr>
          <w:trHeight w:val="412"/>
        </w:trPr>
        <w:tc>
          <w:tcPr>
            <w:tcW w:w="324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5"/>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12,444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16,257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27,174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40,489</w:t>
            </w:r>
          </w:p>
        </w:tc>
      </w:tr>
      <w:tr>
        <w:trPr>
          <w:trHeight w:val="110"/>
        </w:trPr>
        <w:tc>
          <w:tcPr>
            <w:tcW w:w="18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316"/>
        </w:trPr>
        <w:tc>
          <w:tcPr>
            <w:tcW w:w="324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tcPr>
          <w:p>
            <w:pPr>
              <w:spacing w:after="0"/>
              <w:rPr>
                <w:sz w:val="24"/>
                <w:szCs w:val="2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20,566</w:t>
            </w:r>
          </w:p>
        </w:tc>
        <w:tc>
          <w:tcPr>
            <w:tcW w:w="300" w:type="dxa"/>
            <w:vAlign w:val="bottom"/>
          </w:tcPr>
          <w:p>
            <w:pPr>
              <w:spacing w:after="0"/>
              <w:rPr>
                <w:sz w:val="24"/>
                <w:szCs w:val="24"/>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21,531</w:t>
            </w:r>
          </w:p>
        </w:tc>
        <w:tc>
          <w:tcPr>
            <w:tcW w:w="280" w:type="dxa"/>
            <w:vAlign w:val="bottom"/>
          </w:tcPr>
          <w:p>
            <w:pPr>
              <w:spacing w:after="0"/>
              <w:rPr>
                <w:sz w:val="24"/>
                <w:szCs w:val="24"/>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20,748</w:t>
            </w:r>
          </w:p>
        </w:tc>
        <w:tc>
          <w:tcPr>
            <w:tcW w:w="32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21,808</w:t>
            </w:r>
          </w:p>
        </w:tc>
      </w:tr>
      <w:tr>
        <w:trPr>
          <w:trHeight w:val="110"/>
        </w:trPr>
        <w:tc>
          <w:tcPr>
            <w:tcW w:w="18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316"/>
        </w:trPr>
        <w:tc>
          <w:tcPr>
            <w:tcW w:w="3240" w:type="dxa"/>
            <w:vAlign w:val="bottom"/>
            <w:gridSpan w:val="3"/>
          </w:tcPr>
          <w:p>
            <w:pPr>
              <w:spacing w:after="0"/>
              <w:rPr>
                <w:sz w:val="20"/>
                <w:szCs w:val="20"/>
                <w:color w:val="auto"/>
              </w:rPr>
            </w:pPr>
            <w:r>
              <w:rPr>
                <w:rFonts w:ascii="Arial" w:cs="Arial" w:eastAsia="Arial" w:hAnsi="Arial"/>
                <w:sz w:val="18"/>
                <w:szCs w:val="18"/>
                <w:color w:val="auto"/>
              </w:rPr>
              <w:t>Earnings per share - basic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.61</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1.31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1.86</w:t>
            </w:r>
          </w:p>
        </w:tc>
      </w:tr>
      <w:tr>
        <w:trPr>
          <w:trHeight w:val="110"/>
        </w:trPr>
        <w:tc>
          <w:tcPr>
            <w:tcW w:w="18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493"/>
        </w:trPr>
        <w:tc>
          <w:tcPr>
            <w:tcW w:w="2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Earnings per share - assuming dilution:</w:t>
            </w: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5"/>
        </w:trPr>
        <w:tc>
          <w:tcPr>
            <w:tcW w:w="32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12,444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16,257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27,174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40,489</w:t>
            </w:r>
          </w:p>
        </w:tc>
      </w:tr>
      <w:tr>
        <w:trPr>
          <w:trHeight w:val="110"/>
        </w:trPr>
        <w:tc>
          <w:tcPr>
            <w:tcW w:w="18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309"/>
        </w:trPr>
        <w:tc>
          <w:tcPr>
            <w:tcW w:w="3240" w:type="dxa"/>
            <w:vAlign w:val="bottom"/>
            <w:gridSpan w:val="3"/>
          </w:tcPr>
          <w:p>
            <w:pPr>
              <w:spacing w:after="0"/>
              <w:rPr>
                <w:sz w:val="20"/>
                <w:szCs w:val="20"/>
                <w:color w:val="auto"/>
              </w:rPr>
            </w:pPr>
            <w:r>
              <w:rPr>
                <w:rFonts w:ascii="Arial" w:cs="Arial" w:eastAsia="Arial" w:hAnsi="Arial"/>
                <w:sz w:val="18"/>
                <w:szCs w:val="18"/>
                <w:color w:val="auto"/>
              </w:rPr>
              <w:t>Weighted average shares outstanding</w:t>
            </w:r>
          </w:p>
        </w:tc>
        <w:tc>
          <w:tcPr>
            <w:tcW w:w="380" w:type="dxa"/>
            <w:vAlign w:val="bottom"/>
          </w:tcPr>
          <w:p>
            <w:pPr>
              <w:spacing w:after="0"/>
              <w:rPr>
                <w:sz w:val="24"/>
                <w:szCs w:val="2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20,566</w:t>
            </w:r>
          </w:p>
        </w:tc>
        <w:tc>
          <w:tcPr>
            <w:tcW w:w="300" w:type="dxa"/>
            <w:vAlign w:val="bottom"/>
          </w:tcPr>
          <w:p>
            <w:pPr>
              <w:spacing w:after="0"/>
              <w:rPr>
                <w:sz w:val="24"/>
                <w:szCs w:val="24"/>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21,531</w:t>
            </w:r>
          </w:p>
        </w:tc>
        <w:tc>
          <w:tcPr>
            <w:tcW w:w="280" w:type="dxa"/>
            <w:vAlign w:val="bottom"/>
          </w:tcPr>
          <w:p>
            <w:pPr>
              <w:spacing w:after="0"/>
              <w:rPr>
                <w:sz w:val="24"/>
                <w:szCs w:val="24"/>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20,748</w:t>
            </w:r>
          </w:p>
        </w:tc>
        <w:tc>
          <w:tcPr>
            <w:tcW w:w="320" w:type="dxa"/>
            <w:vAlign w:val="bottom"/>
          </w:tcPr>
          <w:p>
            <w:pPr>
              <w:spacing w:after="0"/>
              <w:rPr>
                <w:sz w:val="24"/>
                <w:szCs w:val="2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21,808</w:t>
            </w:r>
          </w:p>
        </w:tc>
      </w:tr>
      <w:tr>
        <w:trPr>
          <w:trHeight w:val="222"/>
        </w:trPr>
        <w:tc>
          <w:tcPr>
            <w:tcW w:w="324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380" w:type="dxa"/>
            <w:vAlign w:val="bottom"/>
          </w:tcPr>
          <w:p>
            <w:pPr>
              <w:spacing w:after="0"/>
              <w:rPr>
                <w:sz w:val="19"/>
                <w:szCs w:val="19"/>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9"/>
                <w:szCs w:val="19"/>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9"/>
                <w:szCs w:val="19"/>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268</w:t>
            </w:r>
          </w:p>
        </w:tc>
        <w:tc>
          <w:tcPr>
            <w:tcW w:w="3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368</w:t>
            </w:r>
          </w:p>
        </w:tc>
      </w:tr>
      <w:tr>
        <w:trPr>
          <w:trHeight w:val="110"/>
        </w:trPr>
        <w:tc>
          <w:tcPr>
            <w:tcW w:w="18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309"/>
        </w:trPr>
        <w:tc>
          <w:tcPr>
            <w:tcW w:w="3240" w:type="dxa"/>
            <w:vAlign w:val="bottom"/>
            <w:gridSpan w:val="3"/>
          </w:tcPr>
          <w:p>
            <w:pPr>
              <w:spacing w:after="0"/>
              <w:rPr>
                <w:sz w:val="20"/>
                <w:szCs w:val="20"/>
                <w:color w:val="auto"/>
              </w:rPr>
            </w:pPr>
            <w:r>
              <w:rPr>
                <w:rFonts w:ascii="Arial" w:cs="Arial" w:eastAsia="Arial" w:hAnsi="Arial"/>
                <w:sz w:val="18"/>
                <w:szCs w:val="18"/>
                <w:color w:val="auto"/>
              </w:rPr>
              <w:t>Weighted average shares &amp; potential</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3240" w:type="dxa"/>
            <w:vAlign w:val="bottom"/>
            <w:gridSpan w:val="3"/>
          </w:tcPr>
          <w:p>
            <w:pPr>
              <w:ind w:left="180"/>
              <w:spacing w:after="0"/>
              <w:rPr>
                <w:sz w:val="20"/>
                <w:szCs w:val="20"/>
                <w:color w:val="auto"/>
              </w:rPr>
            </w:pPr>
            <w:r>
              <w:rPr>
                <w:rFonts w:ascii="Arial" w:cs="Arial" w:eastAsia="Arial" w:hAnsi="Arial"/>
                <w:sz w:val="18"/>
                <w:szCs w:val="18"/>
                <w:color w:val="auto"/>
              </w:rPr>
              <w:t>dilutive shares outstanding</w:t>
            </w:r>
          </w:p>
        </w:tc>
        <w:tc>
          <w:tcPr>
            <w:tcW w:w="380" w:type="dxa"/>
            <w:vAlign w:val="bottom"/>
          </w:tcPr>
          <w:p>
            <w:pPr>
              <w:spacing w:after="0"/>
              <w:rPr>
                <w:sz w:val="19"/>
                <w:szCs w:val="19"/>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20,885</w:t>
            </w:r>
          </w:p>
        </w:tc>
        <w:tc>
          <w:tcPr>
            <w:tcW w:w="300" w:type="dxa"/>
            <w:vAlign w:val="bottom"/>
          </w:tcPr>
          <w:p>
            <w:pPr>
              <w:spacing w:after="0"/>
              <w:rPr>
                <w:sz w:val="19"/>
                <w:szCs w:val="19"/>
                <w:color w:val="auto"/>
              </w:rPr>
            </w:pP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21,848</w:t>
            </w:r>
          </w:p>
        </w:tc>
        <w:tc>
          <w:tcPr>
            <w:tcW w:w="280" w:type="dxa"/>
            <w:vAlign w:val="bottom"/>
          </w:tcPr>
          <w:p>
            <w:pPr>
              <w:spacing w:after="0"/>
              <w:rPr>
                <w:sz w:val="19"/>
                <w:szCs w:val="19"/>
                <w:color w:val="auto"/>
              </w:rPr>
            </w:pP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21,016</w:t>
            </w:r>
          </w:p>
        </w:tc>
        <w:tc>
          <w:tcPr>
            <w:tcW w:w="320" w:type="dxa"/>
            <w:vAlign w:val="bottom"/>
          </w:tcPr>
          <w:p>
            <w:pPr>
              <w:spacing w:after="0"/>
              <w:rPr>
                <w:sz w:val="19"/>
                <w:szCs w:val="19"/>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22,176</w:t>
            </w:r>
          </w:p>
        </w:tc>
      </w:tr>
      <w:tr>
        <w:trPr>
          <w:trHeight w:val="110"/>
        </w:trPr>
        <w:tc>
          <w:tcPr>
            <w:tcW w:w="18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r>
        <w:trPr>
          <w:trHeight w:val="316"/>
        </w:trPr>
        <w:tc>
          <w:tcPr>
            <w:tcW w:w="3240" w:type="dxa"/>
            <w:vAlign w:val="bottom"/>
            <w:gridSpan w:val="3"/>
          </w:tcPr>
          <w:p>
            <w:pPr>
              <w:spacing w:after="0"/>
              <w:rPr>
                <w:sz w:val="20"/>
                <w:szCs w:val="20"/>
                <w:color w:val="auto"/>
              </w:rPr>
            </w:pPr>
            <w:r>
              <w:rPr>
                <w:rFonts w:ascii="Arial" w:cs="Arial" w:eastAsia="Arial" w:hAnsi="Arial"/>
                <w:sz w:val="18"/>
                <w:szCs w:val="18"/>
                <w:color w:val="auto"/>
              </w:rPr>
              <w:t>Earnings per share - assuming dilution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.60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00"/>
              <w:spacing w:after="0"/>
              <w:rPr>
                <w:sz w:val="20"/>
                <w:szCs w:val="20"/>
                <w:color w:val="auto"/>
              </w:rPr>
            </w:pPr>
            <w:r>
              <w:rPr>
                <w:rFonts w:ascii="Arial" w:cs="Arial" w:eastAsia="Arial" w:hAnsi="Arial"/>
                <w:sz w:val="18"/>
                <w:szCs w:val="18"/>
                <w:color w:val="auto"/>
              </w:rPr>
              <w:t>1.29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1.83</w:t>
            </w:r>
          </w:p>
        </w:tc>
      </w:tr>
      <w:tr>
        <w:trPr>
          <w:trHeight w:val="110"/>
        </w:trPr>
        <w:tc>
          <w:tcPr>
            <w:tcW w:w="18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There were options to purchase 166,800 shares of common stock outstanding at a price of $18.50 per share, 14,000 shares of common stock at a price of</w:t>
      </w:r>
    </w:p>
    <w:p>
      <w:pPr>
        <w:spacing w:after="0" w:line="38"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$19.71875 per share and 22,000 shares of common stock at a price of $18.00 per share during the 13 weeks ended May 26, 2001 and options to purchase 166,800 shares of common stock outstanding at a price of $18.50 per share during the 13 weeks ended May 27, 2000. These options were not included in the computation of diluted earnings per share because the options’ exercise price was greater than the average market price of the common stock.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Business Segment Information</w:t>
      </w:r>
    </w:p>
    <w:p>
      <w:pPr>
        <w:spacing w:after="0" w:line="231" w:lineRule="exact"/>
        <w:rPr>
          <w:sz w:val="20"/>
          <w:szCs w:val="20"/>
          <w:color w:val="auto"/>
        </w:rPr>
      </w:pPr>
    </w:p>
    <w:p>
      <w:pPr>
        <w:ind w:left="580" w:right="40"/>
        <w:spacing w:after="0" w:line="323" w:lineRule="auto"/>
        <w:rPr>
          <w:sz w:val="20"/>
          <w:szCs w:val="20"/>
          <w:color w:val="auto"/>
        </w:rPr>
      </w:pPr>
      <w:r>
        <w:rPr>
          <w:rFonts w:ascii="Arial" w:cs="Arial" w:eastAsia="Arial" w:hAnsi="Arial"/>
          <w:sz w:val="15"/>
          <w:szCs w:val="15"/>
          <w:color w:val="auto"/>
        </w:rPr>
        <w:t>The Company defines its operations into two business segments: Recreational vehicles and other manufactured products and dealer financing. Recreation vehicles and other manufactured products includes all data relating to the manufacturing and selling of the Company’s Class A, B and C motor home products as well as sales of component products for other manufacturers and recreation vehicle related parts and service revenue. Dealer financing includes floorplan, used and rental unit financing for a limited number of the Company’s dealers. Management focuses on operating income as a</w:t>
      </w:r>
    </w:p>
    <w:p>
      <w:pPr>
        <w:sectPr>
          <w:pgSz w:w="11900" w:h="16886" w:orient="portrait"/>
          <w:cols w:equalWidth="0" w:num="1">
            <w:col w:w="11400"/>
          </w:cols>
          <w:pgMar w:left="240" w:top="584" w:right="259" w:bottom="0" w:gutter="0" w:footer="0" w:header="0"/>
        </w:sectPr>
      </w:pPr>
    </w:p>
    <w:bookmarkStart w:id="6" w:name="page7"/>
    <w:bookmarkEnd w:id="6"/>
    <w:p>
      <w:pPr>
        <w:ind w:left="580" w:right="40"/>
        <w:spacing w:after="0" w:line="294" w:lineRule="auto"/>
        <w:rPr>
          <w:sz w:val="20"/>
          <w:szCs w:val="20"/>
          <w:color w:val="auto"/>
        </w:rPr>
      </w:pPr>
      <w:r>
        <w:rPr>
          <w:rFonts w:ascii="Arial" w:cs="Arial" w:eastAsia="Arial" w:hAnsi="Arial"/>
          <w:sz w:val="16"/>
          <w:szCs w:val="16"/>
          <w:color w:val="auto"/>
        </w:rPr>
        <w:t>segment’s measure of profit or loss when evaluating a segment’s financial performance. Operating income is before interest expense, interest income, and income taxes. A variety of balance sheet ratios are used by management to measure the business. Maximizing the return from each segment’s assets excluding cash and cash equivalents is the primary focus. Identifiable assets are those assets used in the operations of each industry segment. General corporate assets consist of cash and cash equivalents, deferred income taxes and other corporate assets not related to the two business segments. General corporate income and expenses include administrative costs. Inter-segment sales and expenses are not significant.</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39 weeks ended May 26, 2001 and May 27, 2000, the Company’s segment information is as follows:</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Recreation</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Vehicles &amp;</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Other</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gridSpan w:val="4"/>
          </w:tcPr>
          <w:p>
            <w:pPr>
              <w:jc w:val="center"/>
              <w:ind w:left="472"/>
              <w:spacing w:after="0"/>
              <w:rPr>
                <w:sz w:val="20"/>
                <w:szCs w:val="20"/>
                <w:color w:val="auto"/>
              </w:rPr>
            </w:pPr>
            <w:r>
              <w:rPr>
                <w:rFonts w:ascii="Arial" w:cs="Arial" w:eastAsia="Arial" w:hAnsi="Arial"/>
                <w:sz w:val="18"/>
                <w:szCs w:val="18"/>
                <w:b w:val="1"/>
                <w:bCs w:val="1"/>
                <w:color w:val="auto"/>
                <w:w w:val="91"/>
              </w:rPr>
              <w:t>Manufactured</w:t>
            </w:r>
          </w:p>
        </w:tc>
        <w:tc>
          <w:tcPr>
            <w:tcW w:w="28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Dealer</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General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0"/>
        </w:trPr>
        <w:tc>
          <w:tcPr>
            <w:tcW w:w="1640" w:type="dxa"/>
            <w:vAlign w:val="bottom"/>
          </w:tcPr>
          <w:p>
            <w:pPr>
              <w:spacing w:after="0" w:line="190" w:lineRule="exact"/>
              <w:rPr>
                <w:sz w:val="20"/>
                <w:szCs w:val="20"/>
                <w:color w:val="auto"/>
              </w:rPr>
            </w:pPr>
            <w:r>
              <w:rPr>
                <w:rFonts w:ascii="Arial" w:cs="Arial" w:eastAsia="Arial" w:hAnsi="Arial"/>
                <w:sz w:val="18"/>
                <w:szCs w:val="18"/>
                <w:b w:val="1"/>
                <w:bCs w:val="1"/>
                <w:color w:val="auto"/>
                <w:w w:val="86"/>
              </w:rPr>
              <w:t>(dollars in thousands)</w:t>
            </w: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gridSpan w:val="3"/>
          </w:tcPr>
          <w:p>
            <w:pPr>
              <w:jc w:val="center"/>
              <w:ind w:right="100"/>
              <w:spacing w:after="0" w:line="190" w:lineRule="exact"/>
              <w:rPr>
                <w:sz w:val="20"/>
                <w:szCs w:val="20"/>
                <w:color w:val="auto"/>
              </w:rPr>
            </w:pPr>
            <w:r>
              <w:rPr>
                <w:rFonts w:ascii="Arial" w:cs="Arial" w:eastAsia="Arial" w:hAnsi="Arial"/>
                <w:sz w:val="18"/>
                <w:szCs w:val="18"/>
                <w:b w:val="1"/>
                <w:bCs w:val="1"/>
                <w:color w:val="auto"/>
                <w:w w:val="84"/>
              </w:rPr>
              <w:t>Products</w:t>
            </w:r>
          </w:p>
        </w:tc>
        <w:tc>
          <w:tcPr>
            <w:tcW w:w="280" w:type="dxa"/>
            <w:vAlign w:val="bottom"/>
          </w:tcPr>
          <w:p>
            <w:pPr>
              <w:spacing w:after="0"/>
              <w:rPr>
                <w:sz w:val="16"/>
                <w:szCs w:val="16"/>
                <w:color w:val="auto"/>
              </w:rPr>
            </w:pPr>
          </w:p>
        </w:tc>
        <w:tc>
          <w:tcPr>
            <w:tcW w:w="880" w:type="dxa"/>
            <w:vAlign w:val="bottom"/>
            <w:gridSpan w:val="2"/>
          </w:tcPr>
          <w:p>
            <w:pPr>
              <w:jc w:val="center"/>
              <w:ind w:right="140"/>
              <w:spacing w:after="0" w:line="190" w:lineRule="exact"/>
              <w:rPr>
                <w:sz w:val="20"/>
                <w:szCs w:val="20"/>
                <w:color w:val="auto"/>
              </w:rPr>
            </w:pPr>
            <w:r>
              <w:rPr>
                <w:rFonts w:ascii="Arial" w:cs="Arial" w:eastAsia="Arial" w:hAnsi="Arial"/>
                <w:sz w:val="18"/>
                <w:szCs w:val="18"/>
                <w:b w:val="1"/>
                <w:bCs w:val="1"/>
                <w:color w:val="auto"/>
                <w:w w:val="86"/>
              </w:rPr>
              <w:t>Financing</w:t>
            </w:r>
          </w:p>
        </w:tc>
        <w:tc>
          <w:tcPr>
            <w:tcW w:w="280" w:type="dxa"/>
            <w:vAlign w:val="bottom"/>
          </w:tcPr>
          <w:p>
            <w:pPr>
              <w:spacing w:after="0"/>
              <w:rPr>
                <w:sz w:val="16"/>
                <w:szCs w:val="16"/>
                <w:color w:val="auto"/>
              </w:rPr>
            </w:pPr>
          </w:p>
        </w:tc>
        <w:tc>
          <w:tcPr>
            <w:tcW w:w="1080" w:type="dxa"/>
            <w:vAlign w:val="bottom"/>
            <w:gridSpan w:val="3"/>
          </w:tcPr>
          <w:p>
            <w:pPr>
              <w:jc w:val="center"/>
              <w:ind w:right="20"/>
              <w:spacing w:after="0" w:line="190" w:lineRule="exact"/>
              <w:rPr>
                <w:sz w:val="20"/>
                <w:szCs w:val="20"/>
                <w:color w:val="auto"/>
              </w:rPr>
            </w:pPr>
            <w:r>
              <w:rPr>
                <w:rFonts w:ascii="Arial" w:cs="Arial" w:eastAsia="Arial" w:hAnsi="Arial"/>
                <w:sz w:val="18"/>
                <w:szCs w:val="18"/>
                <w:b w:val="1"/>
                <w:bCs w:val="1"/>
                <w:color w:val="auto"/>
                <w:w w:val="90"/>
              </w:rPr>
              <w:t>Corporate</w:t>
            </w:r>
          </w:p>
        </w:tc>
        <w:tc>
          <w:tcPr>
            <w:tcW w:w="320" w:type="dxa"/>
            <w:vAlign w:val="bottom"/>
          </w:tcPr>
          <w:p>
            <w:pPr>
              <w:spacing w:after="0"/>
              <w:rPr>
                <w:sz w:val="16"/>
                <w:szCs w:val="16"/>
                <w:color w:val="auto"/>
              </w:rPr>
            </w:pPr>
          </w:p>
        </w:tc>
        <w:tc>
          <w:tcPr>
            <w:tcW w:w="640" w:type="dxa"/>
            <w:vAlign w:val="bottom"/>
            <w:gridSpan w:val="3"/>
          </w:tcPr>
          <w:p>
            <w:pPr>
              <w:jc w:val="right"/>
              <w:ind w:right="140"/>
              <w:spacing w:after="0" w:line="190" w:lineRule="exact"/>
              <w:rPr>
                <w:sz w:val="20"/>
                <w:szCs w:val="20"/>
                <w:color w:val="auto"/>
              </w:rPr>
            </w:pPr>
            <w:r>
              <w:rPr>
                <w:rFonts w:ascii="Arial" w:cs="Arial" w:eastAsia="Arial" w:hAnsi="Arial"/>
                <w:sz w:val="18"/>
                <w:szCs w:val="18"/>
                <w:b w:val="1"/>
                <w:bCs w:val="1"/>
                <w:color w:val="auto"/>
              </w:rPr>
              <w:t>Total</w:t>
            </w:r>
          </w:p>
        </w:tc>
      </w:tr>
      <w:tr>
        <w:trPr>
          <w:trHeight w:val="20"/>
        </w:trPr>
        <w:tc>
          <w:tcPr>
            <w:tcW w:w="16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8"/>
        </w:trPr>
        <w:tc>
          <w:tcPr>
            <w:tcW w:w="2740" w:type="dxa"/>
            <w:vAlign w:val="bottom"/>
            <w:gridSpan w:val="2"/>
          </w:tcPr>
          <w:p>
            <w:pPr>
              <w:spacing w:after="0"/>
              <w:rPr>
                <w:sz w:val="20"/>
                <w:szCs w:val="20"/>
                <w:color w:val="auto"/>
              </w:rPr>
            </w:pPr>
            <w:r>
              <w:rPr>
                <w:rFonts w:ascii="Arial" w:cs="Arial" w:eastAsia="Arial" w:hAnsi="Arial"/>
                <w:sz w:val="18"/>
                <w:szCs w:val="18"/>
                <w:color w:val="auto"/>
              </w:rPr>
              <w:t>39 Weeks Ended May 26, 2001</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500,409</w:t>
            </w:r>
          </w:p>
        </w:tc>
        <w:tc>
          <w:tcPr>
            <w:tcW w:w="240" w:type="dxa"/>
            <w:vAlign w:val="bottom"/>
          </w:tcPr>
          <w:p>
            <w:pPr>
              <w:spacing w:after="0"/>
              <w:rPr>
                <w:sz w:val="18"/>
                <w:szCs w:val="18"/>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3,294</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503,703</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37,305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3,257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(534)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40,028</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68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172,632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37,132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72"/>
              <w:spacing w:after="0"/>
              <w:rPr>
                <w:sz w:val="20"/>
                <w:szCs w:val="20"/>
                <w:color w:val="auto"/>
              </w:rPr>
            </w:pPr>
            <w:r>
              <w:rPr>
                <w:rFonts w:ascii="Arial" w:cs="Arial" w:eastAsia="Arial" w:hAnsi="Arial"/>
                <w:sz w:val="18"/>
                <w:szCs w:val="18"/>
                <w:color w:val="auto"/>
                <w:w w:val="98"/>
              </w:rPr>
              <w:t>125,289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335,053</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39 Weeks Ended May 27, 2000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585,708</w:t>
            </w:r>
          </w:p>
        </w:tc>
        <w:tc>
          <w:tcPr>
            <w:tcW w:w="240" w:type="dxa"/>
            <w:vAlign w:val="bottom"/>
          </w:tcPr>
          <w:p>
            <w:pPr>
              <w:spacing w:after="0"/>
              <w:rPr>
                <w:sz w:val="18"/>
                <w:szCs w:val="18"/>
                <w:color w:val="auto"/>
              </w:rPr>
            </w:pP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2,876</w:t>
            </w: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588,584</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680" w:type="dxa"/>
            <w:vAlign w:val="bottom"/>
          </w:tcPr>
          <w:p>
            <w:pPr>
              <w:spacing w:after="0"/>
              <w:rPr>
                <w:sz w:val="18"/>
                <w:szCs w:val="18"/>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56,651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2,695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12"/>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58,776</w:t>
            </w:r>
          </w:p>
        </w:tc>
      </w:tr>
      <w:tr>
        <w:trPr>
          <w:trHeight w:val="222"/>
        </w:trPr>
        <w:tc>
          <w:tcPr>
            <w:tcW w:w="274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680" w:type="dxa"/>
            <w:vAlign w:val="bottom"/>
          </w:tcPr>
          <w:p>
            <w:pPr>
              <w:spacing w:after="0"/>
              <w:rPr>
                <w:sz w:val="19"/>
                <w:szCs w:val="19"/>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191,612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32,603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72"/>
              <w:spacing w:after="0"/>
              <w:rPr>
                <w:sz w:val="20"/>
                <w:szCs w:val="20"/>
                <w:color w:val="auto"/>
              </w:rPr>
            </w:pPr>
            <w:r>
              <w:rPr>
                <w:rFonts w:ascii="Arial" w:cs="Arial" w:eastAsia="Arial" w:hAnsi="Arial"/>
                <w:sz w:val="18"/>
                <w:szCs w:val="18"/>
                <w:color w:val="auto"/>
              </w:rPr>
              <w:t>89,312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313,527</w:t>
            </w:r>
          </w:p>
        </w:tc>
      </w:tr>
      <w:tr>
        <w:trPr>
          <w:trHeight w:val="432"/>
        </w:trPr>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Thirteen Weeks Ended May 26, 2001 Compared To Thirteen Weeks Ended May 27, 2000</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Net revenues for recreation vehicles and other manufactured products for the 13 weeks ended May 26, 2001 were $195,951,000, a decrease of $17,038,000, or 8.0 percent from the 13-week period ended May 27, 2000. Motor home unit sales (Class A and C) were 2,687 units, a decrease of 346 units, or 11.4 percent during the third quarter of fiscal 2001 compared to the third quarter of fiscal 2000. The percentage decrease in net revenues in the third quarter of fiscal 2001 was less than the percentage decrease in motor home unit sales for that period as a result of the Company’s sales of more units with higher priced diesel powered chassis, as a percentage of the total unit sales, during the third quarter of fiscal 2001. The Company’s net revenues during the third quarter of fiscal 2001 continued to reflect the decline in consumer confidence levels and a slowdown in the economy. However, with the recent series of interest rate reductions and the stabilization of fuel prices, the Company anticipates improvement in market conditions in the remainder of the calendar year. Order backlog for the Company’s Class A and Class C motor homes was approximately 1,200 orders and 1,800 orders at May 26, 2001 and May 27, 2000, respectively. The Company includes in its backlog all accepted purchase orders from dealers shippable within the next six months. Orders in backlog can be cancelled at the option of the purchaser at any time without penalty and, therefore, backlog may not necessarily be a measure of future sales.</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revenues for dealer financing of Winnebago Acceptance Corporation (WAC) were $1,054,000 for the 13 weeks ended May 26, 2001, a decrease of $27,000, or 2.5 percent from the 13-week period ended May 27, 2000.</w:t>
      </w:r>
    </w:p>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profit, as a percent of net revenues, was 14.2 percent for the 13 weeks ended May 26, 2001 compared to 16.2 percent for the 13 weeks ended May 27, 2000. The primary causes for the reduction in gross profit percentage were the Company’s lower volume of production and sales and increases in fixed expenses during the third quarter of fiscal 2001.</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Selling expenses were $5,959,000, or 3.0 percent of net revenues during the third quarter of fiscal 2001 compared to $6,744,000, or 3.2 percent of net revenues during the third quarter of fiscal 2000. The decreases in dollars and percentage can be attributed primarily to a reduction in the Company’s spending for advertising related items during the third quarter of fiscal 2001.</w:t>
      </w:r>
    </w:p>
    <w:p>
      <w:pPr>
        <w:spacing w:after="0" w:line="194"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General and administrative expenses were $3,929,000, or 2.0 percent of net revenues during the 13 weeks ended May 26, 2001 compared to $4,120,000, or 1.9 percent of net revenues during the 13 weeks ended May 27, 2000. The decrease in dollars when comparing the two quarters was primarily due to reductions in employee incentive programs. The increase in percentage was caused by the decreased sales volume during the third quarter of fiscal 2001.</w:t>
      </w:r>
    </w:p>
    <w:p>
      <w:pPr>
        <w:spacing w:after="0" w:line="16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had net financial income of $922,000 for the third quarter of fiscal 2001 compared to net financial income of $831,000 for the comparable quarter of fiscal 2000. During the 13 weeks ended May 26, 2001, the Company recorded $927,000 of net interest income and losses of $5,000 in foreign currency transactions. During the 13 weeks ended May 27, 2000, the Company recorded $806,000 of net interest income and gains of $25,000 in foreign currency transactions. The increase in interest income when comparing the two periods was due primarily to larger cash balances available for investing during the third quarter of fiscal 2001.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Company’s effective income tax rate increased to 34.6 percent during the third quarter of fiscal 2001 from 33.8 percent during the third quarter of fiscal 2000.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primary reason for the increase was due to higher provisions for state income taxes during the third quarter of fiscal 2001.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third quarter of fiscal 2001, the Company had net income of $12,444,000, or $.60 per diluted share compared to the third quarter of fiscal 2000‘s net income of $16,257,000, or $.74 per diluted share. Net income and net earnings per diluted share decreased by 23.5 percent and 18.9 percent, respectively, when comparing the third quarter of fiscal 2001 to the third quarter of fiscal 2000. The difference in percentages when comparing the net income to the net earnings per share was due primarily to a lower number of outstanding shares of the Company’s common stock at May 26, 2001 (see Note 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Thirty-Nine Weeks Ended May 26, 2001 Compared to Thirty-Nine Weeks Ended May 27, 2000.</w:t>
      </w:r>
    </w:p>
    <w:p>
      <w:pPr>
        <w:sectPr>
          <w:pgSz w:w="11900" w:h="16838" w:orient="portrait"/>
          <w:cols w:equalWidth="0" w:num="1">
            <w:col w:w="11420"/>
          </w:cols>
          <w:pgMar w:left="240" w:top="131" w:right="239" w:bottom="0" w:gutter="0" w:footer="0" w:header="0"/>
        </w:sectPr>
      </w:pPr>
    </w:p>
    <w:bookmarkStart w:id="7" w:name="page8"/>
    <w:bookmarkEnd w:id="7"/>
    <w:p>
      <w:pPr>
        <w:jc w:val="both"/>
        <w:ind w:right="60"/>
        <w:spacing w:after="0" w:line="294" w:lineRule="auto"/>
        <w:rPr>
          <w:sz w:val="20"/>
          <w:szCs w:val="20"/>
          <w:color w:val="auto"/>
        </w:rPr>
      </w:pPr>
      <w:r>
        <w:rPr>
          <w:rFonts w:ascii="Arial" w:cs="Arial" w:eastAsia="Arial" w:hAnsi="Arial"/>
          <w:sz w:val="16"/>
          <w:szCs w:val="16"/>
          <w:color w:val="auto"/>
        </w:rPr>
        <w:t>Net revenues for manufactured products for the 39 weeks ended May 26, 2001 were $500,409,000, a decrease of $85,299,000, or 14.6 percent from the 39-week period ended May 27, 2000. Motor home unit sales (Class A and C) were 6,688 units, a decrease of 1,562 units, or 18.9 percent during the 39 weeks ended May 26, 2001 when compared to the 39 weeks ended May 27, 2000. The percentage decrease in net revenues during the 39 week period ended May 26, 2001 was less than the percentage decrease in motor home units sales for that same period as a result of the Company’s sales of more higher-priced units, as a percentage of the total unit sales, during the 39 weeks ended May 26, 2001.</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Net revenues for dealer financing of WAC were $3,294,000 for the 39 weeks ended May 26, 2001, an increase of $418,000, or 14.5 percent from the 39-week period ended May 27, 2000. Increased revenues for dealer financing reflects an increase in interest rates charged and to a lesser extent an increase in dealer receivable balances when comparing the two 39-week periods.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Gross profit, as a percent of net revenue, was 13.4 percent for the 39 weeks ended May 26, 2001 compared to 15.7 percent for the 39 weeks ended May 27, 2000.</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lower volume of production and sales of motor homes and increases in fixed expenses resulted in the lower margin percentage.</w:t>
      </w:r>
    </w:p>
    <w:p>
      <w:pPr>
        <w:spacing w:after="0" w:line="242"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Selling expenses were $17,768,000, or 3.5 percent of net revenues during the 39 weeks ended May 26, 2001 compared to $18,956,000, or 3.2 percent of net revenues during the 39 weeks ended May 27, 2000. The decrease in dollars can be attributed primarily to reductions in advertising expenses. The increase in percentage was caused by the decreased sales volume during the 39 weeks ended May 26, 2001.</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were $9,839,000, or 2.0 percent of net revenue during the 39 weeks ended May 26, 2001 compared to $14,565,000, or 2.5 percent of net revenues during the 39 weeks ended May 27, 2000. The decreases in dollars and percentage when comparing the two periods were primarily due to reductions in employee incentive programs and lower insurance costs.</w:t>
      </w:r>
    </w:p>
    <w:p>
      <w:pPr>
        <w:spacing w:after="0" w:line="19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had net financial income of $2,794,000 for the first three quarters of fiscal 2001 compared to net financial income of $2,389,000 for the comparable period of fiscal 2000. During the first three quarters of fiscal 2001, the Company recorded $2,796,000 of net interest income and losses of $2,000 in foreign currency transactions. During the first three quarters of fiscal 2000, the Company recorded $2,341,000 of net interest income and gains of $48,000 in foreign currency transactions. The increase in interest income when comparing the two periods was due primarily to higher rates of return earned on available invested cash and larger cash balances during the first three quarters of fiscal 2001.</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Company’s effective income tax rate during the 39 weeks ended May 26, 2001 was 34.1 percent compared to 33.8 percent during the 39 weeks ended May 27, 2000.</w:t>
      </w:r>
    </w:p>
    <w:p>
      <w:pPr>
        <w:spacing w:after="0" w:line="18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For the 39 weeks ended May 26, 2001, the Company had income before cumulative effect of a change in accounting method (SAB No. 101) of $28,224,000, or $1.34 per diluted share. The comparable results for the 39 weeks ended May 27, 2000 was income of $40,489,000, or $1.83 per diluted share.</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adopted SAB No. 101 in fiscal 2001. SAB No. 101 which was issued by the SEC in December 1999 sets forth the views of the SEC concerning revenue recognition. As a result of SAB No. 101 the Company began recording revenue upon the dealers’ receipt of products rather than upon shipment by the Company. Adoption of SAB 101 during the 39 weeks ended May 26, 2001 resulted in a decrease in the Company’s net income of $1,050,000, or $.05 per diluted share.</w:t>
      </w:r>
    </w:p>
    <w:p>
      <w:pPr>
        <w:spacing w:after="0" w:line="19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For the 39 weeks ended May 26, 2001, the Company had net income of $27,174,000, or $1.29 per diluted share compared to the 39 weeks ended May 27, 2000‘s net income of $40,489,000, or $1.83 per diluted share. Net income and net earnings per diluted share decreased by 32.9 percent and 29.5 percent, respectively, when comparing the two periods. The difference in percentages when comparing the net income to the net earnings per share was due primarily to a lower number of outstanding shares of the Company’s common stock at May 26, 2001 (see Note 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meets its working capital requirements, capital equipment requirements and cash requirements of subsidiaries with funds generated internally and funds from agreements with financial institutions.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May 26, 2001, working capital was $159,351,000, an increase of $17,668,000 from the amount at August 26, 2000. The Company’s principal uses of cash during the 39 weeks ended May 26, 2001 were $10,686,000 for the purchase of shares of the Company’s Common Stock, $6,577,000 for the purchase of property and equipment and dividend payments of $2,062,000. The Company’s sources and uses of cash during the 39 weeks ended May 26, 2001 are set forth in the unaudited consolidated condensed statement of cash flows for that period.</w:t>
      </w:r>
    </w:p>
    <w:p>
      <w:pPr>
        <w:spacing w:after="0" w:line="19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Principal known demands at May 26, 2001 on the Company’s liquid assets for the remainder of fiscal 2001 include approximately $4,000,000 of capital expenditures and payments of cash dividends. In addition, on March 14, 2001, the Board of Directors authorized the repurchase of outstanding shares of the Company’s common stock for the aggregate purchase price of up to $15,000,000, of which approximately $413,000 has been used as of May 26, 2001 (see Note 7).</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Management currently expects its cash on hand, funds from operations and borrowings available under existing credit facilities to be sufficient to cover both short-term and long-term operating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3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Except for the historical information contained herein, certain of the matters discussed in this report are “forward looking statements” as defined in the Private Securities Litigation Reform Act of 1995, which involve risks and uncertainties, including, but not limited to, availability and price of fuel, significant increases in interest rates, a general slowdown in the economy, availability of chassis, slower than anticipated sales of new or existing products, new product introductions by competitors, collections of dealer receivables, and other factors which may be disclosed throughout this Form 10-Q or in the Company’s Annual Report on Form 10-K for the year ended August 26, 2000. Any forecasts and projections in this report are “forward looking statements” and are based on management’s current expectations of the Company’s near-term results, based on current information available pertaining to the Company, including the aforementioned risk factors; actual results could differ materially.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ectPr>
          <w:pgSz w:w="11900" w:h="16838" w:orient="portrait"/>
          <w:cols w:equalWidth="0" w:num="1">
            <w:col w:w="11380"/>
          </w:cols>
          <w:pgMar w:left="240" w:top="131" w:right="279" w:bottom="0" w:gutter="0" w:footer="0" w:header="0"/>
        </w:sectPr>
      </w:pPr>
    </w:p>
    <w:bookmarkStart w:id="8" w:name="page9"/>
    <w:bookmarkEnd w:id="8"/>
    <w:p>
      <w:pPr>
        <w:ind w:right="240"/>
        <w:spacing w:after="0" w:line="298" w:lineRule="auto"/>
        <w:rPr>
          <w:sz w:val="20"/>
          <w:szCs w:val="20"/>
          <w:color w:val="auto"/>
        </w:rPr>
      </w:pPr>
      <w:r>
        <w:rPr>
          <w:rFonts w:ascii="Arial" w:cs="Arial" w:eastAsia="Arial" w:hAnsi="Arial"/>
          <w:sz w:val="16"/>
          <w:szCs w:val="16"/>
          <w:color w:val="auto"/>
        </w:rPr>
        <w:t>As of May 26, 2001, the Company had an investment portfolio of fixed income securities, which are classified as cash and cash equivalents of $93,182,000. These securities, like all fixed income investments, are subject to interest rate risk and will decline in value if market interest rates increase. However, the Company has the ability to hold its fixed income investments until maturity (which approximates 45 days) and therefore, the Company would not expect to recognize an adverse impact in income or cash flows in such an event.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May 26, 2001, the Company had dealer financing receivables in the amount of $36,698,000. Interest rates charged on these receivables vary based on the prime rate.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131" w:right="4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Part 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w:t>
      </w:r>
    </w:p>
    <w:p>
      <w:pPr>
        <w:spacing w:after="0" w:line="200" w:lineRule="exact"/>
        <w:rPr>
          <w:sz w:val="20"/>
          <w:szCs w:val="20"/>
          <w:color w:val="auto"/>
        </w:rPr>
      </w:pPr>
    </w:p>
    <w:p>
      <w:pPr>
        <w:sectPr>
          <w:pgSz w:w="11900" w:h="16838" w:orient="portrait"/>
          <w:cols w:equalWidth="0" w:num="2">
            <w:col w:w="460" w:space="700"/>
            <w:col w:w="10040"/>
          </w:cols>
          <w:pgMar w:left="240" w:top="131" w:right="45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Item 6</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Exhibits and Reports on Form 8-K</w:t>
      </w:r>
    </w:p>
    <w:p>
      <w:pPr>
        <w:spacing w:after="0" w:line="200" w:lineRule="exact"/>
        <w:rPr>
          <w:sz w:val="20"/>
          <w:szCs w:val="20"/>
          <w:color w:val="auto"/>
        </w:rPr>
      </w:pPr>
    </w:p>
    <w:p>
      <w:pPr>
        <w:sectPr>
          <w:pgSz w:w="11900" w:h="16838" w:orient="portrait"/>
          <w:cols w:equalWidth="0" w:num="2">
            <w:col w:w="460" w:space="700"/>
            <w:col w:w="10040"/>
          </w:cols>
          <w:pgMar w:left="240" w:top="131" w:right="459" w:bottom="1440" w:gutter="0" w:footer="0" w:header="0"/>
          <w:type w:val="continuous"/>
        </w:sectPr>
      </w:pPr>
    </w:p>
    <w:p>
      <w:pPr>
        <w:spacing w:after="0" w:line="75"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No exhibits are being filed as a part of this report.</w:t>
      </w:r>
    </w:p>
    <w:p>
      <w:pPr>
        <w:spacing w:after="0" w:line="252"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The Company did not file any reports on Form 8-K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200"/>
          </w:cols>
          <w:pgMar w:left="240" w:top="131"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6"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WINNEBAGO INDUSTRIES, INC.</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spacing w:after="0"/>
        <w:tabs>
          <w:tab w:leader="none" w:pos="500" w:val="left"/>
          <w:tab w:leader="none" w:pos="3880" w:val="left"/>
        </w:tabs>
        <w:rPr>
          <w:sz w:val="20"/>
          <w:szCs w:val="20"/>
          <w:color w:val="auto"/>
        </w:rPr>
      </w:pPr>
      <w:r>
        <w:rPr>
          <w:rFonts w:ascii="Arial" w:cs="Arial" w:eastAsia="Arial" w:hAnsi="Arial"/>
          <w:sz w:val="18"/>
          <w:szCs w:val="18"/>
          <w:color w:val="auto"/>
        </w:rPr>
        <w:t>Date</w:t>
        <w:tab/>
        <w:t>July 6, 2001</w:t>
      </w:r>
      <w:r>
        <w:rPr>
          <w:sz w:val="20"/>
          <w:szCs w:val="20"/>
          <w:color w:val="auto"/>
        </w:rPr>
        <w:tab/>
      </w:r>
      <w:r>
        <w:rPr>
          <w:rFonts w:ascii="Arial" w:cs="Arial" w:eastAsia="Arial" w:hAnsi="Arial"/>
          <w:sz w:val="16"/>
          <w:szCs w:val="16"/>
          <w:u w:val="single" w:color="auto"/>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-13970</wp:posOffset>
            </wp:positionV>
            <wp:extent cx="6318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1825" cy="8890"/>
                    </a:xfrm>
                    <a:prstGeom prst="rect">
                      <a:avLst/>
                    </a:prstGeom>
                    <a:noFill/>
                  </pic:spPr>
                </pic:pic>
              </a:graphicData>
            </a:graphic>
          </wp:anchor>
        </w:drawing>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Bruce D. Hertzke</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Chairman of the Board, Chief Executive</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Officer, and President</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spacing w:after="0"/>
        <w:tabs>
          <w:tab w:leader="none" w:pos="500" w:val="left"/>
          <w:tab w:leader="none" w:pos="3880" w:val="left"/>
        </w:tabs>
        <w:rPr>
          <w:sz w:val="20"/>
          <w:szCs w:val="20"/>
          <w:color w:val="auto"/>
        </w:rPr>
      </w:pPr>
      <w:r>
        <w:rPr>
          <w:rFonts w:ascii="Arial" w:cs="Arial" w:eastAsia="Arial" w:hAnsi="Arial"/>
          <w:sz w:val="18"/>
          <w:szCs w:val="18"/>
          <w:color w:val="auto"/>
        </w:rPr>
        <w:t>Date</w:t>
        <w:tab/>
        <w:t>July 6, 2001</w:t>
      </w:r>
      <w:r>
        <w:rPr>
          <w:sz w:val="20"/>
          <w:szCs w:val="20"/>
          <w:color w:val="auto"/>
        </w:rPr>
        <w:tab/>
      </w:r>
      <w:r>
        <w:rPr>
          <w:rFonts w:ascii="Arial" w:cs="Arial" w:eastAsia="Arial" w:hAnsi="Arial"/>
          <w:sz w:val="16"/>
          <w:szCs w:val="16"/>
          <w:u w:val="single" w:color="auto"/>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-13970</wp:posOffset>
            </wp:positionV>
            <wp:extent cx="6318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825" cy="8890"/>
                    </a:xfrm>
                    <a:prstGeom prst="rect">
                      <a:avLst/>
                    </a:prstGeom>
                    <a:noFill/>
                  </pic:spPr>
                </pic:pic>
              </a:graphicData>
            </a:graphic>
          </wp:anchor>
        </w:drawing>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Edwin F. Barker</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Vice President - Chief Financial Officer</w:t>
      </w:r>
    </w:p>
    <w:p>
      <w:pPr>
        <w:spacing w:after="0" w:line="3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sectPr>
      <w:pgSz w:w="11900" w:h="16838" w:orient="portrait"/>
      <w:cols w:equalWidth="0" w:num="1">
        <w:col w:w="11200"/>
      </w:cols>
      <w:pgMar w:left="240" w:top="131"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2019-12-13T08:26:26Z</dcterms:created>
  <dcterms:modified xsi:type="dcterms:W3CDTF">2019-12-13T08:26:26Z</dcterms:modified>
</cp:coreProperties>
</file>