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(Mark One)</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x Quarterly Report Pursuant to Section 13 or 15(d) of the</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For the Quarterly Period Ended December 1, 2007</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or</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color w:val="auto"/>
        </w:rPr>
        <w:t>For the transition period from ____________ to ____________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Times New Roman" w:cs="Times New Roman" w:eastAsia="Times New Roman" w:hAnsi="Times New Roman"/>
                <w:sz w:val="22"/>
                <w:szCs w:val="22"/>
                <w:color w:val="auto"/>
                <w:w w:val="95"/>
              </w:rPr>
              <w:t>Iowa</w:t>
            </w:r>
          </w:p>
        </w:tc>
        <w:tc>
          <w:tcPr>
            <w:tcW w:w="3720" w:type="dxa"/>
            <w:vAlign w:val="bottom"/>
          </w:tcPr>
          <w:p>
            <w:pPr>
              <w:jc w:val="right"/>
              <w:ind w:right="1482"/>
              <w:spacing w:after="0"/>
              <w:rPr>
                <w:sz w:val="20"/>
                <w:szCs w:val="20"/>
                <w:color w:val="auto"/>
              </w:rPr>
            </w:pPr>
            <w:r>
              <w:rPr>
                <w:rFonts w:ascii="Times New Roman" w:cs="Times New Roman" w:eastAsia="Times New Roman" w:hAnsi="Times New Roman"/>
                <w:sz w:val="22"/>
                <w:szCs w:val="22"/>
                <w:color w:val="auto"/>
              </w:rPr>
              <w:t>001-06403</w:t>
            </w:r>
          </w:p>
        </w:tc>
        <w:tc>
          <w:tcPr>
            <w:tcW w:w="2380" w:type="dxa"/>
            <w:vAlign w:val="bottom"/>
          </w:tcPr>
          <w:p>
            <w:pPr>
              <w:jc w:val="right"/>
              <w:ind w:right="44"/>
              <w:spacing w:after="0"/>
              <w:rPr>
                <w:sz w:val="20"/>
                <w:szCs w:val="20"/>
                <w:color w:val="auto"/>
              </w:rPr>
            </w:pPr>
            <w:r>
              <w:rPr>
                <w:rFonts w:ascii="Times New Roman" w:cs="Times New Roman" w:eastAsia="Times New Roman" w:hAnsi="Times New Roman"/>
                <w:sz w:val="22"/>
                <w:szCs w:val="22"/>
                <w:color w:val="auto"/>
              </w:rPr>
              <w:t>42-0802678</w:t>
            </w:r>
          </w:p>
        </w:tc>
      </w:tr>
      <w:tr>
        <w:trPr>
          <w:trHeight w:val="228"/>
        </w:trPr>
        <w:tc>
          <w:tcPr>
            <w:tcW w:w="3580" w:type="dxa"/>
            <w:vAlign w:val="bottom"/>
          </w:tcPr>
          <w:p>
            <w:pPr>
              <w:jc w:val="center"/>
              <w:ind w:right="624"/>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720" w:type="dxa"/>
            <w:vAlign w:val="bottom"/>
          </w:tcPr>
          <w:p>
            <w:pPr>
              <w:jc w:val="center"/>
              <w:ind w:right="24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380" w:type="dxa"/>
            <w:vAlign w:val="bottom"/>
          </w:tcPr>
          <w:p>
            <w:pPr>
              <w:jc w:val="center"/>
              <w:ind w:left="964"/>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43"/>
        </w:trPr>
        <w:tc>
          <w:tcPr>
            <w:tcW w:w="3580" w:type="dxa"/>
            <w:vAlign w:val="bottom"/>
          </w:tcPr>
          <w:p>
            <w:pPr>
              <w:jc w:val="center"/>
              <w:ind w:right="624"/>
              <w:spacing w:after="0"/>
              <w:rPr>
                <w:sz w:val="20"/>
                <w:szCs w:val="20"/>
                <w:color w:val="auto"/>
              </w:rPr>
            </w:pPr>
            <w:r>
              <w:rPr>
                <w:rFonts w:ascii="Times New Roman" w:cs="Times New Roman" w:eastAsia="Times New Roman" w:hAnsi="Times New Roman"/>
                <w:sz w:val="18"/>
                <w:szCs w:val="18"/>
                <w:color w:val="auto"/>
                <w:w w:val="96"/>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74"/>
        </w:trPr>
        <w:tc>
          <w:tcPr>
            <w:tcW w:w="3580" w:type="dxa"/>
            <w:vAlign w:val="bottom"/>
          </w:tcPr>
          <w:p>
            <w:pPr>
              <w:jc w:val="center"/>
              <w:ind w:right="624"/>
              <w:spacing w:after="0"/>
              <w:rPr>
                <w:sz w:val="20"/>
                <w:szCs w:val="20"/>
                <w:color w:val="auto"/>
              </w:rPr>
            </w:pPr>
            <w:r>
              <w:rPr>
                <w:rFonts w:ascii="Times New Roman" w:cs="Times New Roman" w:eastAsia="Times New Roman" w:hAnsi="Times New Roman"/>
                <w:sz w:val="22"/>
                <w:szCs w:val="22"/>
                <w:color w:val="auto"/>
                <w:w w:val="96"/>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Times New Roman" w:cs="Times New Roman" w:eastAsia="Times New Roman" w:hAnsi="Times New Roman"/>
                <w:sz w:val="22"/>
                <w:szCs w:val="22"/>
                <w:color w:val="auto"/>
              </w:rPr>
              <w:t>50436</w:t>
            </w:r>
          </w:p>
        </w:tc>
      </w:tr>
      <w:tr>
        <w:trPr>
          <w:trHeight w:val="228"/>
        </w:trPr>
        <w:tc>
          <w:tcPr>
            <w:tcW w:w="3580" w:type="dxa"/>
            <w:vAlign w:val="bottom"/>
          </w:tcPr>
          <w:p>
            <w:pPr>
              <w:jc w:val="center"/>
              <w:ind w:right="624"/>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Registrant’s telephone number, including area code: (641) 585-3535</w:t>
      </w:r>
    </w:p>
    <w:p>
      <w:pPr>
        <w:spacing w:after="0" w:line="233" w:lineRule="exact"/>
        <w:rPr>
          <w:sz w:val="24"/>
          <w:szCs w:val="24"/>
          <w:color w:val="auto"/>
        </w:rPr>
      </w:pPr>
    </w:p>
    <w:p>
      <w:pPr>
        <w:ind w:firstLine="486"/>
        <w:spacing w:after="0" w:line="244" w:lineRule="auto"/>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xml:space="preserve"> No </w:t>
      </w:r>
      <w:r>
        <w:rPr>
          <w:rFonts w:ascii="Times New Roman" w:cs="Times New Roman" w:eastAsia="Times New Roman" w:hAnsi="Times New Roman"/>
          <w:sz w:val="22"/>
          <w:szCs w:val="22"/>
          <w:b w:val="1"/>
          <w:bCs w:val="1"/>
          <w:color w:val="auto"/>
        </w:rPr>
        <w:t>o</w:t>
      </w:r>
    </w:p>
    <w:p>
      <w:pPr>
        <w:spacing w:after="0" w:line="201" w:lineRule="exact"/>
        <w:rPr>
          <w:sz w:val="24"/>
          <w:szCs w:val="24"/>
          <w:color w:val="auto"/>
        </w:rPr>
      </w:pPr>
    </w:p>
    <w:p>
      <w:pPr>
        <w:ind w:right="140" w:firstLine="486"/>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01" w:lineRule="exact"/>
        <w:rPr>
          <w:sz w:val="24"/>
          <w:szCs w:val="24"/>
          <w:color w:val="auto"/>
        </w:rPr>
      </w:pPr>
    </w:p>
    <w:p>
      <w:pPr>
        <w:ind w:right="960" w:firstLine="486"/>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 shell company (as defined in Rule 12b-2 of the Exchange Act). Yes o No 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par value $0.50 per share, outstanding on January 7, 2008 was 28,991,114.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REPORT ON FORM 10-Q</w:t>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6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FINANCIAL INFORMATION:</w:t>
            </w:r>
          </w:p>
        </w:tc>
        <w:tc>
          <w:tcPr>
            <w:tcW w:w="3560" w:type="dxa"/>
            <w:vAlign w:val="bottom"/>
            <w:gridSpan w:val="2"/>
          </w:tcPr>
          <w:p>
            <w:pPr>
              <w:jc w:val="center"/>
              <w:ind w:left="2512"/>
              <w:spacing w:after="0"/>
              <w:rPr>
                <w:sz w:val="20"/>
                <w:szCs w:val="20"/>
                <w:color w:val="auto"/>
              </w:rPr>
            </w:pPr>
            <w:r>
              <w:rPr>
                <w:rFonts w:ascii="Times New Roman" w:cs="Times New Roman" w:eastAsia="Times New Roman" w:hAnsi="Times New Roman"/>
                <w:sz w:val="18"/>
                <w:szCs w:val="18"/>
                <w:color w:val="auto"/>
                <w:w w:val="97"/>
              </w:rPr>
              <w:t>Page Number</w:t>
            </w:r>
          </w:p>
        </w:tc>
        <w:tc>
          <w:tcPr>
            <w:tcW w:w="0" w:type="dxa"/>
            <w:vAlign w:val="bottom"/>
          </w:tcPr>
          <w:p>
            <w:pPr>
              <w:spacing w:after="0"/>
              <w:rPr>
                <w:sz w:val="1"/>
                <w:szCs w:val="1"/>
                <w:color w:val="auto"/>
              </w:rPr>
            </w:pPr>
          </w:p>
        </w:tc>
      </w:tr>
      <w:tr>
        <w:trPr>
          <w:trHeight w:val="235"/>
        </w:trPr>
        <w:tc>
          <w:tcPr>
            <w:tcW w:w="920" w:type="dxa"/>
            <w:vAlign w:val="bottom"/>
            <w:vMerge w:val="continue"/>
          </w:tcPr>
          <w:p>
            <w:pPr>
              <w:spacing w:after="0"/>
              <w:rPr>
                <w:sz w:val="20"/>
                <w:szCs w:val="20"/>
                <w:color w:val="auto"/>
              </w:rPr>
            </w:pPr>
          </w:p>
        </w:tc>
        <w:tc>
          <w:tcPr>
            <w:tcW w:w="6600" w:type="dxa"/>
            <w:vAlign w:val="bottom"/>
            <w:gridSpan w:val="4"/>
            <w:vMerge w:val="continue"/>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I.</w:t>
            </w:r>
          </w:p>
        </w:tc>
        <w:tc>
          <w:tcPr>
            <w:tcW w:w="6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Financial Statements</w:t>
            </w:r>
          </w:p>
        </w:tc>
        <w:tc>
          <w:tcPr>
            <w:tcW w:w="2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900" w:type="dxa"/>
            <w:vAlign w:val="bottom"/>
            <w:gridSpan w:val="3"/>
          </w:tcPr>
          <w:p>
            <w:pPr>
              <w:spacing w:after="0" w:line="190"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Unaudited Consolidated Statements of Income</w:t>
              </w:r>
            </w:hyperlink>
          </w:p>
        </w:tc>
        <w:tc>
          <w:tcPr>
            <w:tcW w:w="3560" w:type="dxa"/>
            <w:vAlign w:val="bottom"/>
            <w:gridSpan w:val="2"/>
          </w:tcPr>
          <w:p>
            <w:pPr>
              <w:jc w:val="center"/>
              <w:ind w:left="2512"/>
              <w:spacing w:after="0" w:line="190"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Unaudited Consolidated Balance Sheets</w:t>
              </w:r>
            </w:hyperlink>
          </w:p>
        </w:tc>
        <w:tc>
          <w:tcPr>
            <w:tcW w:w="460" w:type="dxa"/>
            <w:vAlign w:val="bottom"/>
            <w:tcBorders>
              <w:top w:val="single" w:sz="8" w:color="0000EE"/>
            </w:tcBorders>
          </w:tcPr>
          <w:p>
            <w:pPr>
              <w:spacing w:after="0"/>
              <w:rPr>
                <w:sz w:val="17"/>
                <w:szCs w:val="17"/>
                <w:color w:val="auto"/>
              </w:rPr>
            </w:pPr>
          </w:p>
        </w:tc>
        <w:tc>
          <w:tcPr>
            <w:tcW w:w="2620" w:type="dxa"/>
            <w:vAlign w:val="bottom"/>
          </w:tcPr>
          <w:p>
            <w:pPr>
              <w:spacing w:after="0"/>
              <w:rPr>
                <w:sz w:val="17"/>
                <w:szCs w:val="17"/>
                <w:color w:val="auto"/>
              </w:rPr>
            </w:pPr>
          </w:p>
        </w:tc>
        <w:tc>
          <w:tcPr>
            <w:tcW w:w="3560" w:type="dxa"/>
            <w:vAlign w:val="bottom"/>
            <w:gridSpan w:val="2"/>
          </w:tcPr>
          <w:p>
            <w:pPr>
              <w:jc w:val="center"/>
              <w:ind w:left="2512"/>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ectPr>
          <w:pgSz w:w="11900" w:h="16838" w:orient="portrait"/>
          <w:cols w:equalWidth="0" w:num="1">
            <w:col w:w="11280"/>
          </w:cols>
          <w:pgMar w:left="240" w:top="827" w:right="3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Unaudited Consolidated Statements of Cash Flows</w:t>
              </w:r>
            </w:hyperlink>
          </w:p>
        </w:tc>
        <w:tc>
          <w:tcPr>
            <w:tcW w:w="3840" w:type="dxa"/>
            <w:vAlign w:val="bottom"/>
            <w:gridSpan w:val="6"/>
          </w:tcPr>
          <w:p>
            <w:pPr>
              <w:spacing w:after="0"/>
              <w:rPr>
                <w:sz w:val="17"/>
                <w:szCs w:val="17"/>
                <w:color w:val="auto"/>
              </w:rPr>
            </w:pPr>
          </w:p>
        </w:tc>
        <w:tc>
          <w:tcPr>
            <w:tcW w:w="1660" w:type="dxa"/>
            <w:vAlign w:val="bottom"/>
          </w:tcPr>
          <w:p>
            <w:pPr>
              <w:jc w:val="center"/>
              <w:ind w:left="1372"/>
              <w:spacing w:after="0"/>
              <w:rPr>
                <w:sz w:val="20"/>
                <w:szCs w:val="20"/>
                <w:color w:val="auto"/>
              </w:rPr>
            </w:pPr>
            <w:r>
              <w:rPr>
                <w:rFonts w:ascii="Times New Roman" w:cs="Times New Roman" w:eastAsia="Times New Roman" w:hAnsi="Times New Roman"/>
                <w:sz w:val="18"/>
                <w:szCs w:val="18"/>
                <w:color w:val="auto"/>
                <w:w w:val="88"/>
              </w:rPr>
              <w:t>3</w:t>
            </w:r>
          </w:p>
        </w:tc>
      </w:tr>
      <w:tr>
        <w:trPr>
          <w:trHeight w:val="196"/>
        </w:trPr>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Unaudited Notes to Condensed Consolidated Financial Statements</w:t>
              </w:r>
            </w:hyperlink>
          </w:p>
        </w:tc>
        <w:tc>
          <w:tcPr>
            <w:tcW w:w="2740" w:type="dxa"/>
            <w:vAlign w:val="bottom"/>
            <w:gridSpan w:val="2"/>
          </w:tcPr>
          <w:p>
            <w:pPr>
              <w:spacing w:after="0"/>
              <w:rPr>
                <w:sz w:val="17"/>
                <w:szCs w:val="17"/>
                <w:color w:val="auto"/>
              </w:rPr>
            </w:pPr>
          </w:p>
        </w:tc>
        <w:tc>
          <w:tcPr>
            <w:tcW w:w="1660" w:type="dxa"/>
            <w:vAlign w:val="bottom"/>
          </w:tcPr>
          <w:p>
            <w:pPr>
              <w:jc w:val="center"/>
              <w:ind w:left="1372"/>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1460" w:type="dxa"/>
            <w:vAlign w:val="bottom"/>
          </w:tcPr>
          <w:p>
            <w:pPr>
              <w:spacing w:after="0"/>
              <w:rPr>
                <w:sz w:val="24"/>
                <w:szCs w:val="24"/>
                <w:color w:val="auto"/>
              </w:rPr>
            </w:pPr>
          </w:p>
        </w:tc>
        <w:tc>
          <w:tcPr>
            <w:tcW w:w="1660" w:type="dxa"/>
            <w:vAlign w:val="bottom"/>
          </w:tcPr>
          <w:p>
            <w:pPr>
              <w:jc w:val="center"/>
              <w:ind w:left="1372"/>
              <w:spacing w:after="0"/>
              <w:rPr>
                <w:sz w:val="20"/>
                <w:szCs w:val="20"/>
                <w:color w:val="auto"/>
              </w:rPr>
            </w:pPr>
            <w:r>
              <w:rPr>
                <w:rFonts w:ascii="Times New Roman" w:cs="Times New Roman" w:eastAsia="Times New Roman" w:hAnsi="Times New Roman"/>
                <w:sz w:val="18"/>
                <w:szCs w:val="18"/>
                <w:color w:val="auto"/>
                <w:w w:val="88"/>
              </w:rPr>
              <w:t>8</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Quantitative and Qualitative Disclosures About Market Risk</w:t>
              </w:r>
            </w:hyperlink>
          </w:p>
        </w:tc>
        <w:tc>
          <w:tcPr>
            <w:tcW w:w="3500" w:type="dxa"/>
            <w:vAlign w:val="bottom"/>
            <w:gridSpan w:val="3"/>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13</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760" w:type="dxa"/>
            <w:vAlign w:val="bottom"/>
            <w:gridSpan w:val="13"/>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Controls and Procedures</w:t>
              </w:r>
            </w:hyperlink>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12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41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Report of Independent Registered Public Accounting Firm</w:t>
              </w:r>
            </w:hyperlink>
          </w:p>
        </w:tc>
        <w:tc>
          <w:tcPr>
            <w:tcW w:w="3640" w:type="dxa"/>
            <w:vAlign w:val="bottom"/>
            <w:gridSpan w:val="5"/>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14</w:t>
            </w:r>
          </w:p>
        </w:tc>
      </w:tr>
      <w:tr>
        <w:trPr>
          <w:trHeight w:val="38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66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12">
              <w:r>
                <w:rPr>
                  <w:rFonts w:ascii="Times New Roman" w:cs="Times New Roman" w:eastAsia="Times New Roman" w:hAnsi="Times New Roman"/>
                  <w:sz w:val="18"/>
                  <w:szCs w:val="18"/>
                  <w:color w:val="0000EE"/>
                  <w:w w:val="95"/>
                </w:rPr>
                <w:t>Legal Proceedings</w:t>
              </w:r>
            </w:hyperlink>
          </w:p>
        </w:tc>
        <w:tc>
          <w:tcPr>
            <w:tcW w:w="6460" w:type="dxa"/>
            <w:vAlign w:val="bottom"/>
            <w:gridSpan w:val="8"/>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15</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Unregistered Sales of Equity Securities and Use of Proceeds</w:t>
              </w:r>
            </w:hyperlink>
          </w:p>
        </w:tc>
        <w:tc>
          <w:tcPr>
            <w:tcW w:w="3520" w:type="dxa"/>
            <w:vAlign w:val="bottom"/>
            <w:gridSpan w:val="4"/>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15</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760" w:type="dxa"/>
            <w:vAlign w:val="bottom"/>
            <w:gridSpan w:val="1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Exhibits</w:t>
              </w:r>
            </w:hyperlink>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12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Signatures</w:t>
              </w:r>
            </w:hyperlink>
          </w:p>
        </w:tc>
        <w:tc>
          <w:tcPr>
            <w:tcW w:w="7020" w:type="dxa"/>
            <w:vAlign w:val="bottom"/>
            <w:gridSpan w:val="10"/>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16</w:t>
            </w:r>
          </w:p>
        </w:tc>
      </w:tr>
      <w:tr>
        <w:trPr>
          <w:trHeight w:val="345"/>
        </w:trPr>
        <w:tc>
          <w:tcPr>
            <w:tcW w:w="1280" w:type="dxa"/>
            <w:vAlign w:val="bottom"/>
          </w:tcPr>
          <w:p>
            <w:pPr>
              <w:spacing w:after="0"/>
              <w:rPr>
                <w:sz w:val="24"/>
                <w:szCs w:val="24"/>
                <w:color w:val="auto"/>
              </w:rPr>
            </w:pPr>
          </w:p>
        </w:tc>
        <w:tc>
          <w:tcPr>
            <w:tcW w:w="9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14">
              <w:r>
                <w:rPr>
                  <w:rFonts w:ascii="Times New Roman" w:cs="Times New Roman" w:eastAsia="Times New Roman" w:hAnsi="Times New Roman"/>
                  <w:sz w:val="18"/>
                  <w:szCs w:val="18"/>
                  <w:color w:val="0000EE"/>
                  <w:w w:val="95"/>
                </w:rPr>
                <w:t>Exhibit Index</w:t>
              </w:r>
            </w:hyperlink>
          </w:p>
        </w:tc>
        <w:tc>
          <w:tcPr>
            <w:tcW w:w="6800" w:type="dxa"/>
            <w:vAlign w:val="bottom"/>
            <w:gridSpan w:val="9"/>
          </w:tcPr>
          <w:p>
            <w:pPr>
              <w:spacing w:after="0"/>
              <w:rPr>
                <w:sz w:val="24"/>
                <w:szCs w:val="24"/>
                <w:color w:val="auto"/>
              </w:rPr>
            </w:pPr>
          </w:p>
        </w:tc>
        <w:tc>
          <w:tcPr>
            <w:tcW w:w="1660" w:type="dxa"/>
            <w:vAlign w:val="bottom"/>
          </w:tcPr>
          <w:p>
            <w:pPr>
              <w:jc w:val="center"/>
              <w:ind w:left="1392"/>
              <w:spacing w:after="0"/>
              <w:rPr>
                <w:sz w:val="20"/>
                <w:szCs w:val="20"/>
                <w:color w:val="auto"/>
              </w:rPr>
            </w:pPr>
            <w:r>
              <w:rPr>
                <w:rFonts w:ascii="Times New Roman" w:cs="Times New Roman" w:eastAsia="Times New Roman" w:hAnsi="Times New Roman"/>
                <w:sz w:val="18"/>
                <w:szCs w:val="18"/>
                <w:color w:val="auto"/>
                <w:w w:val="9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5"/>
              </w:rPr>
              <w:t>Fourteen</w:t>
            </w:r>
          </w:p>
        </w:tc>
        <w:tc>
          <w:tcPr>
            <w:tcW w:w="180" w:type="dxa"/>
            <w:vAlign w:val="bottom"/>
          </w:tcPr>
          <w:p>
            <w:pPr>
              <w:spacing w:after="0"/>
              <w:rPr>
                <w:sz w:val="15"/>
                <w:szCs w:val="15"/>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Thirteen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1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December 1, 2007</w:t>
            </w:r>
          </w:p>
        </w:tc>
        <w:tc>
          <w:tcPr>
            <w:tcW w:w="1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November 25, 2006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8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gridSpan w:val="2"/>
            <w:shd w:val="clear" w:color="auto" w:fill="D6F3E8"/>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215,142</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201,765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189,502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tcBorders>
              <w:top w:val="single" w:sz="8" w:color="D6F3E8"/>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5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5,605</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80" w:type="dxa"/>
            <w:vAlign w:val="bottom"/>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96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6,451</w:t>
            </w:r>
          </w:p>
        </w:tc>
        <w:tc>
          <w:tcPr>
            <w:tcW w:w="180" w:type="dxa"/>
            <w:vAlign w:val="bottom"/>
            <w:shd w:val="clear" w:color="auto" w:fill="D6F3E8"/>
          </w:tcPr>
          <w:p>
            <w:pPr>
              <w:spacing w:after="0"/>
              <w:rPr>
                <w:sz w:val="20"/>
                <w:szCs w:val="20"/>
                <w:color w:val="auto"/>
              </w:rPr>
            </w:pPr>
          </w:p>
        </w:tc>
        <w:tc>
          <w:tcPr>
            <w:tcW w:w="14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96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13,584</w:t>
            </w:r>
          </w:p>
        </w:tc>
        <w:tc>
          <w:tcPr>
            <w:tcW w:w="180" w:type="dxa"/>
            <w:vAlign w:val="bottom"/>
            <w:shd w:val="clear" w:color="auto" w:fill="D6F3E8"/>
          </w:tcPr>
          <w:p>
            <w:pPr>
              <w:spacing w:after="0"/>
              <w:rPr>
                <w:sz w:val="18"/>
                <w:szCs w:val="18"/>
                <w:color w:val="auto"/>
              </w:rPr>
            </w:pPr>
          </w:p>
        </w:tc>
        <w:tc>
          <w:tcPr>
            <w:tcW w:w="14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tcBorders>
              <w:top w:val="single" w:sz="8" w:color="D6F3E8"/>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4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5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4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tcBorders>
              <w:top w:val="single" w:sz="8" w:color="D6F3E8"/>
              <w:bottom w:val="single" w:sz="8" w:color="D6F3E8"/>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56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tcBorders>
              <w:top w:val="single" w:sz="8" w:color="D6F3E8"/>
              <w:bottom w:val="single" w:sz="8" w:color="D6F3E8"/>
            </w:tcBorders>
            <w:shd w:val="clear" w:color="auto" w:fill="D6F3E8"/>
          </w:tcPr>
          <w:p>
            <w:pPr>
              <w:ind w:left="3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top w:val="single" w:sz="8" w:color="D6F3E8"/>
              <w:bottom w:val="single" w:sz="8" w:color="D6F3E8"/>
            </w:tcBorders>
            <w:shd w:val="clear" w:color="auto" w:fill="D6F3E8"/>
          </w:tcPr>
          <w:p>
            <w:pPr>
              <w:spacing w:after="0"/>
              <w:rPr>
                <w:sz w:val="17"/>
                <w:szCs w:val="17"/>
                <w:color w:val="auto"/>
              </w:rPr>
            </w:pPr>
          </w:p>
        </w:tc>
        <w:tc>
          <w:tcPr>
            <w:tcW w:w="180" w:type="dxa"/>
            <w:vAlign w:val="bottom"/>
            <w:tcBorders>
              <w:top w:val="single" w:sz="8" w:color="auto"/>
              <w:bottom w:val="single" w:sz="8" w:color="auto"/>
            </w:tcBorders>
            <w:shd w:val="clear" w:color="auto" w:fill="D6F3E8"/>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560" w:type="dxa"/>
            <w:vAlign w:val="bottom"/>
            <w:tcBorders>
              <w:top w:val="single" w:sz="8" w:color="D6F3E8"/>
              <w:bottom w:val="single" w:sz="8" w:color="D6F3E8"/>
            </w:tcBorders>
            <w:shd w:val="clear" w:color="auto" w:fill="D6F3E8"/>
          </w:tcPr>
          <w:p>
            <w:pPr>
              <w:spacing w:after="0"/>
              <w:rPr>
                <w:sz w:val="17"/>
                <w:szCs w:val="17"/>
                <w:color w:val="auto"/>
              </w:rPr>
            </w:pPr>
          </w:p>
        </w:tc>
        <w:tc>
          <w:tcPr>
            <w:tcW w:w="18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top w:val="single" w:sz="8" w:color="D6F3E8"/>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9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29,352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96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29,440</w:t>
            </w:r>
          </w:p>
        </w:tc>
        <w:tc>
          <w:tcPr>
            <w:tcW w:w="180" w:type="dxa"/>
            <w:vAlign w:val="bottom"/>
            <w:shd w:val="clear" w:color="auto" w:fill="D6F3E8"/>
          </w:tcPr>
          <w:p>
            <w:pPr>
              <w:spacing w:after="0"/>
              <w:rPr>
                <w:sz w:val="18"/>
                <w:szCs w:val="18"/>
                <w:color w:val="auto"/>
              </w:rPr>
            </w:pPr>
          </w:p>
        </w:tc>
        <w:tc>
          <w:tcPr>
            <w:tcW w:w="14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31,587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unaudited notes to condensed consolidated financial statements.</w:t>
      </w:r>
    </w:p>
    <w:p>
      <w:pPr>
        <w:sectPr>
          <w:pgSz w:w="11900" w:h="16838" w:orient="portrait"/>
          <w:cols w:equalWidth="0" w:num="1">
            <w:col w:w="11420"/>
          </w:cols>
          <w:pgMar w:left="240" w:top="122" w:right="23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2" w:right="239" w:bottom="352"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25,</w:t>
            </w:r>
          </w:p>
        </w:tc>
        <w:tc>
          <w:tcPr>
            <w:tcW w:w="0" w:type="dxa"/>
            <w:vAlign w:val="bottom"/>
          </w:tcPr>
          <w:p>
            <w:pPr>
              <w:spacing w:after="0"/>
              <w:rPr>
                <w:sz w:val="1"/>
                <w:szCs w:val="1"/>
                <w:color w:val="auto"/>
              </w:rPr>
            </w:pPr>
          </w:p>
        </w:tc>
      </w:tr>
      <w:tr>
        <w:trPr>
          <w:trHeight w:val="165"/>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8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3"/>
            <w:shd w:val="clear" w:color="auto" w:fill="D6F3E8"/>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4,836</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89,347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rPr>
              <w:t>Receivables, less allowance for doubtful accounts ($166 and $223, respectively)</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17,464</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30,285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120,117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4,030</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12,966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D6F3E8"/>
            </w:tcBorders>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248,760</w:t>
            </w:r>
          </w:p>
        </w:tc>
        <w:tc>
          <w:tcPr>
            <w:tcW w:w="120" w:type="dxa"/>
            <w:vAlign w:val="bottom"/>
            <w:tcBorders>
              <w:top w:val="single" w:sz="8" w:color="D6F3E8"/>
            </w:tcBorders>
            <w:shd w:val="clear" w:color="auto" w:fill="D6F3E8"/>
          </w:tcPr>
          <w:p>
            <w:pPr>
              <w:spacing w:after="0"/>
              <w:rPr>
                <w:sz w:val="18"/>
                <w:szCs w:val="18"/>
                <w:color w:val="auto"/>
              </w:rPr>
            </w:pPr>
          </w:p>
        </w:tc>
        <w:tc>
          <w:tcPr>
            <w:tcW w:w="44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2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257,700</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at cost: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934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59,770</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59,525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98,742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6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9,710</w:t>
            </w:r>
          </w:p>
        </w:tc>
        <w:tc>
          <w:tcPr>
            <w:tcW w:w="4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(118,946)</w:t>
            </w:r>
          </w:p>
        </w:tc>
        <w:tc>
          <w:tcPr>
            <w:tcW w:w="44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(116,689)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D6F3E8"/>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D6F3E8"/>
            </w:tcBorders>
          </w:tcPr>
          <w:p>
            <w:pPr>
              <w:spacing w:after="0"/>
              <w:rPr>
                <w:sz w:val="18"/>
                <w:szCs w:val="18"/>
                <w:color w:val="auto"/>
              </w:rPr>
            </w:pPr>
          </w:p>
        </w:tc>
        <w:tc>
          <w:tcPr>
            <w:tcW w:w="320" w:type="dxa"/>
            <w:vAlign w:val="bottom"/>
            <w:tcBorders>
              <w:bottom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120" w:type="dxa"/>
            <w:vAlign w:val="bottom"/>
            <w:tcBorders>
              <w:top w:val="single" w:sz="8" w:color="D6F3E8"/>
              <w:bottom w:val="single" w:sz="8" w:color="D6F3E8"/>
            </w:tcBorders>
          </w:tcPr>
          <w:p>
            <w:pPr>
              <w:spacing w:after="0"/>
              <w:rPr>
                <w:sz w:val="18"/>
                <w:szCs w:val="18"/>
                <w:color w:val="auto"/>
              </w:rPr>
            </w:pPr>
          </w:p>
        </w:tc>
        <w:tc>
          <w:tcPr>
            <w:tcW w:w="440" w:type="dxa"/>
            <w:vAlign w:val="bottom"/>
            <w:tcBorders>
              <w:top w:val="single" w:sz="8" w:color="D6F3E8"/>
              <w:bottom w:val="single" w:sz="8" w:color="D6F3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22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1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26,837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18,061</w:t>
            </w:r>
          </w:p>
        </w:tc>
        <w:tc>
          <w:tcPr>
            <w:tcW w:w="4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3"/>
            <w:shd w:val="clear" w:color="auto" w:fill="D6F3E8"/>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33,877</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35,286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gridSpan w:val="2"/>
          </w:tcPr>
          <w:p>
            <w:pPr>
              <w:ind w:left="300"/>
              <w:spacing w:after="0" w:line="201" w:lineRule="exact"/>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2"/>
              <w:spacing w:after="0" w:line="201" w:lineRule="exact"/>
              <w:rPr>
                <w:sz w:val="20"/>
                <w:szCs w:val="20"/>
                <w:color w:val="auto"/>
              </w:rPr>
            </w:pPr>
            <w:r>
              <w:rPr>
                <w:rFonts w:ascii="Times New Roman" w:cs="Times New Roman" w:eastAsia="Times New Roman" w:hAnsi="Times New Roman"/>
                <w:sz w:val="18"/>
                <w:szCs w:val="18"/>
                <w:color w:val="auto"/>
              </w:rPr>
              <w:t>2,774</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4,252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6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13,225</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Product warranties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11,424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620"/>
              <w:spacing w:after="0"/>
              <w:rPr>
                <w:sz w:val="20"/>
                <w:szCs w:val="20"/>
                <w:color w:val="auto"/>
              </w:rPr>
            </w:pPr>
            <w:r>
              <w:rPr>
                <w:rFonts w:ascii="Times New Roman" w:cs="Times New Roman" w:eastAsia="Times New Roman" w:hAnsi="Times New Roman"/>
                <w:sz w:val="18"/>
                <w:szCs w:val="18"/>
                <w:color w:val="auto"/>
              </w:rPr>
              <w:t>Self-insurance</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7,465</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Promotional</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3,951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620"/>
              <w:spacing w:after="0"/>
              <w:rPr>
                <w:sz w:val="20"/>
                <w:szCs w:val="20"/>
                <w:color w:val="auto"/>
              </w:rPr>
            </w:pPr>
            <w:r>
              <w:rPr>
                <w:rFonts w:ascii="Times New Roman" w:cs="Times New Roman" w:eastAsia="Times New Roman" w:hAnsi="Times New Roman"/>
                <w:sz w:val="18"/>
                <w:szCs w:val="18"/>
                <w:color w:val="auto"/>
              </w:rPr>
              <w:t>Accrued dividends</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3,500</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7,630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D6F3E8"/>
            </w:tcBorders>
            <w:gridSpan w:val="2"/>
            <w:shd w:val="clear" w:color="auto" w:fill="D6F3E8"/>
          </w:tcPr>
          <w:p>
            <w:pPr>
              <w:ind w:left="7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83,846</w:t>
            </w:r>
          </w:p>
        </w:tc>
        <w:tc>
          <w:tcPr>
            <w:tcW w:w="120" w:type="dxa"/>
            <w:vAlign w:val="bottom"/>
            <w:tcBorders>
              <w:top w:val="single" w:sz="8" w:color="D6F3E8"/>
            </w:tcBorders>
            <w:shd w:val="clear" w:color="auto" w:fill="D6F3E8"/>
          </w:tcPr>
          <w:p>
            <w:pPr>
              <w:spacing w:after="0"/>
              <w:rPr>
                <w:sz w:val="18"/>
                <w:szCs w:val="18"/>
                <w:color w:val="auto"/>
              </w:rPr>
            </w:pPr>
          </w:p>
        </w:tc>
        <w:tc>
          <w:tcPr>
            <w:tcW w:w="44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2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88,837</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19,555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Postretirement health care benefit cost</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31,999</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25,124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Executive share option plan liability</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13,020</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liabilities and commitments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280"/>
              <w:spacing w:after="0"/>
              <w:rPr>
                <w:sz w:val="20"/>
                <w:szCs w:val="20"/>
                <w:color w:val="auto"/>
              </w:rPr>
            </w:pPr>
            <w:r>
              <w:rPr>
                <w:rFonts w:ascii="Times New Roman" w:cs="Times New Roman" w:eastAsia="Times New Roman" w:hAnsi="Times New Roman"/>
                <w:sz w:val="18"/>
                <w:szCs w:val="18"/>
                <w:color w:val="auto"/>
              </w:rPr>
              <w:t>Capital stock common, par value $0.50; authorized 60,000 shares, issued 51,776 shares</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25,888</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29,035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506,971</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509,056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10,539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gridSpan w:val="2"/>
            <w:shd w:val="clear" w:color="auto" w:fill="D6F3E8"/>
          </w:tcPr>
          <w:p>
            <w:pPr>
              <w:ind w:left="280"/>
              <w:spacing w:after="0"/>
              <w:rPr>
                <w:sz w:val="20"/>
                <w:szCs w:val="20"/>
                <w:color w:val="auto"/>
              </w:rPr>
            </w:pPr>
            <w:r>
              <w:rPr>
                <w:rFonts w:ascii="Times New Roman" w:cs="Times New Roman" w:eastAsia="Times New Roman" w:hAnsi="Times New Roman"/>
                <w:sz w:val="18"/>
                <w:szCs w:val="18"/>
                <w:color w:val="auto"/>
              </w:rPr>
              <w:t>Treasury stock, at cost (22,785 and 22,223 shares, respectively)</w:t>
            </w:r>
          </w:p>
        </w:tc>
        <w:tc>
          <w:tcPr>
            <w:tcW w:w="2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(381,969)</w:t>
            </w:r>
          </w:p>
        </w:tc>
        <w:tc>
          <w:tcPr>
            <w:tcW w:w="44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(366,326)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D6F3E8"/>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D6F3E8"/>
            </w:tcBorders>
          </w:tcPr>
          <w:p>
            <w:pPr>
              <w:spacing w:after="0"/>
              <w:rPr>
                <w:sz w:val="18"/>
                <w:szCs w:val="18"/>
                <w:color w:val="auto"/>
              </w:rPr>
            </w:pPr>
          </w:p>
        </w:tc>
        <w:tc>
          <w:tcPr>
            <w:tcW w:w="320" w:type="dxa"/>
            <w:vAlign w:val="bottom"/>
            <w:tcBorders>
              <w:bottom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190,464</w:t>
            </w:r>
          </w:p>
        </w:tc>
        <w:tc>
          <w:tcPr>
            <w:tcW w:w="120" w:type="dxa"/>
            <w:vAlign w:val="bottom"/>
            <w:tcBorders>
              <w:top w:val="single" w:sz="8" w:color="D6F3E8"/>
              <w:bottom w:val="single" w:sz="8" w:color="D6F3E8"/>
            </w:tcBorders>
          </w:tcPr>
          <w:p>
            <w:pPr>
              <w:spacing w:after="0"/>
              <w:rPr>
                <w:sz w:val="18"/>
                <w:szCs w:val="18"/>
                <w:color w:val="auto"/>
              </w:rPr>
            </w:pPr>
          </w:p>
        </w:tc>
        <w:tc>
          <w:tcPr>
            <w:tcW w:w="440" w:type="dxa"/>
            <w:vAlign w:val="bottom"/>
            <w:tcBorders>
              <w:top w:val="single" w:sz="8" w:color="D6F3E8"/>
              <w:bottom w:val="single" w:sz="8" w:color="D6F3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2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D6F3E8"/>
            </w:tcBorders>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D6F3E8"/>
            </w:tcBorders>
            <w:shd w:val="clear" w:color="auto" w:fill="D6F3E8"/>
          </w:tcPr>
          <w:p>
            <w:pPr>
              <w:spacing w:after="0"/>
              <w:rPr>
                <w:sz w:val="18"/>
                <w:szCs w:val="18"/>
                <w:color w:val="auto"/>
              </w:rPr>
            </w:pPr>
          </w:p>
        </w:tc>
        <w:tc>
          <w:tcPr>
            <w:tcW w:w="320" w:type="dxa"/>
            <w:vAlign w:val="bottom"/>
            <w:tcBorders>
              <w:bottom w:val="single" w:sz="8" w:color="D6F3E8"/>
            </w:tcBorders>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364,008</w:t>
            </w:r>
          </w:p>
        </w:tc>
        <w:tc>
          <w:tcPr>
            <w:tcW w:w="120" w:type="dxa"/>
            <w:vAlign w:val="bottom"/>
            <w:tcBorders>
              <w:bottom w:val="single" w:sz="8" w:color="D6F3E8"/>
            </w:tcBorders>
            <w:shd w:val="clear" w:color="auto" w:fill="D6F3E8"/>
          </w:tcPr>
          <w:p>
            <w:pPr>
              <w:spacing w:after="0"/>
              <w:rPr>
                <w:sz w:val="18"/>
                <w:szCs w:val="18"/>
                <w:color w:val="auto"/>
              </w:rPr>
            </w:pPr>
          </w:p>
        </w:tc>
        <w:tc>
          <w:tcPr>
            <w:tcW w:w="44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366,510</w:t>
            </w:r>
          </w:p>
        </w:tc>
        <w:tc>
          <w:tcPr>
            <w:tcW w:w="2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unaudited notes to condensed consolidated financial statements.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3"/>
          </w:tcPr>
          <w:p>
            <w:pPr>
              <w:ind w:left="56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gridSpan w:val="2"/>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1">
              <w:r>
                <w:rPr>
                  <w:rFonts w:ascii="Times New Roman" w:cs="Times New Roman" w:eastAsia="Times New Roman" w:hAnsi="Times New Roman"/>
                  <w:sz w:val="18"/>
                  <w:szCs w:val="18"/>
                  <w:color w:val="0000EE"/>
                  <w:w w:val="96"/>
                </w:rPr>
                <w:t>Table of Contents</w:t>
              </w:r>
            </w:hyperlink>
          </w:p>
        </w:tc>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Winnebago Industries, Inc.</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Fourteen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Weeks Ended</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December 1, 2007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November 25,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4"/>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4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-1493520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-1493520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Postretirement benefit income and deferred compensation expense</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58"/>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Excess tax benefit of stock-based compensation</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5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w:t>
            </w:r>
          </w:p>
        </w:tc>
        <w:tc>
          <w:tcPr>
            <w:tcW w:w="420" w:type="dxa"/>
            <w:vAlign w:val="bottom"/>
          </w:tcPr>
          <w:p>
            <w:pPr>
              <w:spacing w:after="0"/>
              <w:rPr>
                <w:sz w:val="22"/>
                <w:szCs w:val="22"/>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(170)</w:t>
            </w:r>
          </w:p>
        </w:tc>
        <w:tc>
          <w:tcPr>
            <w:tcW w:w="4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w:t>
            </w:r>
          </w:p>
        </w:tc>
        <w:tc>
          <w:tcPr>
            <w:tcW w:w="4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7"/>
                <w:szCs w:val="17"/>
                <w:color w:val="auto"/>
              </w:rPr>
            </w:pPr>
          </w:p>
        </w:tc>
        <w:tc>
          <w:tcPr>
            <w:tcW w:w="1620" w:type="dxa"/>
            <w:vAlign w:val="bottom"/>
            <w:gridSpan w:val="2"/>
          </w:tcPr>
          <w:p>
            <w:pPr>
              <w:jc w:val="right"/>
              <w:ind w:right="6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(18,909)</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5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and prepaid assets</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58"/>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(5,879)</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Postretirement and deferred compensation benefits</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(11,577)</w:t>
            </w:r>
          </w:p>
        </w:tc>
        <w:tc>
          <w:tcPr>
            <w:tcW w:w="0" w:type="dxa"/>
            <w:vAlign w:val="bottom"/>
          </w:tcPr>
          <w:p>
            <w:pPr>
              <w:spacing w:after="0"/>
              <w:rPr>
                <w:sz w:val="1"/>
                <w:szCs w:val="1"/>
                <w:color w:val="auto"/>
              </w:rPr>
            </w:pPr>
          </w:p>
        </w:tc>
      </w:tr>
      <w:tr>
        <w:trPr>
          <w:trHeight w:val="40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(150,072)</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(80,449)</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sale or maturity of short-term investments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163,375</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(1,505)</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sale of property</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(484)</w:t>
            </w:r>
          </w:p>
        </w:tc>
        <w:tc>
          <w:tcPr>
            <w:tcW w:w="440" w:type="dxa"/>
            <w:vAlign w:val="bottom"/>
            <w:shd w:val="clear" w:color="auto" w:fill="D6F3E8"/>
          </w:tcPr>
          <w:p>
            <w:pPr>
              <w:spacing w:after="0"/>
              <w:rPr>
                <w:sz w:val="22"/>
                <w:szCs w:val="22"/>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40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42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(17,519)</w:t>
            </w: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420" w:type="dxa"/>
            <w:vAlign w:val="bottom"/>
          </w:tcPr>
          <w:p>
            <w:pPr>
              <w:spacing w:after="0"/>
              <w:rPr>
                <w:sz w:val="22"/>
                <w:szCs w:val="22"/>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(3,546)</w:t>
            </w:r>
          </w:p>
        </w:tc>
        <w:tc>
          <w:tcPr>
            <w:tcW w:w="4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7"/>
        </w:trPr>
        <w:tc>
          <w:tcPr>
            <w:tcW w:w="78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tcBorders>
              <w:bottom w:val="single" w:sz="8" w:color="D6F3E8"/>
            </w:tcBorders>
          </w:tcPr>
          <w:p>
            <w:pPr>
              <w:ind w:left="340"/>
              <w:spacing w:after="0"/>
              <w:rPr>
                <w:sz w:val="20"/>
                <w:szCs w:val="20"/>
                <w:color w:val="auto"/>
              </w:rPr>
            </w:pPr>
            <w:r>
              <w:rPr>
                <w:rFonts w:ascii="Times New Roman" w:cs="Times New Roman" w:eastAsia="Times New Roman" w:hAnsi="Times New Roman"/>
                <w:sz w:val="18"/>
                <w:szCs w:val="18"/>
                <w:color w:val="auto"/>
              </w:rPr>
              <w:t>Excess tax benefit of stock options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D6F3E8"/>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20" w:type="dxa"/>
            <w:vAlign w:val="bottom"/>
            <w:shd w:val="clear" w:color="auto" w:fill="D6F3E8"/>
          </w:tcPr>
          <w:p>
            <w:pPr>
              <w:spacing w:after="0"/>
              <w:rPr>
                <w:sz w:val="20"/>
                <w:szCs w:val="20"/>
                <w:color w:val="auto"/>
              </w:rPr>
            </w:pPr>
          </w:p>
        </w:tc>
        <w:tc>
          <w:tcPr>
            <w:tcW w:w="162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(21,007)</w:t>
            </w:r>
          </w:p>
        </w:tc>
        <w:tc>
          <w:tcPr>
            <w:tcW w:w="440" w:type="dxa"/>
            <w:vAlign w:val="bottom"/>
            <w:shd w:val="clear" w:color="auto" w:fill="D6F3E8"/>
          </w:tcPr>
          <w:p>
            <w:pPr>
              <w:spacing w:after="0"/>
              <w:rPr>
                <w:sz w:val="20"/>
                <w:szCs w:val="20"/>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(2,053)</w:t>
            </w:r>
          </w:p>
        </w:tc>
        <w:tc>
          <w:tcPr>
            <w:tcW w:w="4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32"/>
        </w:trPr>
        <w:tc>
          <w:tcPr>
            <w:tcW w:w="78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Borders>
              <w:bottom w:val="single" w:sz="8" w:color="auto"/>
            </w:tcBorders>
            <w:shd w:val="clear" w:color="auto" w:fill="D6F3E8"/>
          </w:tcPr>
          <w:p>
            <w:pPr>
              <w:spacing w:after="0"/>
              <w:rPr>
                <w:sz w:val="20"/>
                <w:szCs w:val="20"/>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680" w:type="dxa"/>
            <w:vAlign w:val="bottom"/>
            <w:shd w:val="clear" w:color="auto" w:fill="D6F3E8"/>
          </w:tcPr>
          <w:p>
            <w:pPr>
              <w:spacing w:after="0"/>
              <w:rPr>
                <w:sz w:val="20"/>
                <w:szCs w:val="20"/>
                <w:color w:val="auto"/>
              </w:rPr>
            </w:pPr>
          </w:p>
        </w:tc>
        <w:tc>
          <w:tcPr>
            <w:tcW w:w="440" w:type="dxa"/>
            <w:vAlign w:val="bottom"/>
            <w:tcBorders>
              <w:bottom w:val="single" w:sz="8" w:color="auto"/>
            </w:tcBorders>
            <w:shd w:val="clear" w:color="auto" w:fill="D6F3E8"/>
          </w:tcPr>
          <w:p>
            <w:pPr>
              <w:spacing w:after="0"/>
              <w:rPr>
                <w:sz w:val="20"/>
                <w:szCs w:val="20"/>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680" w:type="dxa"/>
            <w:vAlign w:val="bottom"/>
          </w:tcPr>
          <w:p>
            <w:pPr>
              <w:spacing w:after="0"/>
              <w:rPr>
                <w:sz w:val="18"/>
                <w:szCs w:val="18"/>
                <w:color w:val="auto"/>
              </w:rPr>
            </w:pPr>
          </w:p>
        </w:tc>
        <w:tc>
          <w:tcPr>
            <w:tcW w:w="4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820" w:type="dxa"/>
            <w:vAlign w:val="bottom"/>
            <w:tcBorders>
              <w:bottom w:val="single" w:sz="8" w:color="D6F3E8"/>
            </w:tcBorders>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420" w:type="dxa"/>
            <w:vAlign w:val="bottom"/>
            <w:tcBorders>
              <w:bottom w:val="single" w:sz="8" w:color="auto"/>
            </w:tcBorders>
            <w:shd w:val="clear" w:color="auto" w:fill="D6F3E8"/>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tcBorders>
              <w:bottom w:val="single" w:sz="8" w:color="D6F3E8"/>
            </w:tcBorders>
            <w:shd w:val="clear" w:color="auto" w:fill="D6F3E8"/>
          </w:tcPr>
          <w:p>
            <w:pPr>
              <w:spacing w:after="0"/>
              <w:rPr>
                <w:sz w:val="20"/>
                <w:szCs w:val="20"/>
                <w:color w:val="auto"/>
              </w:rPr>
            </w:pPr>
          </w:p>
        </w:tc>
        <w:tc>
          <w:tcPr>
            <w:tcW w:w="440" w:type="dxa"/>
            <w:vAlign w:val="bottom"/>
            <w:tcBorders>
              <w:bottom w:val="single" w:sz="8" w:color="auto"/>
            </w:tcBorders>
            <w:shd w:val="clear" w:color="auto" w:fill="D6F3E8"/>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tcBorders>
              <w:bottom w:val="single" w:sz="8" w:color="D6F3E8"/>
            </w:tcBorders>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unaudited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60"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“Company,” “we,” “our,” and “us” are used interchangeably to refer to Winnebago Industries, Inc. or Winnebago Industries, Inc. and its subsidiaries, as appropriate to the context.</w:t>
      </w:r>
    </w:p>
    <w:p>
      <w:pPr>
        <w:spacing w:after="0" w:line="174"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In our opinion, the accompanying unaudited condensed consolidated financial statements contain all adjustments, consisting of normal recurring accruals, necessary to present fairly the consolidated financial position as of December 1, 2007 and the consolidated results of operations and consolidated cash flows for the fourteen weeks ended December 1, 2007 and the thirteen weeks ended November 25, 2006. The consolidated statements of income for the fourteen weeks ended December 1, 2007 are not necessarily indicative of the results to be expected for the full year. The balance sheet data as of August 25, 2007 was derived from audited financial statements, but does not include all of the information and footnotes required by generally accepted accounting principles for complete</w:t>
      </w:r>
    </w:p>
    <w:p>
      <w:pPr>
        <w:sectPr>
          <w:pgSz w:w="11900" w:h="16838" w:orient="portrait"/>
          <w:cols w:equalWidth="0" w:num="1">
            <w:col w:w="11420"/>
          </w:cols>
          <w:pgMar w:left="240" w:top="125" w:right="239" w:bottom="0" w:gutter="0" w:footer="0" w:header="0"/>
        </w:sectPr>
      </w:pPr>
    </w:p>
    <w:bookmarkStart w:id="4" w:name="page5"/>
    <w:bookmarkEnd w:id="4"/>
    <w:p>
      <w:pPr>
        <w:ind w:right="80"/>
        <w:spacing w:after="0" w:line="262" w:lineRule="auto"/>
        <w:rPr>
          <w:sz w:val="20"/>
          <w:szCs w:val="20"/>
          <w:color w:val="auto"/>
        </w:rPr>
      </w:pPr>
      <w:r>
        <w:rPr>
          <w:rFonts w:ascii="Times New Roman" w:cs="Times New Roman" w:eastAsia="Times New Roman" w:hAnsi="Times New Roman"/>
          <w:sz w:val="18"/>
          <w:szCs w:val="18"/>
          <w:color w:val="auto"/>
        </w:rPr>
        <w:t>financial statements. These interim consolidated financial statements should be read in conjunction with the audited financial statements and notes thereto appearing in our Annual Report to Shareholders for the year ended August 25, 2007. Certain prior period information in the unaudited consolidated statements of cash flows has been condensed to conform to the current year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Stock-Based Compensation Plans</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 2004 Incentive Compensation Plan, as amended (the “Plan”) in place which allows us to grant stock options and other equity compensation to key employees and to nonemployee directors. In years prior to Fiscal 2007, stock-based compensation consisted only of stock options. In the first quarters of 2007 and 2008, we granted restricted stock awards to key employees instead of stock options. The value of the restricted stock awards is determined using the intrinsic value method which, in this case, is based on the number of shares granted and the closing price of our common stock on the date of grant.</w:t>
      </w:r>
    </w:p>
    <w:p>
      <w:pPr>
        <w:spacing w:after="0" w:line="12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Total stock-based compensation expense included in our statements of income for the fourteen weeks ended December 1, 2007 and the thirteen weeks ended November 25, 2006 was $2.2 million and $2.8 million, respectively. Of the $2.2 million, $1.9 million is related to the October 10, 2007 grant of 109,200 shares of restricted stock and the remainder is related to the amortization of previously granted stock options, restricted stock awards, and stock units issued to nonemployee directors, in lieu of their director fees. We will continue to recognize compensation expense over the three-year vesting periods for awards granted to employees prior to adoption of Statement of Financial Accounting Standards (SFAS) No. 123R, but for all awards granted after August 27, 2005, compensation expense will be recognized over the requisite service period of the award or over a period ending with an employee’s eligible retirement date, if earlier.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15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(FASB) issued Financing Accounting Standard (FAS)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statement provides a definition of fair value and a consistent basis by which to measure fair value. The statement is effective for fiscal years beginning after November 15, 2007 and for interim periods within those fiscal years. We are currently evaluating the impact of this pronouncement on our future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 xml:space="preserve">In February 2007, the FASB issued FAS No.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 This statement permits entities to choose to measure many financial instruments and certain other items at fair value. This statement is effective as of the beginning of an entity’s first fiscal year that begins after November 15, 2007. We are currently evaluating the impact of this pronouncement on our future consolidated financial statements.</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April 2007, FASB ratified Emerging Issues Task Force (EITF) Issue No. 06-10, </w:t>
      </w:r>
      <w:r>
        <w:rPr>
          <w:rFonts w:ascii="Times New Roman" w:cs="Times New Roman" w:eastAsia="Times New Roman" w:hAnsi="Times New Roman"/>
          <w:sz w:val="18"/>
          <w:szCs w:val="18"/>
          <w:i w:val="1"/>
          <w:iCs w:val="1"/>
          <w:color w:val="auto"/>
        </w:rPr>
        <w:t>Accounting for Collateral Assignment Split-Dollar Life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This statement establishes that companies will be required to recognize a liability for the postretirement benefit obligation related to a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arrangement — in accordance with SFAS No. 106, </w:t>
      </w:r>
      <w:r>
        <w:rPr>
          <w:rFonts w:ascii="Times New Roman" w:cs="Times New Roman" w:eastAsia="Times New Roman" w:hAnsi="Times New Roman"/>
          <w:sz w:val="18"/>
          <w:szCs w:val="18"/>
          <w:i w:val="1"/>
          <w:iCs w:val="1"/>
          <w:color w:val="auto"/>
        </w:rPr>
        <w:t>Employers’ Accounting for Postretirement Benefits Other Than Pensions,</w:t>
      </w:r>
      <w:r>
        <w:rPr>
          <w:rFonts w:ascii="Times New Roman" w:cs="Times New Roman" w:eastAsia="Times New Roman" w:hAnsi="Times New Roman"/>
          <w:sz w:val="18"/>
          <w:szCs w:val="18"/>
          <w:color w:val="auto"/>
        </w:rPr>
        <w:t xml:space="preserve"> (if deemed part of a postretirement plan) or Accounting Principles Board Opinion 12, </w:t>
      </w:r>
      <w:r>
        <w:rPr>
          <w:rFonts w:ascii="Times New Roman" w:cs="Times New Roman" w:eastAsia="Times New Roman" w:hAnsi="Times New Roman"/>
          <w:sz w:val="18"/>
          <w:szCs w:val="18"/>
          <w:i w:val="1"/>
          <w:iCs w:val="1"/>
          <w:color w:val="auto"/>
        </w:rPr>
        <w:t>Omnibus Opinion — 1967,</w:t>
      </w:r>
      <w:r>
        <w:rPr>
          <w:rFonts w:ascii="Times New Roman" w:cs="Times New Roman" w:eastAsia="Times New Roman" w:hAnsi="Times New Roman"/>
          <w:sz w:val="18"/>
          <w:szCs w:val="18"/>
          <w:color w:val="auto"/>
        </w:rPr>
        <w:t xml:space="preserve"> (if not part of a plan) — if, based on the substantive agreement with the employee, the employer has agreed to maintain a life insurance policy during the postretirement period or provide a death benefit. The Task Force also reached a consensus that an employer should recognize and measure the associated asset on the basis of the terms of the collateral assignment arrangement. These requirements are effective for fiscal years beginning after December 15, 2007. We are currently evaluating the impact of this pronouncement on our future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22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Inventories are valued at the lower of cost or market, with cost being determined under the last-in, first-out (LIFO) method and market defined as net realizable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6"/>
              </w:rPr>
              <w:t>December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August 25,</w:t>
            </w:r>
          </w:p>
        </w:tc>
      </w:tr>
      <w:tr>
        <w:trPr>
          <w:trHeight w:val="165"/>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6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42,342</w:t>
            </w:r>
          </w:p>
        </w:tc>
        <w:tc>
          <w:tcPr>
            <w:tcW w:w="64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45,489</w:t>
            </w:r>
          </w:p>
        </w:tc>
        <w:tc>
          <w:tcPr>
            <w:tcW w:w="160" w:type="dxa"/>
            <w:vAlign w:val="bottom"/>
            <w:tcBorders>
              <w:top w:val="single" w:sz="8" w:color="D6F3E8"/>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41,417</w:t>
            </w:r>
          </w:p>
        </w:tc>
        <w:tc>
          <w:tcPr>
            <w:tcW w:w="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60" w:type="dxa"/>
            <w:vAlign w:val="bottom"/>
            <w:shd w:val="clear" w:color="auto" w:fill="D6F3E8"/>
          </w:tcPr>
          <w:p>
            <w:pPr>
              <w:spacing w:after="0"/>
              <w:rPr>
                <w:sz w:val="19"/>
                <w:szCs w:val="19"/>
                <w:color w:val="auto"/>
              </w:rPr>
            </w:pPr>
          </w:p>
        </w:tc>
        <w:tc>
          <w:tcPr>
            <w:tcW w:w="80" w:type="dxa"/>
            <w:vAlign w:val="bottom"/>
            <w:tcBorders>
              <w:bottom w:val="single" w:sz="8" w:color="auto"/>
            </w:tcBorders>
            <w:shd w:val="clear" w:color="auto" w:fill="D6F3E8"/>
          </w:tcPr>
          <w:p>
            <w:pPr>
              <w:spacing w:after="0"/>
              <w:rPr>
                <w:sz w:val="19"/>
                <w:szCs w:val="19"/>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71,377</w:t>
            </w:r>
          </w:p>
        </w:tc>
        <w:tc>
          <w:tcPr>
            <w:tcW w:w="64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2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47,007</w:t>
            </w:r>
          </w:p>
        </w:tc>
        <w:tc>
          <w:tcPr>
            <w:tcW w:w="160" w:type="dxa"/>
            <w:vAlign w:val="bottom"/>
            <w:shd w:val="clear" w:color="auto" w:fill="D6F3E8"/>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133,913</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6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520" w:type="dxa"/>
            <w:vAlign w:val="bottom"/>
            <w:gridSpan w:val="2"/>
            <w:shd w:val="clear" w:color="auto" w:fill="D6F3E8"/>
          </w:tcPr>
          <w:p>
            <w:pPr>
              <w:jc w:val="right"/>
              <w:ind w:right="580"/>
              <w:spacing w:after="0"/>
              <w:rPr>
                <w:sz w:val="20"/>
                <w:szCs w:val="20"/>
                <w:color w:val="auto"/>
              </w:rPr>
            </w:pPr>
            <w:r>
              <w:rPr>
                <w:rFonts w:ascii="Times New Roman" w:cs="Times New Roman" w:eastAsia="Times New Roman" w:hAnsi="Times New Roman"/>
                <w:sz w:val="18"/>
                <w:szCs w:val="18"/>
                <w:color w:val="auto"/>
              </w:rPr>
              <w:t>(33,246)</w:t>
            </w:r>
          </w:p>
        </w:tc>
        <w:tc>
          <w:tcPr>
            <w:tcW w:w="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(32,705)</w:t>
            </w: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120,117</w:t>
            </w:r>
          </w:p>
        </w:tc>
        <w:tc>
          <w:tcPr>
            <w:tcW w:w="640" w:type="dxa"/>
            <w:vAlign w:val="bottom"/>
            <w:tcBorders>
              <w:top w:val="single" w:sz="8" w:color="D6F3E8"/>
            </w:tcBorders>
          </w:tcPr>
          <w:p>
            <w:pPr>
              <w:spacing w:after="0"/>
              <w:rPr>
                <w:sz w:val="18"/>
                <w:szCs w:val="18"/>
                <w:color w:val="auto"/>
              </w:rPr>
            </w:pPr>
          </w:p>
        </w:tc>
        <w:tc>
          <w:tcPr>
            <w:tcW w:w="20" w:type="dxa"/>
            <w:vAlign w:val="bottom"/>
            <w:tcBorders>
              <w:top w:val="single" w:sz="8" w:color="D6F3E8"/>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101,208</w:t>
            </w:r>
          </w:p>
        </w:tc>
        <w:tc>
          <w:tcPr>
            <w:tcW w:w="160" w:type="dxa"/>
            <w:vAlign w:val="bottom"/>
            <w:tcBorders>
              <w:top w:val="single" w:sz="8" w:color="D6F3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Warranty</w:t>
      </w:r>
    </w:p>
    <w:p>
      <w:pPr>
        <w:spacing w:after="0" w:line="227"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are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Fourteen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Thirteen</w:t>
            </w:r>
          </w:p>
        </w:tc>
      </w:tr>
      <w:tr>
        <w:trPr>
          <w:trHeight w:val="165"/>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December 1,</w:t>
            </w:r>
          </w:p>
        </w:tc>
        <w:tc>
          <w:tcPr>
            <w:tcW w:w="2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November 25,</w:t>
            </w:r>
          </w:p>
        </w:tc>
        <w:tc>
          <w:tcPr>
            <w:tcW w:w="160" w:type="dxa"/>
            <w:vAlign w:val="bottom"/>
          </w:tcPr>
          <w:p>
            <w:pPr>
              <w:spacing w:after="0"/>
              <w:rPr>
                <w:sz w:val="10"/>
                <w:szCs w:val="10"/>
                <w:color w:val="auto"/>
              </w:rPr>
            </w:pPr>
          </w:p>
        </w:tc>
      </w:tr>
      <w:tr>
        <w:trPr>
          <w:trHeight w:val="165"/>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6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64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60" w:type="dxa"/>
            <w:vAlign w:val="bottom"/>
            <w:tcBorders>
              <w:top w:val="single" w:sz="8" w:color="D6F3E8"/>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740" w:type="dxa"/>
            <w:vAlign w:val="bottom"/>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rPr>
              <w:t>Claims paid</w:t>
            </w:r>
          </w:p>
        </w:tc>
        <w:tc>
          <w:tcPr>
            <w:tcW w:w="6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50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(3,659)</w:t>
            </w: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r>
      <w:tr>
        <w:trPr>
          <w:trHeight w:val="21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640" w:type="dxa"/>
            <w:vAlign w:val="bottom"/>
            <w:tcBorders>
              <w:top w:val="single" w:sz="8" w:color="D6F3E8"/>
            </w:tcBorders>
          </w:tcPr>
          <w:p>
            <w:pPr>
              <w:spacing w:after="0"/>
              <w:rPr>
                <w:sz w:val="18"/>
                <w:szCs w:val="18"/>
                <w:color w:val="auto"/>
              </w:rPr>
            </w:pPr>
          </w:p>
        </w:tc>
        <w:tc>
          <w:tcPr>
            <w:tcW w:w="20" w:type="dxa"/>
            <w:vAlign w:val="bottom"/>
            <w:tcBorders>
              <w:top w:val="single" w:sz="8" w:color="D6F3E8"/>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60" w:type="dxa"/>
            <w:vAlign w:val="bottom"/>
            <w:tcBorders>
              <w:top w:val="single" w:sz="8" w:color="D6F3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w:t>
      </w:r>
    </w:p>
    <w:p>
      <w:pPr>
        <w:sectPr>
          <w:pgSz w:w="11900" w:h="16838" w:orient="portrait"/>
          <w:cols w:equalWidth="0" w:num="1">
            <w:col w:w="11420"/>
          </w:cols>
          <w:pgMar w:left="240" w:top="125" w:right="239" w:bottom="0" w:gutter="0" w:footer="0" w:header="0"/>
        </w:sectPr>
      </w:pPr>
    </w:p>
    <w:bookmarkStart w:id="5" w:name="page6"/>
    <w:bookmarkEnd w:id="5"/>
    <w:p>
      <w:pPr>
        <w:spacing w:after="0" w:line="4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claim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reserve for customer service actions are as follows: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Fourteen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Thirteen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December 1,</w:t>
            </w:r>
          </w:p>
        </w:tc>
        <w:tc>
          <w:tcPr>
            <w:tcW w:w="32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November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38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(credit)</w:t>
            </w:r>
          </w:p>
        </w:tc>
        <w:tc>
          <w:tcPr>
            <w:tcW w:w="2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340" w:type="dxa"/>
            <w:vAlign w:val="bottom"/>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rPr>
              <w:t>Claims paid</w:t>
            </w:r>
          </w:p>
        </w:tc>
        <w:tc>
          <w:tcPr>
            <w:tcW w:w="2380" w:type="dxa"/>
            <w:vAlign w:val="bottom"/>
            <w:shd w:val="clear" w:color="auto" w:fill="D6F3E8"/>
          </w:tcPr>
          <w:p>
            <w:pPr>
              <w:spacing w:after="0"/>
              <w:rPr>
                <w:sz w:val="22"/>
                <w:szCs w:val="22"/>
                <w:color w:val="auto"/>
              </w:rPr>
            </w:pPr>
          </w:p>
        </w:tc>
        <w:tc>
          <w:tcPr>
            <w:tcW w:w="6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Borders>
              <w:top w:val="single" w:sz="8" w:color="D6F3E8"/>
            </w:tcBorders>
          </w:tcPr>
          <w:p>
            <w:pPr>
              <w:spacing w:after="0"/>
              <w:rPr>
                <w:sz w:val="18"/>
                <w:szCs w:val="18"/>
                <w:color w:val="auto"/>
              </w:rPr>
            </w:pPr>
          </w:p>
        </w:tc>
        <w:tc>
          <w:tcPr>
            <w:tcW w:w="320" w:type="dxa"/>
            <w:vAlign w:val="bottom"/>
            <w:tcBorders>
              <w:top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vMerge w:val="restart"/>
          </w:tcPr>
          <w:p>
            <w:pPr>
              <w:jc w:val="right"/>
              <w:ind w:right="1032"/>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 xml:space="preserve">The Company adopted FASB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interim periods, disclosure, and transition with respect to the application of the new accounting standard.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26, 2007, the Company recognized a cumulative effect adjustment of $8.5 million as a reduction to the balance of retained earnings, an increase of</w:t>
      </w:r>
    </w:p>
    <w:p>
      <w:pPr>
        <w:spacing w:after="0" w:line="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$7.1 million in deferred tax assets, and an increase of $15.6 million in tax liabilities. The amount of unrecognized tax benefits totaled $21.8 million ($19.6 million non-current, $2.2 million current), of which $15.4 million would have an impact on the Company’s effective tax rate, if uncertain positions are ultimately resolved. It is the Company’s policy to recognize interest and penalties accrued relative to unrecognized tax benefits into tax expense. As of August 26, 2007, the Company had accrued $8.3 million in interest and penalties.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the U.S. federal jurisdiction, as well as various international and state jurisdictions. A number of years may elapse before an uncertain tax position is audited and finally resolved, and it is often very difficult to predict the outcome of such audits. Our federal returns are not subject to examination prior to Fiscal 2004. Periodically, various state and local jurisdictions conduct audits, therefore, a variety of other years are subject to state and local jurisdiction review.</w:t>
      </w:r>
    </w:p>
    <w:p>
      <w:pPr>
        <w:spacing w:after="0" w:line="19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Company anticipates realizing an approximate $2.2 million reduction in the reserve for unrecognized tax benefits within the next twelve months from expected settlements or payments of uncertain tax positions. Actual settlements or payments may differ materially from this estimate.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and Retiree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long-term postretirement health care and deferred compensation benefits are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6"/>
              </w:rPr>
              <w:t>December 1,</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5"/>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August 25, 2007</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Postretirement health care benefit cost (1)</w:t>
            </w:r>
          </w:p>
        </w:tc>
        <w:tc>
          <w:tcPr>
            <w:tcW w:w="44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46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180" w:type="dxa"/>
            <w:vAlign w:val="bottom"/>
            <w:tcBorders>
              <w:top w:val="single" w:sz="8" w:color="D6F3E8"/>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Executive share option plan liability</w:t>
            </w:r>
          </w:p>
        </w:tc>
        <w:tc>
          <w:tcPr>
            <w:tcW w:w="4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4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80" w:type="dxa"/>
            <w:vAlign w:val="bottom"/>
            <w:shd w:val="clear" w:color="auto" w:fill="D6F3E8"/>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60" w:type="dxa"/>
            <w:vAlign w:val="bottom"/>
            <w:tcBorders>
              <w:bottom w:val="single" w:sz="8" w:color="D6F3E8"/>
            </w:tcBorders>
          </w:tcPr>
          <w:p>
            <w:pPr>
              <w:spacing w:after="0"/>
              <w:rPr>
                <w:sz w:val="20"/>
                <w:szCs w:val="20"/>
                <w:color w:val="auto"/>
              </w:rPr>
            </w:pPr>
            <w:r>
              <w:rPr>
                <w:rFonts w:ascii="Times New Roman" w:cs="Times New Roman" w:eastAsia="Times New Roman" w:hAnsi="Times New Roman"/>
                <w:sz w:val="18"/>
                <w:szCs w:val="18"/>
                <w:color w:val="auto"/>
              </w:rPr>
              <w:t>Executive deferred compensation</w:t>
            </w:r>
          </w:p>
        </w:tc>
        <w:tc>
          <w:tcPr>
            <w:tcW w:w="440" w:type="dxa"/>
            <w:vAlign w:val="bottom"/>
            <w:tcBorders>
              <w:bottom w:val="single" w:sz="8" w:color="D6F3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D6F3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D6F3E8"/>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6F3E8"/>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postretirement health care and deferred compensation benefits</w:t>
            </w:r>
          </w:p>
        </w:tc>
        <w:tc>
          <w:tcPr>
            <w:tcW w:w="4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70,143</w:t>
            </w:r>
          </w:p>
        </w:tc>
        <w:tc>
          <w:tcPr>
            <w:tcW w:w="460" w:type="dxa"/>
            <w:vAlign w:val="bottom"/>
            <w:tcBorders>
              <w:bottom w:val="single" w:sz="8" w:color="D6F3E8"/>
            </w:tcBorders>
            <w:shd w:val="clear" w:color="auto" w:fill="D6F3E8"/>
          </w:tcPr>
          <w:p>
            <w:pPr>
              <w:spacing w:after="0"/>
              <w:rPr>
                <w:sz w:val="18"/>
                <w:szCs w:val="18"/>
                <w:color w:val="auto"/>
              </w:rPr>
            </w:pPr>
          </w:p>
        </w:tc>
        <w:tc>
          <w:tcPr>
            <w:tcW w:w="280" w:type="dxa"/>
            <w:vAlign w:val="bottom"/>
            <w:tcBorders>
              <w:bottom w:val="single" w:sz="8" w:color="auto"/>
            </w:tcBorders>
            <w:shd w:val="clear" w:color="auto" w:fill="D6F3E8"/>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69,319</w:t>
            </w:r>
          </w:p>
        </w:tc>
        <w:tc>
          <w:tcPr>
            <w:tcW w:w="180" w:type="dxa"/>
            <w:vAlign w:val="bottom"/>
            <w:tcBorders>
              <w:bottom w:val="single" w:sz="8" w:color="D6F3E8"/>
            </w:tcBorders>
            <w:shd w:val="clear" w:color="auto" w:fill="D6F3E8"/>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right="540" w:hanging="332"/>
        <w:spacing w:after="0" w:line="25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accrued postretirement benefit cost of $1.0 million and $979,000 as of December 1, 2007 and August 25, 2007, respectively, is included within other accrued expenses.</w:t>
      </w:r>
    </w:p>
    <w:p>
      <w:pPr>
        <w:spacing w:after="0" w:line="1" w:lineRule="exact"/>
        <w:rPr>
          <w:rFonts w:ascii="Times New Roman" w:cs="Times New Roman" w:eastAsia="Times New Roman" w:hAnsi="Times New Roman"/>
          <w:sz w:val="18"/>
          <w:szCs w:val="18"/>
          <w:color w:val="auto"/>
        </w:rPr>
      </w:pPr>
    </w:p>
    <w:p>
      <w:pPr>
        <w:ind w:left="340" w:right="32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deferred compensation liability of $1.6 million as of both December 1, 2007 and August 25, 2007, respectively, is included within accrued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Health Care Benefits</w:t>
      </w:r>
    </w:p>
    <w:p>
      <w:pPr>
        <w:spacing w:after="0" w:line="22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8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 xml:space="preserve">On August 25, 2007, we adopted SFAS 158, </w:t>
      </w:r>
      <w:r>
        <w:rPr>
          <w:rFonts w:ascii="Times New Roman" w:cs="Times New Roman" w:eastAsia="Times New Roman" w:hAnsi="Times New Roman"/>
          <w:sz w:val="18"/>
          <w:szCs w:val="18"/>
          <w:i w:val="1"/>
          <w:iCs w:val="1"/>
          <w:color w:val="auto"/>
        </w:rPr>
        <w:t>Employers’ Accounting for Defined Benefit Pension and Other Postretirement Plans</w:t>
      </w:r>
      <w:r>
        <w:rPr>
          <w:rFonts w:ascii="Times New Roman" w:cs="Times New Roman" w:eastAsia="Times New Roman" w:hAnsi="Times New Roman"/>
          <w:sz w:val="18"/>
          <w:szCs w:val="18"/>
          <w:color w:val="auto"/>
        </w:rPr>
        <w:t>, which requires that we recognize the overfunded or underfunded status of our retiree health care plan as an asset or liability in our Consolidated Balance Sheets as August 25, 2007, with changes in the funded status, net of tax, being recognized through other comprehensive income.</w:t>
      </w:r>
    </w:p>
    <w:p>
      <w:pPr>
        <w:sectPr>
          <w:pgSz w:w="11900" w:h="16884" w:orient="portrait"/>
          <w:cols w:equalWidth="0" w:num="1">
            <w:col w:w="11400"/>
          </w:cols>
          <w:pgMar w:left="240" w:top="125" w:right="259" w:bottom="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periodic postretirement benefit income consisted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57975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Interest cost</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Service cost</w:t>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amortization and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periodic postretirement benefit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Fourteen</w:t>
      </w:r>
      <w:r>
        <w:rPr>
          <w:sz w:val="20"/>
          <w:szCs w:val="20"/>
          <w:color w:val="auto"/>
        </w:rPr>
        <w:tab/>
      </w:r>
      <w:r>
        <w:rPr>
          <w:rFonts w:ascii="Times New Roman" w:cs="Times New Roman" w:eastAsia="Times New Roman" w:hAnsi="Times New Roman"/>
          <w:sz w:val="14"/>
          <w:szCs w:val="14"/>
          <w:b w:val="1"/>
          <w:bCs w:val="1"/>
          <w:color w:val="auto"/>
        </w:rPr>
        <w:t>Thirteen</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Weeks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December 1,</w:t>
            </w:r>
          </w:p>
        </w:tc>
        <w:tc>
          <w:tcPr>
            <w:tcW w:w="980" w:type="dxa"/>
            <w:vAlign w:val="bottom"/>
            <w:tcBorders>
              <w:top w:val="single" w:sz="8" w:color="auto"/>
            </w:tcBorders>
            <w:gridSpan w:val="2"/>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rPr>
              <w:t>November 25,</w:t>
            </w:r>
          </w:p>
        </w:tc>
        <w:tc>
          <w:tcPr>
            <w:tcW w:w="18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194</w:t>
            </w:r>
          </w:p>
        </w:tc>
        <w:tc>
          <w:tcPr>
            <w:tcW w:w="46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r>
      <w:tr>
        <w:trPr>
          <w:trHeight w:val="25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84" w:orient="portrait"/>
          <w:cols w:equalWidth="0" w:num="2">
            <w:col w:w="6940" w:space="720"/>
            <w:col w:w="3740"/>
          </w:cols>
          <w:pgMar w:left="240" w:top="125" w:right="259" w:bottom="0" w:gutter="0" w:footer="0" w:header="0"/>
          <w:type w:val="continuous"/>
        </w:sectPr>
      </w:pPr>
    </w:p>
    <w:bookmarkStart w:id="6" w:name="page7"/>
    <w:bookmarkEnd w:id="6"/>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accounting purposes, we recognized income from the plan during the first quarter of both Fiscal 2008 and Fiscal 2007 due to the amortization of the cost savings from the September 2004 amendment to the Plan. However, we are still obligated to pay the cost of previously accrued and earned retiree benefits and paid approximately $243,000 and $169,000 of such benefits for the fourteen weeks ended December 1, 2007 and thirteen weeks ended November 25, 2006,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Contingent Liabilities and Commitments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Commitments</w:t>
      </w:r>
    </w:p>
    <w:p>
      <w:pPr>
        <w:spacing w:after="0" w:line="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$315.9 million and $308.2 million at December 1, 2007 and August 25, 2007, respectively. We incurred no losses under these repurchase agreements during the fourteen weeks ended December 1, 2007 or the thirteen weeks ended November 25, 2006. Repurchase reserves under our repurchase agreements at December 1, 2007 and August 25, 2007 were not significant. Upon resale of the repurchased units, we do not record the transaction as revenue. The difference between the repurchase price and the net proceeds received from reselling the units is charged against our reserve for losses on repurchases.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For Suppliers</w:t>
      </w:r>
    </w:p>
    <w:p>
      <w:pPr>
        <w:spacing w:after="0" w:line="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$442,000 was remaining as of December 1, 2007). In the event of rental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$1.6 million as of December 1, 2007. As of December 1, 2007, the Supplier is current with its lease payment obligations to the Landlord. In August 2004, approximately $315,000 was recorded by us as the estimated fair value for the guarantee. As of December 1, 2007, the fair value of the guarantee was approximately $104,000 and presented as prepaid expense and other accrued liabilities in the accompanying consolidated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Dividend Declared</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On October 10, 2007, the Board of Directors declared a quarterly cash dividend of $0.12 per common share, payable January 7, 2008 to shareholders of record on December 7, 2007, which has been recorded as an accrued liability in the accompanying December 1, 2007 balance sheet.</w:t>
      </w:r>
    </w:p>
    <w:p>
      <w:pPr>
        <w:spacing w:after="0" w:line="17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 December 19, 2007, the Board of Directors declared a quarterly cash dividend of $0.12 per common share, payable on April 7, 2008 to shareholders of record as of March 7, 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Repurchase of Outstanding Stock</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20, 2007, the Board of Directors authorized the repurchase of outstanding shares of our common stock, depending on market conditions, for an aggregate consideration of up to $60 million. There is no time restriction on this authorization. During the first quarter of Fiscal 2008, approximately 676,000 shares were repurchased under this authorization for an aggregate consideration of approximately $17.5 million. The repurchases during the first quarter of Fiscal 2008 completed the June 20, 2007 authorization.</w:t>
      </w:r>
    </w:p>
    <w:p>
      <w:pPr>
        <w:spacing w:after="0" w:line="19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On December 19, 2007, the Board of Directors authorized the repurchase of outstanding shares of our common stock, depending on market conditions for an aggregate consideration of up to $60 million. There is no time restriction on this authorization.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Per Share</w:t>
      </w:r>
    </w:p>
    <w:p>
      <w:pPr>
        <w:spacing w:after="0" w:line="1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income per share for the fourteen weeks ended December 1, 2007 and the thirteen weeks ended November 25, 2006.</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5"/>
              </w:rPr>
              <w:t>Fourteen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Thirteen</w:t>
            </w:r>
          </w:p>
        </w:tc>
      </w:t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Weeks Ended</w:t>
            </w:r>
          </w:p>
        </w:tc>
      </w:tr>
      <w:tr>
        <w:trPr>
          <w:trHeight w:val="125"/>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68"/>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December 1,</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6"/>
              </w:rPr>
              <w:t>November 25,</w:t>
            </w:r>
          </w:p>
        </w:tc>
        <w:tc>
          <w:tcPr>
            <w:tcW w:w="180" w:type="dxa"/>
            <w:vAlign w:val="bottom"/>
          </w:tcPr>
          <w:p>
            <w:pPr>
              <w:spacing w:after="0"/>
              <w:rPr>
                <w:sz w:val="10"/>
                <w:szCs w:val="10"/>
                <w:color w:val="auto"/>
              </w:rPr>
            </w:pPr>
          </w:p>
        </w:tc>
      </w:tr>
      <w:tr>
        <w:trPr>
          <w:trHeight w:val="165"/>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00" w:type="dxa"/>
            <w:vAlign w:val="bottom"/>
            <w:shd w:val="clear" w:color="auto" w:fill="D6F3E8"/>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5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80" w:type="dxa"/>
            <w:vAlign w:val="bottom"/>
            <w:shd w:val="clear" w:color="auto" w:fill="D6F3E8"/>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900" w:orient="portrait"/>
          <w:cols w:equalWidth="0" w:num="1">
            <w:col w:w="11400"/>
          </w:cols>
          <w:pgMar w:left="240" w:top="557" w:right="259" w:bottom="0" w:gutter="0" w:footer="0" w:header="0"/>
        </w:sectPr>
      </w:pPr>
    </w:p>
    <w:bookmarkStart w:id="7" w:name="page8"/>
    <w:bookmarkEnd w:id="7"/>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tcBorders>
              <w:bottom w:val="single" w:sz="8" w:color="D6F3E8"/>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80" w:type="dxa"/>
            <w:vAlign w:val="bottom"/>
            <w:tcBorders>
              <w:bottom w:val="single" w:sz="8" w:color="D6F3E8"/>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440" w:type="dxa"/>
            <w:vAlign w:val="bottom"/>
            <w:tcBorders>
              <w:bottom w:val="single" w:sz="8" w:color="D6F3E8"/>
            </w:tcBorders>
          </w:tcPr>
          <w:p>
            <w:pPr>
              <w:spacing w:after="0"/>
              <w:rPr>
                <w:sz w:val="19"/>
                <w:szCs w:val="19"/>
                <w:color w:val="auto"/>
              </w:rPr>
            </w:pPr>
          </w:p>
        </w:tc>
        <w:tc>
          <w:tcPr>
            <w:tcW w:w="20" w:type="dxa"/>
            <w:vAlign w:val="bottom"/>
            <w:tcBorders>
              <w:bottom w:val="single" w:sz="8" w:color="D6F3E8"/>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180" w:type="dxa"/>
            <w:vAlign w:val="bottom"/>
            <w:tcBorders>
              <w:bottom w:val="single" w:sz="8" w:color="D6F3E8"/>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D6F3E8"/>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780" w:type="dxa"/>
            <w:vAlign w:val="bottom"/>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tcBorders>
              <w:bottom w:val="single" w:sz="8" w:color="auto"/>
            </w:tcBorders>
            <w:shd w:val="clear" w:color="auto" w:fill="D6F3E8"/>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shd w:val="clear" w:color="auto" w:fill="D6F3E8"/>
          </w:tcPr>
          <w:p>
            <w:pPr>
              <w:spacing w:after="0"/>
              <w:rPr>
                <w:sz w:val="18"/>
                <w:szCs w:val="18"/>
                <w:color w:val="auto"/>
              </w:rPr>
            </w:pPr>
          </w:p>
        </w:tc>
      </w:tr>
      <w:tr>
        <w:trPr>
          <w:trHeight w:val="3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share – assuming dilution</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40" w:type="dxa"/>
            <w:vAlign w:val="bottom"/>
          </w:tcPr>
          <w:p>
            <w:pPr>
              <w:spacing w:after="0"/>
              <w:rPr>
                <w:sz w:val="20"/>
                <w:szCs w:val="20"/>
                <w:color w:val="auto"/>
              </w:rPr>
            </w:pPr>
          </w:p>
        </w:tc>
        <w:tc>
          <w:tcPr>
            <w:tcW w:w="3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5560" w:type="dxa"/>
            <w:vAlign w:val="bottom"/>
            <w:tcBorders>
              <w:top w:val="single" w:sz="8" w:color="D6F3E8"/>
            </w:tcBorders>
            <w:shd w:val="clear" w:color="auto" w:fill="D6F3E8"/>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8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44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180" w:type="dxa"/>
            <w:vAlign w:val="bottom"/>
            <w:tcBorders>
              <w:top w:val="single" w:sz="8" w:color="D6F3E8"/>
            </w:tcBorders>
            <w:shd w:val="clear" w:color="auto" w:fill="D6F3E8"/>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560" w:type="dxa"/>
            <w:vAlign w:val="bottom"/>
            <w:tcBorders>
              <w:bottom w:val="single" w:sz="8" w:color="D6F3E8"/>
            </w:tcBorders>
          </w:tcPr>
          <w:p>
            <w:pPr>
              <w:ind w:left="140"/>
              <w:spacing w:after="0"/>
              <w:rPr>
                <w:sz w:val="20"/>
                <w:szCs w:val="20"/>
                <w:color w:val="auto"/>
              </w:rPr>
            </w:pPr>
            <w:r>
              <w:rPr>
                <w:rFonts w:ascii="Times New Roman" w:cs="Times New Roman" w:eastAsia="Times New Roman" w:hAnsi="Times New Roman"/>
                <w:sz w:val="18"/>
                <w:szCs w:val="18"/>
                <w:color w:val="auto"/>
              </w:rPr>
              <w:t>Dilutive impact of options and awards outstanding</w:t>
            </w:r>
          </w:p>
        </w:tc>
        <w:tc>
          <w:tcPr>
            <w:tcW w:w="780" w:type="dxa"/>
            <w:vAlign w:val="bottom"/>
            <w:tcBorders>
              <w:bottom w:val="single" w:sz="8" w:color="D6F3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Borders>
              <w:bottom w:val="single" w:sz="8" w:color="D6F3E8"/>
            </w:tcBorders>
          </w:tcPr>
          <w:p>
            <w:pPr>
              <w:spacing w:after="0"/>
              <w:rPr>
                <w:sz w:val="19"/>
                <w:szCs w:val="19"/>
                <w:color w:val="auto"/>
              </w:rPr>
            </w:pPr>
          </w:p>
        </w:tc>
        <w:tc>
          <w:tcPr>
            <w:tcW w:w="20" w:type="dxa"/>
            <w:vAlign w:val="bottom"/>
            <w:tcBorders>
              <w:bottom w:val="single" w:sz="8" w:color="D6F3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D6F3E8"/>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D6F3E8"/>
          </w:tcPr>
          <w:p>
            <w:pPr>
              <w:ind w:left="140"/>
              <w:spacing w:after="0"/>
              <w:rPr>
                <w:sz w:val="20"/>
                <w:szCs w:val="20"/>
                <w:color w:val="auto"/>
              </w:rPr>
            </w:pPr>
            <w:r>
              <w:rPr>
                <w:rFonts w:ascii="Times New Roman" w:cs="Times New Roman" w:eastAsia="Times New Roman" w:hAnsi="Times New Roman"/>
                <w:sz w:val="18"/>
                <w:szCs w:val="18"/>
                <w:color w:val="auto"/>
              </w:rPr>
              <w:t>Weighted average shares and potential dilutive shares outstanding</w:t>
            </w:r>
          </w:p>
        </w:tc>
        <w:tc>
          <w:tcPr>
            <w:tcW w:w="780" w:type="dxa"/>
            <w:vAlign w:val="bottom"/>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31,587</w:t>
            </w:r>
          </w:p>
        </w:tc>
        <w:tc>
          <w:tcPr>
            <w:tcW w:w="180" w:type="dxa"/>
            <w:vAlign w:val="bottom"/>
            <w:shd w:val="clear" w:color="auto" w:fill="D6F3E8"/>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assuming dilution</w:t>
            </w:r>
          </w:p>
        </w:tc>
        <w:tc>
          <w:tcPr>
            <w:tcW w:w="78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 xml:space="preserve">For the fourteen weeks ended December 1, 2007 and the thirteen weeks ended November 25, 2006, there were options outstanding to purchase 897,148 shares and 354,547 shares, respectively, of common stock at an average price of $29.52 and $31.67, respectively, which were not included in the computation of diluted income per share because they are considered anti-dilutive under the treasury stock method per SFAS No. 128,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xml:space="preserve"> (as amended).</w:t>
      </w:r>
    </w:p>
    <w:p>
      <w:pPr>
        <w:sectPr>
          <w:pgSz w:w="11900" w:h="16957" w:orient="portrait"/>
          <w:cols w:equalWidth="0" w:num="1">
            <w:col w:w="11420"/>
          </w:cols>
          <w:pgMar w:left="240" w:top="120" w:right="239" w:bottom="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net of tax, consists 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income</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Amortization of prior service credit</w:t>
      </w:r>
    </w:p>
    <w:p>
      <w:pPr>
        <w:spacing w:after="0" w:line="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Amortization of actuarial loss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0"/>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Fourteen</w:t>
      </w:r>
      <w:r>
        <w:rPr>
          <w:sz w:val="20"/>
          <w:szCs w:val="20"/>
          <w:color w:val="auto"/>
        </w:rPr>
        <w:tab/>
      </w:r>
      <w:r>
        <w:rPr>
          <w:rFonts w:ascii="Times New Roman" w:cs="Times New Roman" w:eastAsia="Times New Roman" w:hAnsi="Times New Roman"/>
          <w:sz w:val="14"/>
          <w:szCs w:val="14"/>
          <w:b w:val="1"/>
          <w:bCs w:val="1"/>
          <w:color w:val="auto"/>
        </w:rPr>
        <w:t>Thirteen</w:t>
      </w:r>
    </w:p>
    <w:p>
      <w:pPr>
        <w:spacing w:after="0" w:line="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Weeks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20"/>
              <w:spacing w:after="0" w:line="125" w:lineRule="exact"/>
              <w:rPr>
                <w:sz w:val="20"/>
                <w:szCs w:val="20"/>
                <w:color w:val="auto"/>
              </w:rPr>
            </w:pPr>
            <w:r>
              <w:rPr>
                <w:rFonts w:ascii="Times New Roman" w:cs="Times New Roman" w:eastAsia="Times New Roman" w:hAnsi="Times New Roman"/>
                <w:sz w:val="14"/>
                <w:szCs w:val="14"/>
                <w:b w:val="1"/>
                <w:bCs w:val="1"/>
                <w:color w:val="auto"/>
              </w:rPr>
              <w:t>December 1,</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59"/>
              <w:spacing w:after="0" w:line="125" w:lineRule="exact"/>
              <w:rPr>
                <w:sz w:val="20"/>
                <w:szCs w:val="20"/>
                <w:color w:val="auto"/>
              </w:rPr>
            </w:pPr>
            <w:r>
              <w:rPr>
                <w:rFonts w:ascii="Times New Roman" w:cs="Times New Roman" w:eastAsia="Times New Roman" w:hAnsi="Times New Roman"/>
                <w:sz w:val="14"/>
                <w:szCs w:val="14"/>
                <w:b w:val="1"/>
                <w:bCs w:val="1"/>
                <w:color w:val="auto"/>
                <w:w w:val="98"/>
              </w:rPr>
              <w:t>November 25,</w:t>
            </w:r>
          </w:p>
        </w:tc>
      </w:tr>
      <w:tr>
        <w:trPr>
          <w:trHeight w:val="165"/>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22"/>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4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-316865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-625475</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957" w:orient="portrait"/>
          <w:cols w:equalWidth="0" w:num="2">
            <w:col w:w="6740" w:space="720"/>
            <w:col w:w="3960"/>
          </w:cols>
          <w:pgMar w:left="240" w:top="120" w:right="239"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223"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It is suggested that this management’s discussion be read in conjunction with the Management’s Discussion and Analysis included in our Annual Report to Shareholders for the year ended August 25,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Winnebago Industries, Inc. is a leading motor home manufacturer with a proud history of manufacturing recreation vehicles for the last 49 years. We led the industry in combined retail unit market share of Class A and Class C motor homes, with 18.8 percent, for the calendar year-to-date through October 31, 2007 according to Statistical Surveys, Inc.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Our performance has enabled us to return significant profits to our shareholders through stock repurchases and dividends. During the three months ended December 1, 2007, we repurchased approximately 676,000 shares of stock for an aggregate cost of approximately $17.5 million and we paid out dividends of $3.5 million to our shareholders.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The motorized portion of the recreation vehicle industry has experienced a volume decline for over two years. We continue to anticipate softness in motor home sales, particularly during our seasonally slow second quarter. An extended continuation of high fuel costs, high interest rates, low discretionary spending and low consumer confidence would adversely affect our business, results of operations and financial condition. We will continue to adjust our factory schedule as necessary to reflect the demand for our products.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backlog for our motor homes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36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Dec. 1,</w:t>
            </w:r>
          </w:p>
        </w:tc>
        <w:tc>
          <w:tcPr>
            <w:tcW w:w="124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Product Mix</w:t>
            </w:r>
          </w:p>
        </w:tc>
        <w:tc>
          <w:tcPr>
            <w:tcW w:w="200" w:type="dxa"/>
            <w:vAlign w:val="bottom"/>
          </w:tcPr>
          <w:p>
            <w:pPr>
              <w:spacing w:after="0"/>
              <w:rPr>
                <w:sz w:val="10"/>
                <w:szCs w:val="10"/>
                <w:color w:val="auto"/>
              </w:rPr>
            </w:pPr>
          </w:p>
        </w:tc>
        <w:tc>
          <w:tcPr>
            <w:tcW w:w="1220" w:type="dxa"/>
            <w:vAlign w:val="bottom"/>
            <w:gridSpan w:val="3"/>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Nov. 25,</w:t>
            </w:r>
          </w:p>
        </w:tc>
        <w:tc>
          <w:tcPr>
            <w:tcW w:w="11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Product Mix</w:t>
            </w:r>
          </w:p>
        </w:tc>
        <w:tc>
          <w:tcPr>
            <w:tcW w:w="180" w:type="dxa"/>
            <w:vAlign w:val="bottom"/>
          </w:tcPr>
          <w:p>
            <w:pPr>
              <w:spacing w:after="0"/>
              <w:rPr>
                <w:sz w:val="10"/>
                <w:szCs w:val="10"/>
                <w:color w:val="auto"/>
              </w:rPr>
            </w:pPr>
          </w:p>
        </w:tc>
        <w:tc>
          <w:tcPr>
            <w:tcW w:w="1180" w:type="dxa"/>
            <w:vAlign w:val="bottom"/>
            <w:gridSpan w:val="2"/>
          </w:tcPr>
          <w:p>
            <w:pPr>
              <w:jc w:val="right"/>
              <w:ind w:right="500"/>
              <w:spacing w:after="0" w:line="12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tcPr>
          <w:p>
            <w:pPr>
              <w:jc w:val="right"/>
              <w:ind w:right="357"/>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40" w:type="dxa"/>
            <w:vAlign w:val="bottom"/>
            <w:tcBorders>
              <w:bottom w:val="single" w:sz="8" w:color="D6F3E8"/>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bottom w:val="single" w:sz="8" w:color="D6F3E8"/>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Borders>
              <w:bottom w:val="single" w:sz="8" w:color="D6F3E8"/>
            </w:tcBorders>
          </w:tcPr>
          <w:p>
            <w:pPr>
              <w:spacing w:after="0"/>
              <w:rPr>
                <w:sz w:val="14"/>
                <w:szCs w:val="14"/>
                <w:color w:val="auto"/>
              </w:rPr>
            </w:pP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gas</w:t>
            </w:r>
          </w:p>
        </w:tc>
        <w:tc>
          <w:tcPr>
            <w:tcW w:w="720" w:type="dxa"/>
            <w:vAlign w:val="bottom"/>
            <w:shd w:val="clear" w:color="auto" w:fill="D6F3E8"/>
          </w:tcPr>
          <w:p>
            <w:pPr>
              <w:spacing w:after="0"/>
              <w:rPr>
                <w:sz w:val="20"/>
                <w:szCs w:val="20"/>
                <w:color w:val="auto"/>
              </w:rPr>
            </w:pPr>
          </w:p>
        </w:tc>
        <w:tc>
          <w:tcPr>
            <w:tcW w:w="64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D6F3E8"/>
          </w:tcPr>
          <w:p>
            <w:pPr>
              <w:spacing w:after="0"/>
              <w:rPr>
                <w:sz w:val="20"/>
                <w:szCs w:val="20"/>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Class A diesel</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Class A</w:t>
            </w: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40" w:type="dxa"/>
            <w:vAlign w:val="bottom"/>
            <w:vMerge w:val="continue"/>
            <w:shd w:val="clear" w:color="auto" w:fill="D6F3E8"/>
          </w:tcPr>
          <w:p>
            <w:pPr>
              <w:spacing w:after="0"/>
              <w:rPr>
                <w:sz w:val="20"/>
                <w:szCs w:val="20"/>
                <w:color w:val="auto"/>
              </w:rPr>
            </w:pPr>
          </w:p>
        </w:tc>
        <w:tc>
          <w:tcPr>
            <w:tcW w:w="720" w:type="dxa"/>
            <w:vAlign w:val="bottom"/>
            <w:shd w:val="clear" w:color="auto" w:fill="D6F3E8"/>
          </w:tcPr>
          <w:p>
            <w:pPr>
              <w:spacing w:after="0"/>
              <w:rPr>
                <w:sz w:val="20"/>
                <w:szCs w:val="20"/>
                <w:color w:val="auto"/>
              </w:rPr>
            </w:pPr>
          </w:p>
        </w:tc>
        <w:tc>
          <w:tcPr>
            <w:tcW w:w="4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D6F3E8"/>
          </w:tcPr>
          <w:p>
            <w:pPr>
              <w:spacing w:after="0"/>
              <w:rPr>
                <w:sz w:val="20"/>
                <w:szCs w:val="20"/>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24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Class C</w:t>
            </w:r>
          </w:p>
        </w:tc>
        <w:tc>
          <w:tcPr>
            <w:tcW w:w="7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D6F3E8"/>
              <w:bottom w:val="single" w:sz="8" w:color="D6F3E8"/>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720" w:type="dxa"/>
            <w:vAlign w:val="bottom"/>
            <w:tcBorders>
              <w:top w:val="single" w:sz="8" w:color="auto"/>
              <w:bottom w:val="single" w:sz="8" w:color="auto"/>
            </w:tcBorders>
            <w:shd w:val="clear" w:color="auto" w:fill="D6F3E8"/>
          </w:tcPr>
          <w:p>
            <w:pPr>
              <w:spacing w:after="0"/>
              <w:rPr>
                <w:sz w:val="18"/>
                <w:szCs w:val="18"/>
                <w:color w:val="auto"/>
              </w:rPr>
            </w:pPr>
          </w:p>
        </w:tc>
        <w:tc>
          <w:tcPr>
            <w:tcW w:w="4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8"/>
              </w:rPr>
              <w:t>1,833</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 approximate revenue dollars (in millions)</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tcBorders>
              <w:bottom w:val="single" w:sz="8" w:color="D6F3E8"/>
            </w:tcBorders>
            <w:vMerge w:val="continue"/>
          </w:tcPr>
          <w:p>
            <w:pPr>
              <w:spacing w:after="0"/>
              <w:rPr>
                <w:sz w:val="20"/>
                <w:szCs w:val="20"/>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161.7</w:t>
            </w:r>
          </w:p>
        </w:tc>
        <w:tc>
          <w:tcPr>
            <w:tcW w:w="220" w:type="dxa"/>
            <w:vAlign w:val="bottom"/>
            <w:tcBorders>
              <w:bottom w:val="single" w:sz="8" w:color="D6F3E8"/>
            </w:tcBorders>
            <w:vMerge w:val="continue"/>
          </w:tcPr>
          <w:p>
            <w:pPr>
              <w:spacing w:after="0"/>
              <w:rPr>
                <w:sz w:val="20"/>
                <w:szCs w:val="20"/>
                <w:color w:val="auto"/>
              </w:rPr>
            </w:pPr>
          </w:p>
        </w:tc>
        <w:tc>
          <w:tcPr>
            <w:tcW w:w="1020" w:type="dxa"/>
            <w:vAlign w:val="bottom"/>
            <w:tcBorders>
              <w:bottom w:val="single" w:sz="8" w:color="D6F3E8"/>
            </w:tcBorders>
          </w:tcPr>
          <w:p>
            <w:pPr>
              <w:spacing w:after="0"/>
              <w:rPr>
                <w:sz w:val="20"/>
                <w:szCs w:val="20"/>
                <w:color w:val="auto"/>
              </w:rPr>
            </w:pPr>
          </w:p>
        </w:tc>
        <w:tc>
          <w:tcPr>
            <w:tcW w:w="220" w:type="dxa"/>
            <w:vAlign w:val="bottom"/>
            <w:tcBorders>
              <w:bottom w:val="single" w:sz="8" w:color="D6F3E8"/>
            </w:tcBorders>
          </w:tcPr>
          <w:p>
            <w:pPr>
              <w:spacing w:after="0"/>
              <w:rPr>
                <w:sz w:val="20"/>
                <w:szCs w:val="20"/>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166.9</w:t>
            </w:r>
          </w:p>
        </w:tc>
        <w:tc>
          <w:tcPr>
            <w:tcW w:w="220" w:type="dxa"/>
            <w:vAlign w:val="bottom"/>
            <w:tcBorders>
              <w:bottom w:val="single" w:sz="8" w:color="D6F3E8"/>
            </w:tcBorders>
            <w:vMerge w:val="continue"/>
          </w:tcPr>
          <w:p>
            <w:pPr>
              <w:spacing w:after="0"/>
              <w:rPr>
                <w:sz w:val="20"/>
                <w:szCs w:val="20"/>
                <w:color w:val="auto"/>
              </w:rPr>
            </w:pPr>
          </w:p>
        </w:tc>
        <w:tc>
          <w:tcPr>
            <w:tcW w:w="80" w:type="dxa"/>
            <w:vAlign w:val="bottom"/>
            <w:tcBorders>
              <w:bottom w:val="single" w:sz="8" w:color="D6F3E8"/>
            </w:tcBorders>
          </w:tcPr>
          <w:p>
            <w:pPr>
              <w:spacing w:after="0"/>
              <w:rPr>
                <w:sz w:val="20"/>
                <w:szCs w:val="20"/>
                <w:color w:val="auto"/>
              </w:rPr>
            </w:pPr>
          </w:p>
        </w:tc>
        <w:tc>
          <w:tcPr>
            <w:tcW w:w="960" w:type="dxa"/>
            <w:vAlign w:val="bottom"/>
            <w:tcBorders>
              <w:bottom w:val="single" w:sz="8" w:color="D6F3E8"/>
            </w:tcBorders>
          </w:tcPr>
          <w:p>
            <w:pPr>
              <w:spacing w:after="0"/>
              <w:rPr>
                <w:sz w:val="20"/>
                <w:szCs w:val="20"/>
                <w:color w:val="auto"/>
              </w:rPr>
            </w:pPr>
          </w:p>
        </w:tc>
        <w:tc>
          <w:tcPr>
            <w:tcW w:w="200" w:type="dxa"/>
            <w:vAlign w:val="bottom"/>
            <w:tcBorders>
              <w:bottom w:val="single" w:sz="8" w:color="D6F3E8"/>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D6F3E8"/>
            </w:tcBorders>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D6F3E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D6F3E8"/>
            </w:tcBorders>
            <w:shd w:val="clear" w:color="auto" w:fill="D6F3E8"/>
          </w:tcPr>
          <w:p>
            <w:pPr>
              <w:ind w:left="40"/>
              <w:spacing w:after="0" w:line="195" w:lineRule="exact"/>
              <w:rPr>
                <w:sz w:val="20"/>
                <w:szCs w:val="20"/>
                <w:color w:val="auto"/>
              </w:rPr>
            </w:pPr>
            <w:r>
              <w:rPr>
                <w:rFonts w:ascii="Times New Roman" w:cs="Times New Roman" w:eastAsia="Times New Roman" w:hAnsi="Times New Roman"/>
                <w:sz w:val="18"/>
                <w:szCs w:val="18"/>
                <w:color w:val="auto"/>
              </w:rPr>
              <w:t>Dealer inventory (units)</w:t>
            </w:r>
          </w:p>
        </w:tc>
        <w:tc>
          <w:tcPr>
            <w:tcW w:w="720" w:type="dxa"/>
            <w:vAlign w:val="bottom"/>
            <w:tcBorders>
              <w:bottom w:val="single" w:sz="8" w:color="auto"/>
            </w:tcBorders>
            <w:shd w:val="clear" w:color="auto" w:fill="D6F3E8"/>
          </w:tcPr>
          <w:p>
            <w:pPr>
              <w:spacing w:after="0"/>
              <w:rPr>
                <w:sz w:val="18"/>
                <w:szCs w:val="18"/>
                <w:color w:val="auto"/>
              </w:rPr>
            </w:pPr>
          </w:p>
        </w:tc>
        <w:tc>
          <w:tcPr>
            <w:tcW w:w="42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8"/>
              </w:rPr>
              <w:t>4,364</w:t>
            </w:r>
          </w:p>
        </w:tc>
        <w:tc>
          <w:tcPr>
            <w:tcW w:w="220" w:type="dxa"/>
            <w:vAlign w:val="bottom"/>
            <w:tcBorders>
              <w:bottom w:val="single" w:sz="8" w:color="D6F3E8"/>
            </w:tcBorders>
            <w:shd w:val="clear" w:color="auto" w:fill="D6F3E8"/>
          </w:tcPr>
          <w:p>
            <w:pPr>
              <w:spacing w:after="0"/>
              <w:rPr>
                <w:sz w:val="18"/>
                <w:szCs w:val="18"/>
                <w:color w:val="auto"/>
              </w:rPr>
            </w:pPr>
          </w:p>
        </w:tc>
        <w:tc>
          <w:tcPr>
            <w:tcW w:w="102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96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D6F3E8"/>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6F3E8"/>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7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Long-term demographics are favorable for the industry as our target market of consumers age 50 and older is expected to substantially increase over the next 30 years due to the aging of the baby boom market. Also, according to a 2005 study conducted by the University of Michigan, the age at which the motor home</w:t>
      </w:r>
    </w:p>
    <w:p>
      <w:pPr>
        <w:spacing w:after="0" w:line="20" w:lineRule="exact"/>
        <w:rPr>
          <w:sz w:val="20"/>
          <w:szCs w:val="20"/>
          <w:color w:val="auto"/>
        </w:rPr>
      </w:pPr>
    </w:p>
    <w:p>
      <w:pPr>
        <w:sectPr>
          <w:pgSz w:w="11900" w:h="16957" w:orient="portrait"/>
          <w:cols w:equalWidth="0" w:num="1">
            <w:col w:w="11420"/>
          </w:cols>
          <w:pgMar w:left="240" w:top="120" w:right="239" w:bottom="0" w:gutter="0" w:footer="0" w:header="0"/>
          <w:type w:val="continuous"/>
        </w:sectPr>
      </w:pPr>
    </w:p>
    <w:bookmarkStart w:id="8" w:name="page9"/>
    <w:bookmarkEnd w:id="8"/>
    <w:p>
      <w:pPr>
        <w:spacing w:after="0" w:line="34"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consumer is purchasing motor homes has broadened. More motor home buyers are entering the market earlier than in the past, as young as 35, and living active and healthier lives with more buyers remaining in the RV lifestyle over the age of 75. The study also indicates that owners are now using their motor homes for more than just traditional camping, having a positive impact on long-term motor home market growth. The study shows that motor homes are used to pursue consumers’ many lifestyle passions which may include riding their ATVs in the desert, going to motor sports events or tailgating at sporting events.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9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Generally, revenues for motor homes are recorded when all of the following conditions are met: an order for a product has been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Revenues from the sales of our original equipment manufacturing (OEM) components and motor home-related parts are recorded as the products are shipped from our location. The title of ownership transfers on these products as they leave our location due to the freight terms of F.O.B. – Forest City, Iowa.</w:t>
      </w:r>
    </w:p>
    <w:p>
      <w:pPr>
        <w:spacing w:after="0" w:line="126"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Postretirement Benefits Obligations and Costs. </w:t>
      </w:r>
      <w:r>
        <w:rPr>
          <w:rFonts w:ascii="Times New Roman" w:cs="Times New Roman" w:eastAsia="Times New Roman" w:hAnsi="Times New Roman"/>
          <w:sz w:val="16"/>
          <w:szCs w:val="16"/>
          <w:color w:val="auto"/>
        </w:rPr>
        <w:t>We provide certain health care and other benefits for retired employees hired before April 1, 2001, who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7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Warranty. </w:t>
      </w:r>
      <w:r>
        <w:rPr>
          <w:rFonts w:ascii="Times New Roman" w:cs="Times New Roman" w:eastAsia="Times New Roman" w:hAnsi="Times New Roman"/>
          <w:sz w:val="18"/>
          <w:szCs w:val="18"/>
          <w:color w:val="auto"/>
        </w:rPr>
        <w:t>We provide with the purchase of any new motor home, a comprehensive 12-month/15,000-mile warranty and a 3-year/36,000-mile warranty 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sidewalls and floors. Estimated costs related to product warranty are accrued at the time of sale and are based upon past warranty claims and unit sales history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as required to reflect actual costs incurred, as information becomes available. A significant increase in dealership labor rates, the cost of parts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of claims could have a material adverse impact on our operating results for the period or periods in which such claims or additional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materialize. We also incur costs as a result of additional service actions not covered by our warranties, including product recalls and customer satisfaction actions.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costs are accrued at the time the service action is implemented and are based upon past claim rate experiences and the estimated cost of the repairs.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discussion of our warranty costs and associated accruals is included in Note 5 to the Consolidated Financial Statements.</w:t>
      </w:r>
    </w:p>
    <w:p>
      <w:pPr>
        <w:spacing w:after="0" w:line="21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We have granted both stock options and restricted stock awards to our key employees and nonemployee directors as part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In the first quarter of both Fiscal 2007 and Fiscal 2008, we granted restricted stock awards to key employees.</w:t>
      </w:r>
    </w:p>
    <w:p>
      <w:pPr>
        <w:spacing w:after="0" w:line="1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the determination of stock option compensation expense. These assumptions include, among others, our expected stock price volatility and the expected life of our stock options, which are based primarily on our historical experience.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restricted stock is based on the closing price of our common stock on the date of grant.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 to the Consolidated Financial Statements.</w:t>
      </w:r>
    </w:p>
    <w:p>
      <w:pPr>
        <w:spacing w:after="0" w:line="19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We have reserves for unrecognized tax benefits and other loss exposures, such as litigation, product liability, repurchase commitments,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employee medical claims, 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ectPr>
          <w:pgSz w:w="11900" w:h="16872" w:orient="portrait"/>
          <w:cols w:equalWidth="0" w:num="1">
            <w:col w:w="11400"/>
          </w:cols>
          <w:pgMar w:left="240" w:top="125" w:right="259" w:bottom="0" w:gutter="0" w:footer="0" w:header="0"/>
        </w:sectPr>
      </w:pPr>
    </w:p>
    <w:bookmarkStart w:id="9" w:name="page10"/>
    <w:bookmarkEnd w:id="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Current Quarter Compared to the Comparable Quarter Last Year</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consolidated statements of income for the fourteen weeks ended December 1, 2007 compared to the thirteen weeks ended November 25,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Fourteen Weeks 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4"/>
                <w:szCs w:val="14"/>
                <w:color w:val="auto"/>
              </w:rPr>
            </w:pPr>
          </w:p>
        </w:tc>
        <w:tc>
          <w:tcPr>
            <w:tcW w:w="104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4"/>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Dec. 1,</w:t>
            </w:r>
          </w:p>
        </w:tc>
        <w:tc>
          <w:tcPr>
            <w:tcW w:w="680" w:type="dxa"/>
            <w:vAlign w:val="bottom"/>
            <w:tcBorders>
              <w:top w:val="single" w:sz="8" w:color="auto"/>
            </w:tcBorders>
            <w:gridSpan w:val="2"/>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Nov. 25,</w:t>
            </w:r>
          </w:p>
        </w:tc>
        <w:tc>
          <w:tcPr>
            <w:tcW w:w="68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 and per share data)</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4"/>
                <w:szCs w:val="14"/>
                <w:color w:val="auto"/>
              </w:rPr>
            </w:pPr>
          </w:p>
        </w:tc>
        <w:tc>
          <w:tcPr>
            <w:tcW w:w="1040" w:type="dxa"/>
            <w:vAlign w:val="bottom"/>
            <w:gridSpan w:val="2"/>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78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215,142</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201,765</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34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189,502</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180,381</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34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1"/>
        </w:trPr>
        <w:tc>
          <w:tcPr>
            <w:tcW w:w="4920" w:type="dxa"/>
            <w:vAlign w:val="bottom"/>
            <w:tcBorders>
              <w:top w:val="single" w:sz="8" w:color="D6F3E8"/>
            </w:tcBorders>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66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21,384</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bottom w:val="single" w:sz="8" w:color="auto"/>
            </w:tcBorders>
            <w:shd w:val="clear" w:color="auto" w:fill="D6F3E8"/>
          </w:tcPr>
          <w:p>
            <w:pPr>
              <w:spacing w:after="0"/>
              <w:rPr>
                <w:sz w:val="18"/>
                <w:szCs w:val="18"/>
                <w:color w:val="auto"/>
              </w:rPr>
            </w:pPr>
          </w:p>
        </w:tc>
        <w:tc>
          <w:tcPr>
            <w:tcW w:w="7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34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D6F3E8"/>
          </w:tcPr>
          <w:p>
            <w:pPr>
              <w:spacing w:after="0"/>
              <w:rPr>
                <w:sz w:val="22"/>
                <w:szCs w:val="22"/>
                <w:color w:val="auto"/>
              </w:rPr>
            </w:pPr>
          </w:p>
        </w:tc>
        <w:tc>
          <w:tcPr>
            <w:tcW w:w="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960" w:type="dxa"/>
            <w:vAlign w:val="bottom"/>
            <w:gridSpan w:val="3"/>
            <w:shd w:val="clear" w:color="auto" w:fill="D6F3E8"/>
          </w:tcPr>
          <w:p>
            <w:pPr>
              <w:jc w:val="right"/>
              <w:ind w:right="300"/>
              <w:spacing w:after="0"/>
              <w:rPr>
                <w:sz w:val="20"/>
                <w:szCs w:val="20"/>
                <w:color w:val="auto"/>
              </w:rPr>
            </w:pPr>
            <w:r>
              <w:rPr>
                <w:rFonts w:ascii="Times New Roman" w:cs="Times New Roman" w:eastAsia="Times New Roman" w:hAnsi="Times New Roman"/>
                <w:sz w:val="18"/>
                <w:szCs w:val="18"/>
                <w:color w:val="auto"/>
              </w:rPr>
              <w:t>6,451</w:t>
            </w:r>
          </w:p>
        </w:tc>
        <w:tc>
          <w:tcPr>
            <w:tcW w:w="20" w:type="dxa"/>
            <w:vAlign w:val="bottom"/>
            <w:shd w:val="clear" w:color="auto" w:fill="D6F3E8"/>
          </w:tcPr>
          <w:p>
            <w:pPr>
              <w:spacing w:after="0"/>
              <w:rPr>
                <w:sz w:val="22"/>
                <w:szCs w:val="22"/>
                <w:color w:val="auto"/>
              </w:rPr>
            </w:pPr>
          </w:p>
        </w:tc>
        <w:tc>
          <w:tcPr>
            <w:tcW w:w="6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980" w:type="dxa"/>
            <w:vAlign w:val="bottom"/>
            <w:gridSpan w:val="3"/>
            <w:shd w:val="clear" w:color="auto" w:fill="D6F3E8"/>
          </w:tcPr>
          <w:p>
            <w:pPr>
              <w:jc w:val="right"/>
              <w:ind w:right="320"/>
              <w:spacing w:after="0"/>
              <w:rPr>
                <w:sz w:val="20"/>
                <w:szCs w:val="20"/>
                <w:color w:val="auto"/>
              </w:rPr>
            </w:pPr>
            <w:r>
              <w:rPr>
                <w:rFonts w:ascii="Times New Roman" w:cs="Times New Roman" w:eastAsia="Times New Roman" w:hAnsi="Times New Roman"/>
                <w:sz w:val="18"/>
                <w:szCs w:val="18"/>
                <w:color w:val="auto"/>
              </w:rPr>
              <w:t>6,517</w:t>
            </w:r>
          </w:p>
        </w:tc>
        <w:tc>
          <w:tcPr>
            <w:tcW w:w="20" w:type="dxa"/>
            <w:vAlign w:val="bottom"/>
            <w:shd w:val="clear" w:color="auto" w:fill="D6F3E8"/>
          </w:tcPr>
          <w:p>
            <w:pPr>
              <w:spacing w:after="0"/>
              <w:rPr>
                <w:sz w:val="22"/>
                <w:szCs w:val="22"/>
                <w:color w:val="auto"/>
              </w:rPr>
            </w:pPr>
          </w:p>
        </w:tc>
        <w:tc>
          <w:tcPr>
            <w:tcW w:w="6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198"/>
              <w:spacing w:after="0"/>
              <w:rPr>
                <w:sz w:val="20"/>
                <w:szCs w:val="20"/>
                <w:color w:val="auto"/>
              </w:rPr>
            </w:pPr>
            <w:r>
              <w:rPr>
                <w:rFonts w:ascii="Times New Roman" w:cs="Times New Roman" w:eastAsia="Times New Roman" w:hAnsi="Times New Roman"/>
                <w:sz w:val="18"/>
                <w:szCs w:val="18"/>
                <w:color w:val="auto"/>
              </w:rPr>
              <w:t>(66)</w:t>
            </w:r>
          </w:p>
        </w:tc>
        <w:tc>
          <w:tcPr>
            <w:tcW w:w="7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D6F3E8"/>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D6F3E8"/>
            </w:tcBorders>
          </w:tcPr>
          <w:p>
            <w:pPr>
              <w:spacing w:after="0"/>
              <w:rPr>
                <w:sz w:val="18"/>
                <w:szCs w:val="18"/>
                <w:color w:val="auto"/>
              </w:rPr>
            </w:pPr>
          </w:p>
        </w:tc>
        <w:tc>
          <w:tcPr>
            <w:tcW w:w="40" w:type="dxa"/>
            <w:vAlign w:val="bottom"/>
            <w:tcBorders>
              <w:bottom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30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11,244</w:t>
            </w:r>
          </w:p>
        </w:tc>
        <w:tc>
          <w:tcPr>
            <w:tcW w:w="30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40" w:type="dxa"/>
            <w:vAlign w:val="bottom"/>
            <w:tcBorders>
              <w:top w:val="single" w:sz="8" w:color="D6F3E8"/>
              <w:bottom w:val="single" w:sz="8" w:color="D6F3E8"/>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10,140</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1,240</w:t>
            </w:r>
          </w:p>
        </w:tc>
        <w:tc>
          <w:tcPr>
            <w:tcW w:w="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1,563</w:t>
            </w:r>
          </w:p>
        </w:tc>
        <w:tc>
          <w:tcPr>
            <w:tcW w:w="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(323)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2"/>
        </w:trPr>
        <w:tc>
          <w:tcPr>
            <w:tcW w:w="4920" w:type="dxa"/>
            <w:vAlign w:val="bottom"/>
            <w:tcBorders>
              <w:top w:val="single" w:sz="8" w:color="D6F3E8"/>
            </w:tcBorders>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11,703</w:t>
            </w: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34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4,862</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3,767</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4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4920" w:type="dxa"/>
            <w:vAlign w:val="bottom"/>
            <w:tcBorders>
              <w:top w:val="single" w:sz="8" w:color="D6F3E8"/>
              <w:bottom w:val="single" w:sz="8" w:color="D6F3E8"/>
            </w:tcBorders>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D6F3E8"/>
              <w:bottom w:val="single" w:sz="8" w:color="D6F3E8"/>
            </w:tcBorders>
            <w:shd w:val="clear" w:color="auto" w:fill="D6F3E8"/>
          </w:tcPr>
          <w:p>
            <w:pPr>
              <w:spacing w:after="0"/>
              <w:rPr>
                <w:sz w:val="18"/>
                <w:szCs w:val="18"/>
                <w:color w:val="auto"/>
              </w:rPr>
            </w:pPr>
          </w:p>
        </w:tc>
        <w:tc>
          <w:tcPr>
            <w:tcW w:w="4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7,936</w:t>
            </w: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6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20" w:type="dxa"/>
            <w:vAlign w:val="bottom"/>
            <w:tcBorders>
              <w:bottom w:val="single" w:sz="8" w:color="D6F3E8"/>
            </w:tcBorders>
            <w:gridSpan w:val="2"/>
            <w:vMerge w:val="continue"/>
          </w:tcPr>
          <w:p>
            <w:pPr>
              <w:spacing w:after="0"/>
              <w:rPr>
                <w:sz w:val="22"/>
                <w:szCs w:val="22"/>
                <w:color w:val="auto"/>
              </w:rPr>
            </w:pPr>
          </w:p>
        </w:tc>
        <w:tc>
          <w:tcPr>
            <w:tcW w:w="320" w:type="dxa"/>
            <w:vAlign w:val="bottom"/>
            <w:tcBorders>
              <w:bottom w:val="single" w:sz="8" w:color="D6F3E8"/>
            </w:tcBorders>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66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340" w:type="dxa"/>
            <w:vAlign w:val="bottom"/>
            <w:tcBorders>
              <w:bottom w:val="single" w:sz="8" w:color="D6F3E8"/>
            </w:tcBorders>
            <w:gridSpan w:val="2"/>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66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32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tcBorders>
              <w:bottom w:val="single" w:sz="8" w:color="D6F3E8"/>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20" w:type="dxa"/>
            <w:vAlign w:val="bottom"/>
            <w:gridSpan w:val="2"/>
            <w:shd w:val="clear" w:color="auto" w:fill="D6F3E8"/>
          </w:tcPr>
          <w:p>
            <w:pPr>
              <w:spacing w:after="0" w:line="195" w:lineRule="exact"/>
              <w:rPr>
                <w:sz w:val="20"/>
                <w:szCs w:val="20"/>
                <w:color w:val="auto"/>
              </w:rPr>
            </w:pPr>
            <w:r>
              <w:rPr>
                <w:rFonts w:ascii="Times New Roman" w:cs="Times New Roman" w:eastAsia="Times New Roman" w:hAnsi="Times New Roman"/>
                <w:sz w:val="18"/>
                <w:szCs w:val="18"/>
                <w:color w:val="auto"/>
              </w:rPr>
              <w:t>Fully diluted average shares outstanding</w:t>
            </w:r>
          </w:p>
        </w:tc>
        <w:tc>
          <w:tcPr>
            <w:tcW w:w="280" w:type="dxa"/>
            <w:vAlign w:val="bottom"/>
            <w:shd w:val="clear" w:color="auto" w:fill="D6F3E8"/>
          </w:tcPr>
          <w:p>
            <w:pPr>
              <w:spacing w:after="0"/>
              <w:rPr>
                <w:sz w:val="19"/>
                <w:szCs w:val="19"/>
                <w:color w:val="auto"/>
              </w:rPr>
            </w:pPr>
          </w:p>
        </w:tc>
        <w:tc>
          <w:tcPr>
            <w:tcW w:w="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960" w:type="dxa"/>
            <w:vAlign w:val="bottom"/>
            <w:gridSpan w:val="3"/>
            <w:shd w:val="clear" w:color="auto" w:fill="D6F3E8"/>
          </w:tcPr>
          <w:p>
            <w:pPr>
              <w:jc w:val="right"/>
              <w:ind w:right="300"/>
              <w:spacing w:after="0"/>
              <w:rPr>
                <w:sz w:val="20"/>
                <w:szCs w:val="20"/>
                <w:color w:val="auto"/>
              </w:rPr>
            </w:pPr>
            <w:r>
              <w:rPr>
                <w:rFonts w:ascii="Times New Roman" w:cs="Times New Roman" w:eastAsia="Times New Roman" w:hAnsi="Times New Roman"/>
                <w:sz w:val="18"/>
                <w:szCs w:val="18"/>
                <w:color w:val="auto"/>
              </w:rPr>
              <w:t>29,440</w:t>
            </w:r>
          </w:p>
        </w:tc>
        <w:tc>
          <w:tcPr>
            <w:tcW w:w="2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80" w:type="dxa"/>
            <w:vAlign w:val="bottom"/>
            <w:gridSpan w:val="3"/>
            <w:shd w:val="clear" w:color="auto" w:fill="D6F3E8"/>
          </w:tcPr>
          <w:p>
            <w:pPr>
              <w:jc w:val="right"/>
              <w:ind w:right="320"/>
              <w:spacing w:after="0"/>
              <w:rPr>
                <w:sz w:val="20"/>
                <w:szCs w:val="20"/>
                <w:color w:val="auto"/>
              </w:rPr>
            </w:pPr>
            <w:r>
              <w:rPr>
                <w:rFonts w:ascii="Times New Roman" w:cs="Times New Roman" w:eastAsia="Times New Roman" w:hAnsi="Times New Roman"/>
                <w:sz w:val="18"/>
                <w:szCs w:val="18"/>
                <w:color w:val="auto"/>
              </w:rPr>
              <w:t>31,587</w:t>
            </w:r>
          </w:p>
        </w:tc>
        <w:tc>
          <w:tcPr>
            <w:tcW w:w="2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340" w:type="dxa"/>
            <w:vAlign w:val="bottom"/>
            <w:shd w:val="clear" w:color="auto" w:fill="D6F3E8"/>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920" w:type="dxa"/>
            <w:vAlign w:val="bottom"/>
            <w:tcBorders>
              <w:top w:val="single" w:sz="8" w:color="D6F3E8"/>
              <w:bottom w:val="single" w:sz="8" w:color="D6F3E8"/>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Unit deliveries consisted of the following:</w:t>
            </w:r>
          </w:p>
        </w:tc>
        <w:tc>
          <w:tcPr>
            <w:tcW w:w="280" w:type="dxa"/>
            <w:vAlign w:val="bottom"/>
            <w:tcBorders>
              <w:top w:val="single" w:sz="8" w:color="D6F3E8"/>
            </w:tcBorders>
          </w:tcPr>
          <w:p>
            <w:pPr>
              <w:spacing w:after="0" w:line="20" w:lineRule="exact"/>
              <w:rPr>
                <w:sz w:val="1"/>
                <w:szCs w:val="1"/>
                <w:color w:val="auto"/>
              </w:rPr>
            </w:pPr>
          </w:p>
        </w:tc>
        <w:tc>
          <w:tcPr>
            <w:tcW w:w="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66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66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Fourteen Weeks Ended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24"/>
                <w:szCs w:val="24"/>
                <w:color w:val="auto"/>
              </w:rPr>
            </w:pPr>
          </w:p>
        </w:tc>
        <w:tc>
          <w:tcPr>
            <w:tcW w:w="1040" w:type="dxa"/>
            <w:vAlign w:val="bottom"/>
            <w:gridSpan w:val="2"/>
            <w:vMerge w:val="restart"/>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4"/>
          </w:tcPr>
          <w:p>
            <w:pPr>
              <w:ind w:left="40"/>
              <w:spacing w:after="0" w:line="116" w:lineRule="exact"/>
              <w:rPr>
                <w:sz w:val="20"/>
                <w:szCs w:val="20"/>
                <w:color w:val="auto"/>
              </w:rPr>
            </w:pPr>
            <w:r>
              <w:rPr>
                <w:rFonts w:ascii="Times New Roman" w:cs="Times New Roman" w:eastAsia="Times New Roman" w:hAnsi="Times New Roman"/>
                <w:sz w:val="12"/>
                <w:szCs w:val="12"/>
                <w:b w:val="1"/>
                <w:bCs w:val="1"/>
                <w:color w:val="auto"/>
              </w:rPr>
              <w:t>Dec. 1,</w:t>
            </w:r>
          </w:p>
        </w:tc>
        <w:tc>
          <w:tcPr>
            <w:tcW w:w="660" w:type="dxa"/>
            <w:vAlign w:val="bottom"/>
            <w:tcBorders>
              <w:top w:val="single" w:sz="8" w:color="auto"/>
            </w:tcBorders>
          </w:tcPr>
          <w:p>
            <w:pPr>
              <w:jc w:val="right"/>
              <w:ind w:right="17"/>
              <w:spacing w:after="0" w:line="116" w:lineRule="exact"/>
              <w:rPr>
                <w:sz w:val="20"/>
                <w:szCs w:val="20"/>
                <w:color w:val="auto"/>
              </w:rPr>
            </w:pPr>
            <w:r>
              <w:rPr>
                <w:rFonts w:ascii="Times New Roman" w:cs="Times New Roman" w:eastAsia="Times New Roman" w:hAnsi="Times New Roman"/>
                <w:sz w:val="12"/>
                <w:szCs w:val="12"/>
                <w:b w:val="1"/>
                <w:bCs w:val="1"/>
                <w:color w:val="auto"/>
              </w:rPr>
              <w:t>Product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center"/>
              <w:ind w:right="500"/>
              <w:spacing w:after="0" w:line="116" w:lineRule="exact"/>
              <w:rPr>
                <w:sz w:val="20"/>
                <w:szCs w:val="20"/>
                <w:color w:val="auto"/>
              </w:rPr>
            </w:pPr>
            <w:r>
              <w:rPr>
                <w:rFonts w:ascii="Times New Roman" w:cs="Times New Roman" w:eastAsia="Times New Roman" w:hAnsi="Times New Roman"/>
                <w:sz w:val="12"/>
                <w:szCs w:val="12"/>
                <w:b w:val="1"/>
                <w:bCs w:val="1"/>
                <w:color w:val="auto"/>
              </w:rPr>
              <w:t>Nov. 25,</w:t>
            </w:r>
          </w:p>
        </w:tc>
        <w:tc>
          <w:tcPr>
            <w:tcW w:w="6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rPr>
              <w:t>Product</w:t>
            </w:r>
          </w:p>
        </w:tc>
        <w:tc>
          <w:tcPr>
            <w:tcW w:w="3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Motor home unit deliveries: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Mix %</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Mix %</w:t>
            </w:r>
          </w:p>
        </w:tc>
        <w:tc>
          <w:tcPr>
            <w:tcW w:w="11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78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gas</w:t>
            </w:r>
          </w:p>
        </w:tc>
        <w:tc>
          <w:tcPr>
            <w:tcW w:w="6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auto"/>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6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4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diesel</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1"/>
        </w:trPr>
        <w:tc>
          <w:tcPr>
            <w:tcW w:w="4920" w:type="dxa"/>
            <w:vAlign w:val="bottom"/>
            <w:tcBorders>
              <w:top w:val="single" w:sz="8" w:color="D6F3E8"/>
            </w:tcBorders>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Class A</w:t>
            </w:r>
          </w:p>
        </w:tc>
        <w:tc>
          <w:tcPr>
            <w:tcW w:w="280" w:type="dxa"/>
            <w:vAlign w:val="bottom"/>
            <w:tcBorders>
              <w:top w:val="single" w:sz="8" w:color="D6F3E8"/>
            </w:tcBorders>
            <w:shd w:val="clear" w:color="auto" w:fill="D6F3E8"/>
          </w:tcPr>
          <w:p>
            <w:pPr>
              <w:spacing w:after="0"/>
              <w:rPr>
                <w:sz w:val="18"/>
                <w:szCs w:val="18"/>
                <w:color w:val="auto"/>
              </w:rPr>
            </w:pPr>
          </w:p>
        </w:tc>
        <w:tc>
          <w:tcPr>
            <w:tcW w:w="40" w:type="dxa"/>
            <w:vAlign w:val="bottom"/>
            <w:tcBorders>
              <w:top w:val="single" w:sz="8" w:color="auto"/>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62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auto"/>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2"/>
        </w:trPr>
        <w:tc>
          <w:tcPr>
            <w:tcW w:w="4920" w:type="dxa"/>
            <w:vAlign w:val="bottom"/>
            <w:tcBorders>
              <w:top w:val="single" w:sz="8" w:color="D6F3E8"/>
              <w:bottom w:val="single" w:sz="8" w:color="D6F3E8"/>
            </w:tcBorders>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Total deliveries</w:t>
            </w:r>
          </w:p>
        </w:tc>
        <w:tc>
          <w:tcPr>
            <w:tcW w:w="280" w:type="dxa"/>
            <w:vAlign w:val="bottom"/>
            <w:tcBorders>
              <w:top w:val="single" w:sz="8" w:color="D6F3E8"/>
              <w:bottom w:val="single" w:sz="8" w:color="D6F3E8"/>
            </w:tcBorders>
            <w:shd w:val="clear" w:color="auto" w:fill="D6F3E8"/>
          </w:tcPr>
          <w:p>
            <w:pPr>
              <w:spacing w:after="0"/>
              <w:rPr>
                <w:sz w:val="21"/>
                <w:szCs w:val="21"/>
                <w:color w:val="auto"/>
              </w:rPr>
            </w:pPr>
          </w:p>
        </w:tc>
        <w:tc>
          <w:tcPr>
            <w:tcW w:w="40" w:type="dxa"/>
            <w:vAlign w:val="bottom"/>
            <w:tcBorders>
              <w:top w:val="single" w:sz="8" w:color="auto"/>
              <w:bottom w:val="single" w:sz="8" w:color="auto"/>
            </w:tcBorders>
            <w:shd w:val="clear" w:color="auto" w:fill="D6F3E8"/>
          </w:tcPr>
          <w:p>
            <w:pPr>
              <w:spacing w:after="0"/>
              <w:rPr>
                <w:sz w:val="21"/>
                <w:szCs w:val="21"/>
                <w:color w:val="auto"/>
              </w:rPr>
            </w:pPr>
          </w:p>
        </w:tc>
        <w:tc>
          <w:tcPr>
            <w:tcW w:w="140" w:type="dxa"/>
            <w:vAlign w:val="bottom"/>
            <w:tcBorders>
              <w:top w:val="single" w:sz="8" w:color="auto"/>
              <w:bottom w:val="single" w:sz="8" w:color="auto"/>
            </w:tcBorders>
            <w:shd w:val="clear" w:color="auto" w:fill="D6F3E8"/>
          </w:tcPr>
          <w:p>
            <w:pPr>
              <w:spacing w:after="0"/>
              <w:rPr>
                <w:sz w:val="21"/>
                <w:szCs w:val="21"/>
                <w:color w:val="auto"/>
              </w:rPr>
            </w:pPr>
          </w:p>
        </w:tc>
        <w:tc>
          <w:tcPr>
            <w:tcW w:w="6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40" w:type="dxa"/>
            <w:vAlign w:val="bottom"/>
            <w:tcBorders>
              <w:top w:val="single" w:sz="8" w:color="D6F3E8"/>
              <w:bottom w:val="single" w:sz="8" w:color="D6F3E8"/>
            </w:tcBorders>
            <w:shd w:val="clear" w:color="auto" w:fill="D6F3E8"/>
          </w:tcPr>
          <w:p>
            <w:pPr>
              <w:spacing w:after="0"/>
              <w:rPr>
                <w:sz w:val="21"/>
                <w:szCs w:val="21"/>
                <w:color w:val="auto"/>
              </w:rPr>
            </w:pPr>
          </w:p>
        </w:tc>
        <w:tc>
          <w:tcPr>
            <w:tcW w:w="300" w:type="dxa"/>
            <w:vAlign w:val="bottom"/>
            <w:tcBorders>
              <w:top w:val="single" w:sz="8" w:color="D6F3E8"/>
              <w:bottom w:val="single" w:sz="8" w:color="D6F3E8"/>
            </w:tcBorders>
            <w:shd w:val="clear" w:color="auto" w:fill="D6F3E8"/>
          </w:tcPr>
          <w:p>
            <w:pPr>
              <w:spacing w:after="0"/>
              <w:rPr>
                <w:sz w:val="21"/>
                <w:szCs w:val="21"/>
                <w:color w:val="auto"/>
              </w:rPr>
            </w:pPr>
          </w:p>
        </w:tc>
        <w:tc>
          <w:tcPr>
            <w:tcW w:w="20" w:type="dxa"/>
            <w:vAlign w:val="bottom"/>
            <w:tcBorders>
              <w:top w:val="single" w:sz="8" w:color="auto"/>
              <w:bottom w:val="single" w:sz="8" w:color="auto"/>
            </w:tcBorders>
            <w:shd w:val="clear" w:color="auto" w:fill="D6F3E8"/>
          </w:tcPr>
          <w:p>
            <w:pPr>
              <w:spacing w:after="0"/>
              <w:rPr>
                <w:sz w:val="21"/>
                <w:szCs w:val="21"/>
                <w:color w:val="auto"/>
              </w:rPr>
            </w:pPr>
          </w:p>
        </w:tc>
        <w:tc>
          <w:tcPr>
            <w:tcW w:w="6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D6F3E8"/>
              <w:bottom w:val="single" w:sz="8" w:color="D6F3E8"/>
            </w:tcBorders>
            <w:shd w:val="clear" w:color="auto" w:fill="D6F3E8"/>
          </w:tcPr>
          <w:p>
            <w:pPr>
              <w:spacing w:after="0"/>
              <w:rPr>
                <w:sz w:val="21"/>
                <w:szCs w:val="21"/>
                <w:color w:val="auto"/>
              </w:rPr>
            </w:pPr>
          </w:p>
        </w:tc>
        <w:tc>
          <w:tcPr>
            <w:tcW w:w="320" w:type="dxa"/>
            <w:vAlign w:val="bottom"/>
            <w:tcBorders>
              <w:top w:val="single" w:sz="8" w:color="D6F3E8"/>
              <w:bottom w:val="single" w:sz="8" w:color="D6F3E8"/>
            </w:tcBorders>
            <w:shd w:val="clear" w:color="auto" w:fill="D6F3E8"/>
          </w:tcPr>
          <w:p>
            <w:pPr>
              <w:spacing w:after="0"/>
              <w:rPr>
                <w:sz w:val="21"/>
                <w:szCs w:val="21"/>
                <w:color w:val="auto"/>
              </w:rPr>
            </w:pPr>
          </w:p>
        </w:tc>
        <w:tc>
          <w:tcPr>
            <w:tcW w:w="20" w:type="dxa"/>
            <w:vAlign w:val="bottom"/>
            <w:tcBorders>
              <w:top w:val="single" w:sz="8" w:color="auto"/>
              <w:bottom w:val="single" w:sz="8" w:color="auto"/>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spacing w:after="0"/>
              <w:rPr>
                <w:sz w:val="21"/>
                <w:szCs w:val="21"/>
                <w:color w:val="auto"/>
              </w:rPr>
            </w:pPr>
          </w:p>
        </w:tc>
        <w:tc>
          <w:tcPr>
            <w:tcW w:w="6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Borders>
              <w:top w:val="single" w:sz="8" w:color="D6F3E8"/>
              <w:bottom w:val="single" w:sz="8" w:color="D6F3E8"/>
            </w:tcBorders>
            <w:shd w:val="clear" w:color="auto" w:fill="D6F3E8"/>
          </w:tcPr>
          <w:p>
            <w:pPr>
              <w:spacing w:after="0"/>
              <w:rPr>
                <w:sz w:val="21"/>
                <w:szCs w:val="21"/>
                <w:color w:val="auto"/>
              </w:rPr>
            </w:pPr>
          </w:p>
        </w:tc>
        <w:tc>
          <w:tcPr>
            <w:tcW w:w="300" w:type="dxa"/>
            <w:vAlign w:val="bottom"/>
            <w:tcBorders>
              <w:top w:val="single" w:sz="8" w:color="D6F3E8"/>
              <w:bottom w:val="single" w:sz="8" w:color="D6F3E8"/>
            </w:tcBorders>
            <w:shd w:val="clear" w:color="auto" w:fill="D6F3E8"/>
          </w:tcPr>
          <w:p>
            <w:pPr>
              <w:spacing w:after="0"/>
              <w:rPr>
                <w:sz w:val="21"/>
                <w:szCs w:val="21"/>
                <w:color w:val="auto"/>
              </w:rPr>
            </w:pPr>
          </w:p>
        </w:tc>
        <w:tc>
          <w:tcPr>
            <w:tcW w:w="20" w:type="dxa"/>
            <w:vAlign w:val="bottom"/>
            <w:tcBorders>
              <w:top w:val="single" w:sz="8" w:color="auto"/>
              <w:bottom w:val="single" w:sz="8" w:color="auto"/>
            </w:tcBorders>
            <w:shd w:val="clear" w:color="auto" w:fill="D6F3E8"/>
          </w:tcPr>
          <w:p>
            <w:pPr>
              <w:spacing w:after="0"/>
              <w:rPr>
                <w:sz w:val="21"/>
                <w:szCs w:val="21"/>
                <w:color w:val="auto"/>
              </w:rPr>
            </w:pPr>
          </w:p>
        </w:tc>
        <w:tc>
          <w:tcPr>
            <w:tcW w:w="6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D6F3E8"/>
              <w:bottom w:val="single" w:sz="8" w:color="D6F3E8"/>
            </w:tcBorders>
            <w:shd w:val="clear" w:color="auto" w:fill="D6F3E8"/>
          </w:tcPr>
          <w:p>
            <w:pPr>
              <w:spacing w:after="0"/>
              <w:rPr>
                <w:sz w:val="21"/>
                <w:szCs w:val="21"/>
                <w:color w:val="auto"/>
              </w:rPr>
            </w:pPr>
          </w:p>
        </w:tc>
        <w:tc>
          <w:tcPr>
            <w:tcW w:w="320" w:type="dxa"/>
            <w:vAlign w:val="bottom"/>
            <w:tcBorders>
              <w:top w:val="single" w:sz="8" w:color="D6F3E8"/>
              <w:bottom w:val="single" w:sz="8" w:color="D6F3E8"/>
            </w:tcBorders>
            <w:shd w:val="clear" w:color="auto" w:fill="D6F3E8"/>
          </w:tcPr>
          <w:p>
            <w:pPr>
              <w:spacing w:after="0"/>
              <w:rPr>
                <w:sz w:val="21"/>
                <w:szCs w:val="21"/>
                <w:color w:val="auto"/>
              </w:rPr>
            </w:pPr>
          </w:p>
        </w:tc>
        <w:tc>
          <w:tcPr>
            <w:tcW w:w="20" w:type="dxa"/>
            <w:vAlign w:val="bottom"/>
            <w:tcBorders>
              <w:top w:val="single" w:sz="8" w:color="auto"/>
              <w:bottom w:val="single" w:sz="8" w:color="auto"/>
            </w:tcBorders>
            <w:shd w:val="clear" w:color="auto" w:fill="D6F3E8"/>
          </w:tcPr>
          <w:p>
            <w:pPr>
              <w:spacing w:after="0"/>
              <w:rPr>
                <w:sz w:val="21"/>
                <w:szCs w:val="21"/>
                <w:color w:val="auto"/>
              </w:rPr>
            </w:pPr>
          </w:p>
        </w:tc>
        <w:tc>
          <w:tcPr>
            <w:tcW w:w="80" w:type="dxa"/>
            <w:vAlign w:val="bottom"/>
            <w:tcBorders>
              <w:top w:val="single" w:sz="8" w:color="auto"/>
              <w:bottom w:val="single" w:sz="8" w:color="auto"/>
            </w:tcBorders>
            <w:shd w:val="clear" w:color="auto" w:fill="D6F3E8"/>
          </w:tcPr>
          <w:p>
            <w:pPr>
              <w:spacing w:after="0"/>
              <w:rPr>
                <w:sz w:val="21"/>
                <w:szCs w:val="21"/>
                <w:color w:val="auto"/>
              </w:rPr>
            </w:pPr>
          </w:p>
        </w:tc>
        <w:tc>
          <w:tcPr>
            <w:tcW w:w="7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top w:val="single" w:sz="8" w:color="D6F3E8"/>
              <w:bottom w:val="single" w:sz="8" w:color="D6F3E8"/>
            </w:tcBorders>
            <w:shd w:val="clear" w:color="auto" w:fill="D6F3E8"/>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D6F3E8"/>
              <w:bottom w:val="single" w:sz="8" w:color="D6F3E8"/>
            </w:tcBorders>
            <w:shd w:val="clear" w:color="auto" w:fill="D6F3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6F3E8"/>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-2323465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-2323465</wp:posOffset>
            </wp:positionV>
            <wp:extent cx="214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8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Net revenues for the fourteen weeks ended December 1, 2007 increased $13.4 million, or 6.6 percent, primarily as a result of a 7.7 percent increase in Class A unit deliveries. Offsetting our decrease in total motor home unit deliveries was an increase of 8.6 percent in our average selling price and fewer dollars spent on retail promotional programs when comparing the fourteen weeks ended December 1, 2007 to the thirteen weeks ended November 25, 2006.</w:t>
      </w:r>
    </w:p>
    <w:p>
      <w:pPr>
        <w:spacing w:after="0" w:line="18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Gross profit margin increased from 10.6 percent during the thirteen weeks ended November 25, 2006 to 11.9 percent during the fourteen weeks ended December 1, 2007. The increase of margin was primarily due to a mix shift to more Class A product and decreases in retail promotional programs.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Selling expenses increased $878,000, or 18.6 percent, during the fourteen weeks ended December 1, 2007. As a percent of net revenues, selling expenses were 2.6 percent and 2.4 percent during the fourteen weeks ended December 1, 2007 and the thirteen weeks ended November 25, 2006, respectively. The increases were due primarily to increases in advertising expenses due to the Louisville Show, Recreation Vehicle Industry Association (RVIA’s) National RV Show, held in the first quarter in Fiscal 2008 compared to the second quarter of fiscal 2007.</w:t>
      </w:r>
    </w:p>
    <w:p>
      <w:pPr>
        <w:spacing w:after="0" w:line="1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decreased $66,000, or 1.0 percent, during the fourteen weeks ended December 1, 2007. As a percent of net revenues, general and administrative expenses were 3.0 percent and 3.2 percent during the fourteen weeks ended December 1, 2007 and the thirteen weeks ended November 25, 2006, respectively.</w:t>
      </w:r>
    </w:p>
    <w:p>
      <w:pPr>
        <w:spacing w:after="0" w:line="18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Financial income decreased $323,000, or 20.7 percent, during the fourteen weeks ended December 1, 2007. The decrease in financial income was due to a lower average short-term investment balance offset partially by a higher average interest rate.</w:t>
      </w:r>
    </w:p>
    <w:p>
      <w:pPr>
        <w:spacing w:after="0" w:line="10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overall effective income tax rate increased to 32.8 percent for the fourteen weeks ended December 1, 2007 from 32.2 percent for the thirteen weeks ended November 25, 2006. The increase was primarily a result of a higher rate required for state taxes and a decrease in tax-free income which were offset partially by an increase in the domestic production activities credit.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income increased by 25.5 percent and income per diluted share increased by 36.0 percent when comparing the fourteen weeks ended December 1, 2007 to the thirteen weeks ended November 25, 2006. The larger percentage increase in income per diluted share than in net income was due to a lower number of shares of common stock outstanding during the fourteen weeks ended December 1, 2007, as a result of shares of common stock repurchased by the Company. (See Note 10 of the Unaudited Notes to Condensed Consolidated Financial Statements for the period ended December 1, 2007.)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Liquidity and Resources</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recent fiscal periods, we have generated substantial cash from operations, which has enabled us to meet our working capital needs and make appropriate investments in manufacturing equipment and facilities, as well as pay increased cash dividends and repurchase stock. Cash and cash equivalents totaled $4.8 million and $6.9 million as of December 1, 2007 and August 25, 2007, respectively. Short-term investments, consisting primarily of highly liquid investments as of December 1, 2007 and August 25, 2007, were $89.3 million and $102.7 million, respectively. Working capital at December 1, 2007 and August 25, 2007 was $164.9 million and $168.9 million, respectively, a decrease of $4.0 million. We have no long-term debt. We currently expect our cash on hand and funds generated from operations to be sufficient to cover both short- and long-term operation requirements.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ectPr>
          <w:pgSz w:w="11900" w:h="16858" w:orient="portrait"/>
          <w:cols w:equalWidth="0" w:num="1">
            <w:col w:w="11420"/>
          </w:cols>
          <w:pgMar w:left="240" w:top="339" w:right="239" w:bottom="0" w:gutter="0" w:footer="0" w:header="0"/>
        </w:sectPr>
      </w:pPr>
    </w:p>
    <w:bookmarkStart w:id="10" w:name="page11"/>
    <w:bookmarkEnd w:id="10"/>
    <w:p>
      <w:pPr>
        <w:spacing w:after="0" w:line="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Cash provided by operating activities was $7.6 million during the fourteen weeks ended December 1, 2007, compared to cash used in operating activities of $11.6 million during the thirteen weeks ended November 25, 2006. The changes in cash provided by operating activities was primarily attributable to an increase in net income and reductions in receivables, partially offset by an increase in raw material chassis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primary uses of cash for investing activities were for manufacturing equipment and facilities purchases of $1.5 million for the fourteen weeks ended December 1, 2007 compared to $1.2 million during the thirteen weeks ended November 25, 2006. We purchased $150.0 million of short-term investments and received proceeds of $163.4 million from the sale or maturity of short-term investments during the fourteen weeks ended December 1, 2007. During the thirteen weeks ended November 25, 2006, we purchased $80.4 million of short-term investments and received proceeds of $80.4 million from the sale or maturity of short-term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fourteen weeks ended December 1, 2007 was $21.0 million compared to cash provided of $209,000 during the thirteen weeks ended November 25, 2006. Payments of $3.5 million for the fourteen weeks ended December 1, 2007 and $3.1 million for the thirteen weeks ended November 25, 2006 for cash dividends were made. We repurchased $17.5 million in common stock during the fourteen weeks ended December 1, 2007, and had no repurchases in the thirteen weeks ended November 25, 2006. We received proceeds from the exercise of stock options of $58,000 and $2.8 million during the fourteen weeks ended December 1, 2007 and the thirteen weeks ended November 25, 2006, respectively. (See Unaudited Condensed Consolidated Statements of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Use of Funds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Estimated uses, at December 1, 2007, of our liquid assets for the remainder of Fiscal 2008 include $14.0 million for payments of cash dividends (assuming dividends continue to be paid at the current rate and the number of outstanding shares does not change significantly from the number outstanding at December 1, 2007). We expect spending for capital expenditures will be approximately in the $2 to $4 million range for the rest of Fiscal 2008, as we believe that total capital spending in Fiscal 2008 will be consistent with Fiscal 2007.</w:t>
      </w:r>
    </w:p>
    <w:p>
      <w:pPr>
        <w:spacing w:after="0" w:line="1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On October 10, 2007, the Board of Directors declared a quarterly cash dividend of $0.12 per common share payable January 7, 2008 to shareholders of record as of December 7, 2007. On December 19, 2007, the Board of Directors declared a quarterly cash dividend of $0.12 per common share payable April 7, 2008 to shareholders of record as of March 7, 2008.</w:t>
      </w:r>
    </w:p>
    <w:p>
      <w:pPr>
        <w:spacing w:after="0" w:line="18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total liability for uncertain tax positions under FIN 48 at December 1, 2007 was approximately $22 million (refer to Note 6). The Company was not able to reasonably estimate the timing of future payments relating to noncurrent unrecognized tax benefits; however, at this time, the Company does not expect a significant payment related to these obligations within the next twelve months.</w:t>
      </w:r>
    </w:p>
    <w:p>
      <w:pPr>
        <w:spacing w:after="0" w:line="18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Other than as noted above, there have been no material changes with respect to the contractual obligations, as described in our 2007 Annual Report on Form 10-K.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1, 2007, we have an investment portfolio of cash and cash equivalents of $4.8 million and available-for-sale securities of $89.3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33 days) and based upon historical experience, we do not believe there are significant risks of a failed Dutch auction. At December 1, 2007, our investment portfolio had a weighted average to maturity/auction of 15 days. Therefore, we do not expect to recognize a material adverse impact in income or cash flows in the event of a decline in value due to an increase in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 (f).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December 1, 2007. During our assessment, we did not identify any material weaknesses in our internal control over financial reporting.</w:t>
      </w:r>
    </w:p>
    <w:p>
      <w:pPr>
        <w:sectPr>
          <w:pgSz w:w="11900" w:h="16839" w:orient="portrait"/>
          <w:cols w:equalWidth="0" w:num="1">
            <w:col w:w="11420"/>
          </w:cols>
          <w:pgMar w:left="240" w:top="274" w:right="239" w:bottom="0" w:gutter="0" w:footer="0" w:header="0"/>
        </w:sectPr>
      </w:pPr>
    </w:p>
    <w:bookmarkStart w:id="11" w:name="page12"/>
    <w:bookmarkEnd w:id="11"/>
    <w:p>
      <w:pPr>
        <w:ind w:right="520"/>
        <w:spacing w:after="0" w:line="275"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connection with the evaluation of internal control over financial reporting described above, no changes in our internal control over financing reporting were identified that occurred during the first quarter of Fiscal 2008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Winnebago Industries, Inc. and subsidiaries (the “Company”) as of December 1, 2007, and the related condensed consolidated statements of income and cash flows for the fourteen weeks ended December 1, 2007 and the thirteen weeks ended November 25, 2006. These interim financial statements are the responsibility of the Corporation’s management.</w:t>
      </w:r>
    </w:p>
    <w:p>
      <w:pPr>
        <w:spacing w:after="0" w:line="186"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7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 xml:space="preserve">As discussed in Note 6 to the condensed consolidated interim financial statements, the Company changed its method of accounting for unrecognized tax benefits to conform to </w:t>
      </w:r>
      <w:r>
        <w:rPr>
          <w:rFonts w:ascii="Times New Roman" w:cs="Times New Roman" w:eastAsia="Times New Roman" w:hAnsi="Times New Roman"/>
          <w:sz w:val="18"/>
          <w:szCs w:val="18"/>
          <w:i w:val="1"/>
          <w:iCs w:val="1"/>
          <w:color w:val="auto"/>
        </w:rPr>
        <w:t>Statement of Financial Accounting Standards Interpretation No. 48</w:t>
      </w:r>
      <w:r>
        <w:rPr>
          <w:rFonts w:ascii="Times New Roman" w:cs="Times New Roman" w:eastAsia="Times New Roman" w:hAnsi="Times New Roman"/>
          <w:sz w:val="18"/>
          <w:szCs w:val="18"/>
          <w:color w:val="auto"/>
        </w:rPr>
        <w:t xml:space="preserve"> effective August 26, 2007.</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August 25, 2007, and the related consolidated statements of income, stockholders’ equity, and cash flows for the year then ended (not presented herein); and in our report dated October 22, 2007, we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Legal Proceedings.</w:t>
      </w:r>
    </w:p>
    <w:p>
      <w:pPr>
        <w:sectPr>
          <w:pgSz w:w="11900" w:h="16838" w:orient="portrait"/>
          <w:cols w:equalWidth="0" w:num="1">
            <w:col w:w="11400"/>
          </w:cols>
          <w:pgMar w:left="240" w:top="341" w:right="259" w:bottom="0" w:gutter="0" w:footer="0" w:header="0"/>
        </w:sectPr>
      </w:pPr>
    </w:p>
    <w:bookmarkStart w:id="12" w:name="page13"/>
    <w:bookmarkEnd w:id="12"/>
    <w:p>
      <w:pPr>
        <w:ind w:left="920"/>
        <w:spacing w:after="0" w:line="301" w:lineRule="auto"/>
        <w:rPr>
          <w:sz w:val="20"/>
          <w:szCs w:val="20"/>
          <w:color w:val="auto"/>
        </w:rPr>
      </w:pPr>
      <w:r>
        <w:rPr>
          <w:rFonts w:ascii="Times New Roman" w:cs="Times New Roman" w:eastAsia="Times New Roman" w:hAnsi="Times New Roman"/>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Unregistered Sales of Equity Securities and Use of Proceeds.</w:t>
      </w:r>
    </w:p>
    <w:p>
      <w:pPr>
        <w:spacing w:after="0" w:line="223" w:lineRule="exact"/>
        <w:rPr>
          <w:sz w:val="20"/>
          <w:szCs w:val="20"/>
          <w:color w:val="auto"/>
        </w:rPr>
      </w:pPr>
    </w:p>
    <w:p>
      <w:pPr>
        <w:ind w:left="920"/>
        <w:spacing w:after="0" w:line="310" w:lineRule="auto"/>
        <w:rPr>
          <w:sz w:val="20"/>
          <w:szCs w:val="20"/>
          <w:color w:val="auto"/>
        </w:rPr>
      </w:pPr>
      <w:r>
        <w:rPr>
          <w:rFonts w:ascii="Times New Roman" w:cs="Times New Roman" w:eastAsia="Times New Roman" w:hAnsi="Times New Roman"/>
          <w:sz w:val="16"/>
          <w:szCs w:val="16"/>
          <w:color w:val="auto"/>
        </w:rPr>
        <w:t>On June 20, 2007, the Board of Directors authorized the repurchase of outstanding shares of our common stock, depending on market conditions, for an aggregate consideration of up to $60 million. There was no time restriction on this authorization. During the first quarter of Fiscal 2008, approximately 676,000 shares were repurchased under this authorization for an aggregate consideration of approximately $17.5 million.</w:t>
      </w:r>
    </w:p>
    <w:p>
      <w:pPr>
        <w:spacing w:after="0" w:line="151" w:lineRule="exact"/>
        <w:rPr>
          <w:sz w:val="20"/>
          <w:szCs w:val="20"/>
          <w:color w:val="auto"/>
        </w:rPr>
      </w:pPr>
    </w:p>
    <w:p>
      <w:pPr>
        <w:ind w:left="920" w:right="40"/>
        <w:spacing w:after="0" w:line="275" w:lineRule="auto"/>
        <w:rPr>
          <w:sz w:val="20"/>
          <w:szCs w:val="20"/>
          <w:color w:val="auto"/>
        </w:rPr>
      </w:pPr>
      <w:r>
        <w:rPr>
          <w:rFonts w:ascii="Times New Roman" w:cs="Times New Roman" w:eastAsia="Times New Roman" w:hAnsi="Times New Roman"/>
          <w:sz w:val="18"/>
          <w:szCs w:val="18"/>
          <w:color w:val="auto"/>
        </w:rPr>
        <w:t>This table provides information with respect to purchases by us of shares of our common stock during each fiscal month of the first quarter of Fiscal 2008:</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08/26/07 – 09/29/07</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09/30/07 – 10/27/07</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10/28/07 – 12/01/07</w:t>
      </w:r>
    </w:p>
    <w:p>
      <w:pPr>
        <w:spacing w:after="0" w:line="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5"/>
              </w:rPr>
              <w:t>Approximate Dollar</w:t>
            </w:r>
          </w:p>
        </w:tc>
      </w:tr>
      <w:tr>
        <w:trPr>
          <w:trHeight w:val="149"/>
        </w:trPr>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Purchased as Part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of Shares That</w:t>
            </w:r>
          </w:p>
        </w:tc>
      </w:tr>
      <w:tr>
        <w:trPr>
          <w:trHeight w:val="149"/>
        </w:trPr>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0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Publicly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Yet Be Purchased</w:t>
            </w:r>
          </w:p>
        </w:tc>
      </w:tr>
      <w:tr>
        <w:trPr>
          <w:trHeight w:val="149"/>
        </w:trPr>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Price Paid</w:t>
            </w:r>
          </w:p>
        </w:tc>
        <w:tc>
          <w:tcPr>
            <w:tcW w:w="20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Announced Plans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 the Plans</w:t>
            </w:r>
          </w:p>
        </w:tc>
      </w:tr>
      <w:tr>
        <w:trPr>
          <w:trHeight w:val="165"/>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or Programs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4"/>
              </w:rPr>
              <w:t>or Programs</w:t>
            </w:r>
          </w:p>
        </w:tc>
      </w:tr>
      <w:tr>
        <w:trPr>
          <w:trHeight w:val="222"/>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17,536,000</w:t>
            </w:r>
          </w:p>
        </w:tc>
      </w:tr>
      <w:tr>
        <w:trPr>
          <w:trHeight w:val="229"/>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8,425,000</w:t>
            </w:r>
          </w:p>
        </w:tc>
      </w:tr>
      <w:tr>
        <w:trPr>
          <w:trHeight w:val="244"/>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336,669</w:t>
            </w:r>
          </w:p>
        </w:tc>
        <w:tc>
          <w:tcPr>
            <w:tcW w:w="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6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336,669</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675,769</w:t>
            </w:r>
          </w:p>
        </w:tc>
        <w:tc>
          <w:tcPr>
            <w:tcW w:w="62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675,769</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-334010</wp:posOffset>
            </wp:positionV>
            <wp:extent cx="651764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-633730</wp:posOffset>
            </wp:positionV>
            <wp:extent cx="651764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720"/>
          </w:cols>
          <w:pgMar w:left="240" w:top="125" w:right="279" w:bottom="1440" w:gutter="0" w:footer="0" w:header="0"/>
          <w:type w:val="continuous"/>
        </w:sectPr>
      </w:pP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of December 1, 2007, this authorization has been completed.</w:t>
      </w:r>
    </w:p>
    <w:p>
      <w:pPr>
        <w:spacing w:after="0" w:line="225" w:lineRule="exact"/>
        <w:rPr>
          <w:sz w:val="20"/>
          <w:szCs w:val="20"/>
          <w:color w:val="auto"/>
        </w:rPr>
      </w:pPr>
    </w:p>
    <w:p>
      <w:pPr>
        <w:ind w:left="920" w:right="660"/>
        <w:spacing w:after="0" w:line="275" w:lineRule="auto"/>
        <w:rPr>
          <w:sz w:val="20"/>
          <w:szCs w:val="20"/>
          <w:color w:val="auto"/>
        </w:rPr>
      </w:pPr>
      <w:r>
        <w:rPr>
          <w:rFonts w:ascii="Times New Roman" w:cs="Times New Roman" w:eastAsia="Times New Roman" w:hAnsi="Times New Roman"/>
          <w:sz w:val="18"/>
          <w:szCs w:val="18"/>
          <w:color w:val="auto"/>
        </w:rPr>
        <w:t>On December 19, 2007, the Board of Directors authorized the repurchase of outstanding shares of our common stock, depending on market conditions, for an aggregate consideration of up to $60 million. There is no time restriction on this authorization.</w:t>
      </w:r>
    </w:p>
    <w:p>
      <w:pPr>
        <w:spacing w:after="0" w:line="1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1"/>
          <w:szCs w:val="21"/>
          <w:b w:val="1"/>
          <w:bCs w:val="1"/>
          <w:color w:val="auto"/>
        </w:rPr>
        <w:t>Exhibits.</w:t>
      </w:r>
    </w:p>
    <w:p>
      <w:pPr>
        <w:spacing w:after="0" w:line="241" w:lineRule="exact"/>
        <w:rPr>
          <w:sz w:val="20"/>
          <w:szCs w:val="20"/>
          <w:color w:val="auto"/>
        </w:rPr>
      </w:pPr>
    </w:p>
    <w:p>
      <w:pPr>
        <w:ind w:left="1360" w:hanging="447"/>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See Exhibit Index on page 17.</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3"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WINNEBAGO INDUSTRIES, INC.</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(Registrant)</w:t>
            </w:r>
          </w:p>
        </w:tc>
        <w:tc>
          <w:tcPr>
            <w:tcW w:w="0" w:type="dxa"/>
            <w:vAlign w:val="bottom"/>
          </w:tcPr>
          <w:p>
            <w:pPr>
              <w:spacing w:after="0"/>
              <w:rPr>
                <w:sz w:val="1"/>
                <w:szCs w:val="1"/>
                <w:color w:val="auto"/>
              </w:rPr>
            </w:pPr>
          </w:p>
        </w:tc>
      </w:tr>
      <w:tr>
        <w:trPr>
          <w:trHeight w:val="66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January 8, 2008</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Bruce D. Hertzke</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5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3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Bruce D. Hertzke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0" w:type="dxa"/>
            <w:vAlign w:val="bottom"/>
          </w:tcPr>
          <w:p>
            <w:pPr>
              <w:spacing w:after="0"/>
              <w:rPr>
                <w:sz w:val="1"/>
                <w:szCs w:val="1"/>
                <w:color w:val="auto"/>
              </w:rPr>
            </w:pPr>
          </w:p>
        </w:tc>
      </w:tr>
      <w:tr>
        <w:trPr>
          <w:trHeight w:val="67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January 8, 2008</w:t>
            </w: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Sarah N. Nielsen</w:t>
            </w:r>
          </w:p>
        </w:tc>
        <w:tc>
          <w:tcPr>
            <w:tcW w:w="0" w:type="dxa"/>
            <w:vAlign w:val="bottom"/>
          </w:tcPr>
          <w:p>
            <w:pPr>
              <w:spacing w:after="0"/>
              <w:rPr>
                <w:sz w:val="1"/>
                <w:szCs w:val="1"/>
                <w:color w:val="auto"/>
              </w:rPr>
            </w:pPr>
          </w:p>
        </w:tc>
      </w:tr>
      <w:tr>
        <w:trPr>
          <w:trHeight w:val="82"/>
        </w:trPr>
        <w:tc>
          <w:tcPr>
            <w:tcW w:w="720" w:type="dxa"/>
            <w:vAlign w:val="bottom"/>
          </w:tcPr>
          <w:p>
            <w:pPr>
              <w:spacing w:after="0"/>
              <w:rPr>
                <w:sz w:val="7"/>
                <w:szCs w:val="7"/>
                <w:color w:val="auto"/>
              </w:rPr>
            </w:pPr>
          </w:p>
        </w:tc>
        <w:tc>
          <w:tcPr>
            <w:tcW w:w="5960" w:type="dxa"/>
            <w:vAlign w:val="bottom"/>
            <w:gridSpan w:val="2"/>
            <w:vMerge w:val="continue"/>
          </w:tcPr>
          <w:p>
            <w:pPr>
              <w:spacing w:after="0"/>
              <w:rPr>
                <w:sz w:val="7"/>
                <w:szCs w:val="7"/>
                <w:color w:val="auto"/>
              </w:rPr>
            </w:pPr>
          </w:p>
        </w:tc>
        <w:tc>
          <w:tcPr>
            <w:tcW w:w="3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3900" w:type="dxa"/>
            <w:vAlign w:val="bottom"/>
          </w:tcPr>
          <w:p>
            <w:pPr>
              <w:spacing w:after="0"/>
              <w:rPr>
                <w:sz w:val="17"/>
                <w:szCs w:val="17"/>
                <w:color w:val="auto"/>
              </w:rPr>
            </w:pPr>
          </w:p>
        </w:tc>
        <w:tc>
          <w:tcPr>
            <w:tcW w:w="36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Sarah N. Nielsen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type w:val="continuous"/>
        </w:sectPr>
      </w:pPr>
    </w:p>
    <w:bookmarkStart w:id="13" w:name="page14"/>
    <w:bookmarkEnd w:id="13"/>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23" w:lineRule="exact"/>
        <w:rPr>
          <w:sz w:val="20"/>
          <w:szCs w:val="20"/>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regarding Unaudited Interim Financial Information.</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by the Chief Executive Officer pursuant to Section 302 of the Sarbanes-Oxley Act of 2002 dated January 8, 2008.</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by the Chief Financial Officer pursuant to Section 302 of the Sarbanes-Oxley Act of 2002 dated January 8, 2008.</w:t>
      </w:r>
    </w:p>
    <w:p>
      <w:pPr>
        <w:spacing w:after="0" w:line="225" w:lineRule="exact"/>
        <w:rPr>
          <w:sz w:val="20"/>
          <w:szCs w:val="20"/>
          <w:color w:val="auto"/>
        </w:rPr>
      </w:pPr>
    </w:p>
    <w:p>
      <w:pPr>
        <w:ind w:left="800" w:hanging="796"/>
        <w:spacing w:after="0" w:line="275" w:lineRule="auto"/>
        <w:tabs>
          <w:tab w:leader="none" w:pos="7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by the Chief Executive Officer pursuant to Section 1350, as adopted pursuant to Section 906 of the Sarbanes-Oxley Act of 2002 dated January 8, 2008.</w:t>
      </w:r>
    </w:p>
    <w:p>
      <w:pPr>
        <w:spacing w:after="0" w:line="174" w:lineRule="exact"/>
        <w:rPr>
          <w:sz w:val="20"/>
          <w:szCs w:val="20"/>
          <w:color w:val="auto"/>
        </w:rPr>
      </w:pPr>
    </w:p>
    <w:p>
      <w:pPr>
        <w:ind w:left="800" w:right="60" w:hanging="796"/>
        <w:spacing w:after="0" w:line="275" w:lineRule="auto"/>
        <w:tabs>
          <w:tab w:leader="none" w:pos="7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by the Chief Financial Officer pursuant to Section 1350, as adopted pursuant to Section 906 of the Sarbanes-Oxley Act of 2002 dated January 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611" w:right="49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reviewed, in accordance with the standards of the Public Company Accounting Oversight Board (United States), the unaudited interim financial information of Winnebago Industries, Inc. and subsidiaries for the quarter ended December 1, 2007 as indicated in our report dated January 8, 2008 (which report included an explanatory paragraph regarding the Company’s change in its method of accounting for unrecognized tax benefits to conform to Statement of Financial Accounting Standards Interpretation No. 48); because we did not perform an audit, we expressed no opinion on that information.</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are aware that our report referred to above, which is included in your Quarterly Report on Form 10-Q for the quarter ended December 1, 2007, is incorporated by reference in Registration Statements No. 333-31595, No. 333-47123 and No. 333-113246 on Form S-8.</w:t>
      </w:r>
    </w:p>
    <w:p>
      <w:pPr>
        <w:spacing w:after="0" w:line="17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1840230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Hertzke, Chief Executive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Winnebago Industries, Inc. (the “Registrant”);</w:t>
      </w:r>
    </w:p>
    <w:p>
      <w:pPr>
        <w:spacing w:after="0" w:line="225" w:lineRule="exact"/>
        <w:rPr>
          <w:rFonts w:ascii="Times New Roman" w:cs="Times New Roman" w:eastAsia="Times New Roman" w:hAnsi="Times New Roman"/>
          <w:sz w:val="18"/>
          <w:szCs w:val="18"/>
          <w:color w:val="auto"/>
        </w:rPr>
      </w:pPr>
    </w:p>
    <w:p>
      <w:pPr>
        <w:ind w:left="1380" w:right="140" w:hanging="575"/>
        <w:spacing w:after="0" w:line="26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6" w:lineRule="exact"/>
        <w:rPr>
          <w:rFonts w:ascii="Times New Roman" w:cs="Times New Roman" w:eastAsia="Times New Roman" w:hAnsi="Times New Roman"/>
          <w:sz w:val="18"/>
          <w:szCs w:val="18"/>
          <w:color w:val="auto"/>
        </w:rPr>
      </w:pPr>
    </w:p>
    <w:p>
      <w:pPr>
        <w:ind w:left="1380" w:right="400" w:hanging="575"/>
        <w:spacing w:after="0" w:line="26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6" w:lineRule="exact"/>
        <w:rPr>
          <w:rFonts w:ascii="Times New Roman" w:cs="Times New Roman" w:eastAsia="Times New Roman" w:hAnsi="Times New Roman"/>
          <w:sz w:val="18"/>
          <w:szCs w:val="18"/>
          <w:color w:val="auto"/>
        </w:rPr>
      </w:pPr>
    </w:p>
    <w:p>
      <w:pPr>
        <w:ind w:left="1380" w:right="20" w:hanging="575"/>
        <w:spacing w:after="0" w:line="289"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212" w:lineRule="exact"/>
        <w:rPr>
          <w:rFonts w:ascii="Times New Roman" w:cs="Times New Roman" w:eastAsia="Times New Roman" w:hAnsi="Times New Roman"/>
          <w:sz w:val="16"/>
          <w:szCs w:val="16"/>
          <w:color w:val="auto"/>
        </w:rPr>
      </w:pPr>
    </w:p>
    <w:p>
      <w:pPr>
        <w:ind w:left="1940" w:right="100" w:hanging="568"/>
        <w:spacing w:after="0" w:line="26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6" w:lineRule="exact"/>
        <w:rPr>
          <w:rFonts w:ascii="Times New Roman" w:cs="Times New Roman" w:eastAsia="Times New Roman" w:hAnsi="Times New Roman"/>
          <w:sz w:val="18"/>
          <w:szCs w:val="18"/>
          <w:color w:val="auto"/>
        </w:rPr>
      </w:pPr>
    </w:p>
    <w:p>
      <w:pPr>
        <w:ind w:left="1940" w:right="220" w:hanging="568"/>
        <w:spacing w:after="0" w:line="26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940" w:right="80" w:hanging="568"/>
        <w:spacing w:after="0" w:line="26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86" w:lineRule="exact"/>
        <w:rPr>
          <w:rFonts w:ascii="Times New Roman" w:cs="Times New Roman" w:eastAsia="Times New Roman" w:hAnsi="Times New Roman"/>
          <w:sz w:val="18"/>
          <w:szCs w:val="18"/>
          <w:color w:val="auto"/>
        </w:rPr>
      </w:pPr>
    </w:p>
    <w:p>
      <w:pPr>
        <w:ind w:left="1940" w:right="80" w:hanging="568"/>
        <w:spacing w:after="0" w:line="26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1380" w:right="100" w:hanging="575"/>
        <w:spacing w:after="0" w:line="339"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Times New Roman" w:cs="Times New Roman" w:eastAsia="Times New Roman" w:hAnsi="Times New Roman"/>
          <w:sz w:val="16"/>
          <w:szCs w:val="16"/>
          <w:color w:val="auto"/>
        </w:rPr>
      </w:pPr>
    </w:p>
    <w:p>
      <w:pPr>
        <w:ind w:left="1940" w:right="280" w:hanging="568"/>
        <w:spacing w:after="0" w:line="339" w:lineRule="auto"/>
        <w:tabs>
          <w:tab w:leader="none" w:pos="19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Times New Roman" w:cs="Times New Roman" w:eastAsia="Times New Roman" w:hAnsi="Times New Roman"/>
          <w:sz w:val="16"/>
          <w:szCs w:val="16"/>
          <w:color w:val="auto"/>
        </w:rPr>
      </w:pPr>
    </w:p>
    <w:p>
      <w:pPr>
        <w:ind w:left="1940" w:right="500" w:hanging="568"/>
        <w:spacing w:after="0" w:line="275"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8, 2008</w:t>
            </w:r>
          </w:p>
        </w:tc>
        <w:tc>
          <w:tcPr>
            <w:tcW w:w="66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By:/s/ Bruce D. Hertzke</w:t>
            </w:r>
          </w:p>
        </w:tc>
        <w:tc>
          <w:tcPr>
            <w:tcW w:w="148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29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Bruce D. Hertzke</w:t>
            </w:r>
          </w:p>
        </w:tc>
        <w:tc>
          <w:tcPr>
            <w:tcW w:w="1480" w:type="dxa"/>
            <w:vAlign w:val="bottom"/>
          </w:tcPr>
          <w:p>
            <w:pPr>
              <w:spacing w:after="0"/>
              <w:rPr>
                <w:sz w:val="17"/>
                <w:szCs w:val="17"/>
                <w:color w:val="auto"/>
              </w:rPr>
            </w:pPr>
          </w:p>
        </w:tc>
      </w:tr>
      <w:tr>
        <w:trPr>
          <w:trHeight w:val="228"/>
        </w:trPr>
        <w:tc>
          <w:tcPr>
            <w:tcW w:w="1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80" w:type="dxa"/>
            <w:vAlign w:val="bottom"/>
          </w:tcPr>
          <w:p>
            <w:pPr>
              <w:spacing w:after="0"/>
              <w:rPr>
                <w:sz w:val="19"/>
                <w:szCs w:val="19"/>
                <w:color w:val="auto"/>
              </w:rPr>
            </w:pPr>
          </w:p>
        </w:tc>
      </w:tr>
      <w:tr>
        <w:trPr>
          <w:trHeight w:val="377"/>
        </w:trPr>
        <w:tc>
          <w:tcPr>
            <w:tcW w:w="1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N. Nielsen, Chief Financial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Winnebago Industries, Inc. (“the Registrant”);</w:t>
      </w:r>
    </w:p>
    <w:p>
      <w:pPr>
        <w:spacing w:after="0" w:line="225" w:lineRule="exact"/>
        <w:rPr>
          <w:rFonts w:ascii="Times New Roman" w:cs="Times New Roman" w:eastAsia="Times New Roman" w:hAnsi="Times New Roman"/>
          <w:sz w:val="18"/>
          <w:szCs w:val="18"/>
          <w:color w:val="auto"/>
        </w:rPr>
      </w:pPr>
    </w:p>
    <w:p>
      <w:pPr>
        <w:ind w:left="1380" w:right="140" w:hanging="575"/>
        <w:spacing w:after="0" w:line="26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6" w:lineRule="exact"/>
        <w:rPr>
          <w:rFonts w:ascii="Times New Roman" w:cs="Times New Roman" w:eastAsia="Times New Roman" w:hAnsi="Times New Roman"/>
          <w:sz w:val="18"/>
          <w:szCs w:val="18"/>
          <w:color w:val="auto"/>
        </w:rPr>
      </w:pPr>
    </w:p>
    <w:p>
      <w:pPr>
        <w:ind w:left="1380" w:right="360" w:hanging="575"/>
        <w:spacing w:after="0" w:line="26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6" w:lineRule="exact"/>
        <w:rPr>
          <w:rFonts w:ascii="Times New Roman" w:cs="Times New Roman" w:eastAsia="Times New Roman" w:hAnsi="Times New Roman"/>
          <w:sz w:val="18"/>
          <w:szCs w:val="18"/>
          <w:color w:val="auto"/>
        </w:rPr>
      </w:pPr>
    </w:p>
    <w:p>
      <w:pPr>
        <w:ind w:left="1380" w:right="20" w:hanging="575"/>
        <w:spacing w:after="0" w:line="289"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212" w:lineRule="exact"/>
        <w:rPr>
          <w:rFonts w:ascii="Times New Roman" w:cs="Times New Roman" w:eastAsia="Times New Roman" w:hAnsi="Times New Roman"/>
          <w:sz w:val="16"/>
          <w:szCs w:val="16"/>
          <w:color w:val="auto"/>
        </w:rPr>
      </w:pPr>
    </w:p>
    <w:p>
      <w:pPr>
        <w:ind w:left="1940" w:right="100" w:hanging="568"/>
        <w:spacing w:after="0" w:line="262" w:lineRule="auto"/>
        <w:tabs>
          <w:tab w:leader="none" w:pos="1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6" w:lineRule="exact"/>
        <w:rPr>
          <w:rFonts w:ascii="Times New Roman" w:cs="Times New Roman" w:eastAsia="Times New Roman" w:hAnsi="Times New Roman"/>
          <w:sz w:val="18"/>
          <w:szCs w:val="18"/>
          <w:color w:val="auto"/>
        </w:rPr>
      </w:pPr>
    </w:p>
    <w:p>
      <w:pPr>
        <w:ind w:left="1940" w:right="220" w:hanging="568"/>
        <w:spacing w:after="0" w:line="262" w:lineRule="auto"/>
        <w:tabs>
          <w:tab w:leader="none" w:pos="1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940" w:right="80" w:hanging="568"/>
        <w:spacing w:after="0" w:line="262" w:lineRule="auto"/>
        <w:tabs>
          <w:tab w:leader="none" w:pos="1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86" w:lineRule="exact"/>
        <w:rPr>
          <w:rFonts w:ascii="Times New Roman" w:cs="Times New Roman" w:eastAsia="Times New Roman" w:hAnsi="Times New Roman"/>
          <w:sz w:val="18"/>
          <w:szCs w:val="18"/>
          <w:color w:val="auto"/>
        </w:rPr>
      </w:pPr>
    </w:p>
    <w:p>
      <w:pPr>
        <w:ind w:left="1940" w:right="80" w:hanging="568"/>
        <w:spacing w:after="0" w:line="262" w:lineRule="auto"/>
        <w:tabs>
          <w:tab w:leader="none" w:pos="1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1380" w:right="100" w:hanging="575"/>
        <w:spacing w:after="0" w:line="339"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Times New Roman" w:cs="Times New Roman" w:eastAsia="Times New Roman" w:hAnsi="Times New Roman"/>
          <w:sz w:val="16"/>
          <w:szCs w:val="16"/>
          <w:color w:val="auto"/>
        </w:rPr>
      </w:pPr>
    </w:p>
    <w:p>
      <w:pPr>
        <w:ind w:left="1940" w:right="280" w:hanging="568"/>
        <w:spacing w:after="0" w:line="339" w:lineRule="auto"/>
        <w:tabs>
          <w:tab w:leader="none" w:pos="19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Times New Roman" w:cs="Times New Roman" w:eastAsia="Times New Roman" w:hAnsi="Times New Roman"/>
          <w:sz w:val="16"/>
          <w:szCs w:val="16"/>
          <w:color w:val="auto"/>
        </w:rPr>
      </w:pPr>
    </w:p>
    <w:p>
      <w:pPr>
        <w:ind w:left="1940" w:right="500" w:hanging="568"/>
        <w:spacing w:after="0" w:line="275" w:lineRule="auto"/>
        <w:tabs>
          <w:tab w:leader="none" w:pos="1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8, 2008</w:t>
            </w:r>
          </w:p>
        </w:tc>
        <w:tc>
          <w:tcPr>
            <w:tcW w:w="662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By:  /s/ Sarah N. Nielsen</w:t>
            </w:r>
          </w:p>
        </w:tc>
        <w:tc>
          <w:tcPr>
            <w:tcW w:w="148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29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Sarah N. Nielsen</w:t>
            </w:r>
          </w:p>
        </w:tc>
        <w:tc>
          <w:tcPr>
            <w:tcW w:w="1480" w:type="dxa"/>
            <w:vAlign w:val="bottom"/>
          </w:tcPr>
          <w:p>
            <w:pPr>
              <w:spacing w:after="0"/>
              <w:rPr>
                <w:sz w:val="17"/>
                <w:szCs w:val="17"/>
                <w:color w:val="auto"/>
              </w:rPr>
            </w:pPr>
          </w:p>
        </w:tc>
      </w:tr>
      <w:tr>
        <w:trPr>
          <w:trHeight w:val="228"/>
        </w:trPr>
        <w:tc>
          <w:tcPr>
            <w:tcW w:w="1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80" w:type="dxa"/>
            <w:vAlign w:val="bottom"/>
          </w:tcPr>
          <w:p>
            <w:pPr>
              <w:spacing w:after="0"/>
              <w:rPr>
                <w:sz w:val="19"/>
                <w:szCs w:val="19"/>
                <w:color w:val="auto"/>
              </w:rPr>
            </w:pPr>
          </w:p>
        </w:tc>
      </w:tr>
      <w:tr>
        <w:trPr>
          <w:trHeight w:val="377"/>
        </w:trPr>
        <w:tc>
          <w:tcPr>
            <w:tcW w:w="1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1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 Bruce D. Hertzke, Chairman of the Board and Chief Executive Officer of Winnebago Industries, Inc., certifies that pursuant to 18 U.S.C. §1350 as adopted pursuant to §906 of the Sarbanes-Oxley Act of 2002, that:</w:t>
      </w:r>
    </w:p>
    <w:p>
      <w:pPr>
        <w:spacing w:after="0" w:line="174" w:lineRule="exact"/>
        <w:rPr>
          <w:sz w:val="20"/>
          <w:szCs w:val="20"/>
          <w:color w:val="auto"/>
        </w:rPr>
      </w:pPr>
    </w:p>
    <w:p>
      <w:pPr>
        <w:ind w:left="1380" w:right="80" w:hanging="575"/>
        <w:spacing w:after="0" w:line="26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on Form 10-Q (“periodic report”) of Winnebago Industries, Inc. (the “issuer”), for the quarter ended December 1, 2007 as filed with the Securities and Exchange Commission on the date of this certificate, which this statement accompanies, fully complies with the requirements of Section 13(a) or 15(d) of the Securities Exchange Act of 1934, and</w:t>
      </w:r>
    </w:p>
    <w:p>
      <w:pPr>
        <w:spacing w:after="0" w:line="186" w:lineRule="exact"/>
        <w:rPr>
          <w:rFonts w:ascii="Times New Roman" w:cs="Times New Roman" w:eastAsia="Times New Roman" w:hAnsi="Times New Roman"/>
          <w:sz w:val="18"/>
          <w:szCs w:val="18"/>
          <w:color w:val="auto"/>
        </w:rPr>
      </w:pPr>
    </w:p>
    <w:p>
      <w:pPr>
        <w:ind w:left="1380" w:right="200" w:hanging="575"/>
        <w:spacing w:after="0" w:line="275"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8, 2008</w:t>
            </w:r>
          </w:p>
        </w:tc>
        <w:tc>
          <w:tcPr>
            <w:tcW w:w="66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By:/s/ Bruce D. Hertzke</w:t>
            </w:r>
          </w:p>
        </w:tc>
        <w:tc>
          <w:tcPr>
            <w:tcW w:w="148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29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Bruce D. Hertzke</w:t>
            </w:r>
          </w:p>
        </w:tc>
        <w:tc>
          <w:tcPr>
            <w:tcW w:w="1480" w:type="dxa"/>
            <w:vAlign w:val="bottom"/>
          </w:tcPr>
          <w:p>
            <w:pPr>
              <w:spacing w:after="0"/>
              <w:rPr>
                <w:sz w:val="17"/>
                <w:szCs w:val="17"/>
                <w:color w:val="auto"/>
              </w:rPr>
            </w:pPr>
          </w:p>
        </w:tc>
      </w:tr>
      <w:tr>
        <w:trPr>
          <w:trHeight w:val="228"/>
        </w:trPr>
        <w:tc>
          <w:tcPr>
            <w:tcW w:w="1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80" w:type="dxa"/>
            <w:vAlign w:val="bottom"/>
          </w:tcPr>
          <w:p>
            <w:pPr>
              <w:spacing w:after="0"/>
              <w:rPr>
                <w:sz w:val="19"/>
                <w:szCs w:val="19"/>
                <w:color w:val="auto"/>
              </w:rPr>
            </w:pPr>
          </w:p>
        </w:tc>
      </w:tr>
      <w:tr>
        <w:trPr>
          <w:trHeight w:val="1835"/>
        </w:trPr>
        <w:tc>
          <w:tcPr>
            <w:tcW w:w="1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Sarah N. Nielsen, Chief Financial Officer of Winnebago Industries, Inc., certifies that pursuant to 18 U.S.C. §1350 as adopted pursuant to §906 of the Sarbanes-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w:t>
      </w:r>
    </w:p>
    <w:p>
      <w:pPr>
        <w:spacing w:after="0" w:line="213" w:lineRule="exact"/>
        <w:rPr>
          <w:sz w:val="20"/>
          <w:szCs w:val="20"/>
          <w:color w:val="auto"/>
        </w:rPr>
      </w:pPr>
    </w:p>
    <w:p>
      <w:pPr>
        <w:ind w:left="1380" w:right="80" w:hanging="575"/>
        <w:spacing w:after="0" w:line="26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on Form 10-Q (“periodic report”) of Winnebago Industries, Inc. (the “issuer”), for the quarter ended December 1, 2007 as filed with the Securities and Exchange Commission on the date of this certificate, which this statement accompanies, fully complies with the requirements of Section 13(a) or 15(d) of the Securities Exchange Act of 1934, and</w:t>
      </w:r>
    </w:p>
    <w:p>
      <w:pPr>
        <w:spacing w:after="0" w:line="186" w:lineRule="exact"/>
        <w:rPr>
          <w:rFonts w:ascii="Times New Roman" w:cs="Times New Roman" w:eastAsia="Times New Roman" w:hAnsi="Times New Roman"/>
          <w:sz w:val="18"/>
          <w:szCs w:val="18"/>
          <w:color w:val="auto"/>
        </w:rPr>
      </w:pPr>
    </w:p>
    <w:p>
      <w:pPr>
        <w:ind w:left="1380" w:right="200" w:hanging="575"/>
        <w:spacing w:after="0" w:line="275"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8, 2008</w:t>
            </w:r>
          </w:p>
        </w:tc>
        <w:tc>
          <w:tcPr>
            <w:tcW w:w="662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By:  /s/ Sarah N. Nielsen</w:t>
            </w:r>
          </w:p>
        </w:tc>
        <w:tc>
          <w:tcPr>
            <w:tcW w:w="148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29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Sarah N. Nielsen</w:t>
            </w:r>
          </w:p>
        </w:tc>
        <w:tc>
          <w:tcPr>
            <w:tcW w:w="1480" w:type="dxa"/>
            <w:vAlign w:val="bottom"/>
          </w:tcPr>
          <w:p>
            <w:pPr>
              <w:spacing w:after="0"/>
              <w:rPr>
                <w:sz w:val="17"/>
                <w:szCs w:val="17"/>
                <w:color w:val="auto"/>
              </w:rPr>
            </w:pPr>
          </w:p>
        </w:tc>
      </w:tr>
      <w:tr>
        <w:trPr>
          <w:trHeight w:val="228"/>
        </w:trPr>
        <w:tc>
          <w:tcPr>
            <w:tcW w:w="1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80" w:type="dxa"/>
            <w:vAlign w:val="bottom"/>
          </w:tcPr>
          <w:p>
            <w:pPr>
              <w:spacing w:after="0"/>
              <w:rPr>
                <w:sz w:val="19"/>
                <w:szCs w:val="19"/>
                <w:color w:val="auto"/>
              </w:rPr>
            </w:pPr>
          </w:p>
        </w:tc>
      </w:tr>
      <w:tr>
        <w:trPr>
          <w:trHeight w:val="1835"/>
        </w:trPr>
        <w:tc>
          <w:tcPr>
            <w:tcW w:w="1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0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5"/>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2019-12-13T08:28:08Z</dcterms:created>
  <dcterms:modified xsi:type="dcterms:W3CDTF">2019-12-13T08:28:08Z</dcterms:modified>
</cp:coreProperties>
</file>