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ind w:right="-7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December 10,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1060" w:type="dxa"/>
        <w:tblCellMar>
          <w:top w:w="0" w:type="dxa"/>
          <w:left w:w="0" w:type="dxa"/>
          <w:bottom w:w="0" w:type="dxa"/>
          <w:right w:w="0" w:type="dxa"/>
        </w:tblCellMar>
      </w:tblPr>
      <w:tr>
        <w:trPr>
          <w:trHeight w:val="262"/>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Iowa</w:t>
            </w:r>
          </w:p>
        </w:tc>
        <w:tc>
          <w:tcPr>
            <w:tcW w:w="2960" w:type="dxa"/>
            <w:vAlign w:val="bottom"/>
          </w:tcPr>
          <w:p>
            <w:pPr>
              <w:jc w:val="right"/>
              <w:ind w:right="1002"/>
              <w:spacing w:after="0"/>
              <w:rPr>
                <w:sz w:val="20"/>
                <w:szCs w:val="20"/>
                <w:color w:val="auto"/>
              </w:rPr>
            </w:pPr>
            <w:r>
              <w:rPr>
                <w:rFonts w:ascii="Arial" w:cs="Arial" w:eastAsia="Arial" w:hAnsi="Arial"/>
                <w:sz w:val="22"/>
                <w:szCs w:val="22"/>
                <w:b w:val="1"/>
                <w:bCs w:val="1"/>
                <w:color w:val="auto"/>
              </w:rPr>
              <w:t>001-06403</w:t>
            </w:r>
          </w:p>
        </w:tc>
        <w:tc>
          <w:tcPr>
            <w:tcW w:w="2300" w:type="dxa"/>
            <w:vAlign w:val="bottom"/>
          </w:tcPr>
          <w:p>
            <w:pPr>
              <w:jc w:val="right"/>
              <w:ind w:right="22"/>
              <w:spacing w:after="0"/>
              <w:rPr>
                <w:sz w:val="20"/>
                <w:szCs w:val="20"/>
                <w:color w:val="auto"/>
              </w:rPr>
            </w:pPr>
            <w:r>
              <w:rPr>
                <w:rFonts w:ascii="Arial" w:cs="Arial" w:eastAsia="Arial" w:hAnsi="Arial"/>
                <w:sz w:val="22"/>
                <w:szCs w:val="22"/>
                <w:b w:val="1"/>
                <w:bCs w:val="1"/>
                <w:color w:val="auto"/>
              </w:rPr>
              <w:t>42-0802678</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89"/>
              </w:rPr>
              <w:t>(State or other jurisdiction</w:t>
            </w:r>
          </w:p>
        </w:tc>
        <w:tc>
          <w:tcPr>
            <w:tcW w:w="2960" w:type="dxa"/>
            <w:vAlign w:val="bottom"/>
          </w:tcPr>
          <w:p>
            <w:pPr>
              <w:jc w:val="center"/>
              <w:ind w:right="82"/>
              <w:spacing w:after="0"/>
              <w:rPr>
                <w:sz w:val="20"/>
                <w:szCs w:val="20"/>
                <w:color w:val="auto"/>
              </w:rPr>
            </w:pPr>
            <w:r>
              <w:rPr>
                <w:rFonts w:ascii="Arial" w:cs="Arial" w:eastAsia="Arial" w:hAnsi="Arial"/>
                <w:sz w:val="18"/>
                <w:szCs w:val="18"/>
                <w:color w:val="auto"/>
                <w:w w:val="90"/>
              </w:rPr>
              <w:t>(Commission File Number)</w:t>
            </w: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0"/>
              </w:rPr>
              <w:t>(IRS Employer</w:t>
            </w:r>
          </w:p>
        </w:tc>
      </w:tr>
      <w:tr>
        <w:trPr>
          <w:trHeight w:val="230"/>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2"/>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2"/>
              </w:rPr>
              <w:t>Identification No.)</w:t>
            </w:r>
          </w:p>
        </w:tc>
      </w:tr>
      <w:tr>
        <w:trPr>
          <w:trHeight w:val="466"/>
        </w:trPr>
        <w:tc>
          <w:tcPr>
            <w:tcW w:w="3300" w:type="dxa"/>
            <w:vAlign w:val="bottom"/>
          </w:tcPr>
          <w:p>
            <w:pPr>
              <w:jc w:val="center"/>
              <w:ind w:right="322"/>
              <w:spacing w:after="0"/>
              <w:rPr>
                <w:sz w:val="20"/>
                <w:szCs w:val="20"/>
                <w:color w:val="auto"/>
              </w:rPr>
            </w:pPr>
            <w:r>
              <w:rPr>
                <w:rFonts w:ascii="Arial" w:cs="Arial" w:eastAsia="Arial" w:hAnsi="Arial"/>
                <w:sz w:val="22"/>
                <w:szCs w:val="22"/>
                <w:b w:val="1"/>
                <w:bCs w:val="1"/>
                <w:color w:val="auto"/>
                <w:w w:val="89"/>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300" w:type="dxa"/>
            <w:vAlign w:val="bottom"/>
          </w:tcPr>
          <w:p>
            <w:pPr>
              <w:jc w:val="center"/>
              <w:ind w:right="322"/>
              <w:spacing w:after="0"/>
              <w:rPr>
                <w:sz w:val="20"/>
                <w:szCs w:val="20"/>
                <w:color w:val="auto"/>
              </w:rPr>
            </w:pPr>
            <w:r>
              <w:rPr>
                <w:rFonts w:ascii="Arial" w:cs="Arial" w:eastAsia="Arial" w:hAnsi="Arial"/>
                <w:sz w:val="18"/>
                <w:szCs w:val="18"/>
                <w:color w:val="auto"/>
                <w:w w:val="90"/>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Arial" w:cs="Arial" w:eastAsia="Arial" w:hAnsi="Arial"/>
                <w:sz w:val="18"/>
                <w:szCs w:val="18"/>
                <w:color w:val="auto"/>
                <w:w w:val="91"/>
              </w:rPr>
              <w:t>(Zip Code)</w:t>
            </w:r>
          </w:p>
        </w:tc>
      </w:tr>
      <w:tr>
        <w:trPr>
          <w:trHeight w:val="471"/>
        </w:trPr>
        <w:tc>
          <w:tcPr>
            <w:tcW w:w="6260" w:type="dxa"/>
            <w:vAlign w:val="bottom"/>
            <w:gridSpan w:val="2"/>
          </w:tcPr>
          <w:p>
            <w:pPr>
              <w:ind w:left="1720"/>
              <w:spacing w:after="0"/>
              <w:rPr>
                <w:sz w:val="20"/>
                <w:szCs w:val="20"/>
                <w:color w:val="auto"/>
              </w:rPr>
            </w:pPr>
            <w:r>
              <w:rPr>
                <w:rFonts w:ascii="Arial" w:cs="Arial" w:eastAsia="Arial" w:hAnsi="Arial"/>
                <w:sz w:val="22"/>
                <w:szCs w:val="22"/>
                <w:color w:val="auto"/>
                <w:w w:val="89"/>
              </w:rPr>
              <w:t>Registrant’s telephone number, including area code</w:t>
            </w:r>
          </w:p>
        </w:tc>
        <w:tc>
          <w:tcPr>
            <w:tcW w:w="2300" w:type="dxa"/>
            <w:vAlign w:val="bottom"/>
          </w:tcPr>
          <w:p>
            <w:pPr>
              <w:jc w:val="right"/>
              <w:ind w:right="86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210820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500" w:hanging="492"/>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500" w:hanging="492"/>
        <w:spacing w:after="0"/>
        <w:tabs>
          <w:tab w:leader="none" w:pos="5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25" w:lineRule="exact"/>
        <w:rPr>
          <w:sz w:val="24"/>
          <w:szCs w:val="24"/>
          <w:color w:val="auto"/>
        </w:rPr>
      </w:pPr>
    </w:p>
    <w:p>
      <w:pPr>
        <w:spacing w:after="0" w:line="298" w:lineRule="auto"/>
        <w:rPr>
          <w:sz w:val="20"/>
          <w:szCs w:val="20"/>
          <w:color w:val="auto"/>
        </w:rPr>
      </w:pPr>
      <w:r>
        <w:rPr>
          <w:rFonts w:ascii="Arial" w:cs="Arial" w:eastAsia="Arial" w:hAnsi="Arial"/>
          <w:sz w:val="16"/>
          <w:szCs w:val="16"/>
          <w:color w:val="auto"/>
        </w:rPr>
        <w:t>Winnebago Industries, Inc. (Winnebago Industries) is filing herewith a press release issued on December 10, 2009, as Exhibit 99.1 which is included herein. The press release was issued to report that on December 17, 2009, Winnebago Industries anticipates announcing its financial results for the first quarter of fiscal 2010 ended November 28, 2009. In connection with the announcement, Winnebago Industries will host a conference call on December 17, 2009 at 9:00 a.m. Central time. Details regarding the conference call are contained in the press release included herein.</w:t>
      </w:r>
    </w:p>
    <w:p>
      <w:pPr>
        <w:spacing w:after="0" w:line="148"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ind w:left="440" w:hanging="391"/>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5"/>
          <w:szCs w:val="15"/>
          <w:b w:val="1"/>
          <w:bCs w:val="1"/>
          <w:color w:val="auto"/>
        </w:rPr>
        <w:t>Description</w:t>
      </w:r>
    </w:p>
    <w:p>
      <w:pPr>
        <w:spacing w:after="0" w:line="165" w:lineRule="exact"/>
        <w:rPr>
          <w:sz w:val="24"/>
          <w:szCs w:val="24"/>
          <w:color w:val="auto"/>
        </w:rPr>
      </w:pPr>
    </w:p>
    <w:p>
      <w:pPr>
        <w:ind w:left="720"/>
        <w:spacing w:after="0"/>
        <w:tabs>
          <w:tab w:leader="none" w:pos="1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10, 2009.</w:t>
      </w:r>
    </w:p>
    <w:p>
      <w:pPr>
        <w:spacing w:after="0" w:line="3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4" w:lineRule="exact"/>
        <w:rPr>
          <w:sz w:val="24"/>
          <w:szCs w:val="24"/>
          <w:color w:val="auto"/>
        </w:rPr>
      </w:pPr>
    </w:p>
    <w:p>
      <w:pPr>
        <w:spacing w:after="0"/>
        <w:tabs>
          <w:tab w:leader="none" w:pos="5880" w:val="left"/>
        </w:tabs>
        <w:rPr>
          <w:sz w:val="20"/>
          <w:szCs w:val="20"/>
          <w:color w:val="auto"/>
        </w:rPr>
      </w:pPr>
      <w:r>
        <w:rPr>
          <w:rFonts w:ascii="Arial" w:cs="Arial" w:eastAsia="Arial" w:hAnsi="Arial"/>
          <w:sz w:val="18"/>
          <w:szCs w:val="18"/>
          <w:color w:val="auto"/>
        </w:rPr>
        <w:t>Dated: December 10, 2009</w:t>
      </w:r>
      <w:r>
        <w:rPr>
          <w:sz w:val="20"/>
          <w:szCs w:val="20"/>
          <w:color w:val="auto"/>
        </w:rPr>
        <w:tab/>
      </w:r>
      <w:r>
        <w:rPr>
          <w:rFonts w:ascii="Arial" w:cs="Arial" w:eastAsia="Arial" w:hAnsi="Arial"/>
          <w:sz w:val="16"/>
          <w:szCs w:val="16"/>
          <w:color w:val="auto"/>
        </w:rPr>
        <w:t>WINNEBAGO INDUSTRIES,INC.</w:t>
      </w:r>
    </w:p>
    <w:p>
      <w:pPr>
        <w:sectPr>
          <w:pgSz w:w="11900" w:h="16880" w:orient="portrait"/>
          <w:cols w:equalWidth="0" w:num="1">
            <w:col w:w="11340"/>
          </w:cols>
          <w:pgMar w:left="240" w:top="786" w:right="319" w:bottom="0" w:gutter="0" w:footer="0" w:header="0"/>
        </w:sectPr>
      </w:pPr>
    </w:p>
    <w:bookmarkStart w:id="1" w:name="page2"/>
    <w:bookmarkEnd w:id="1"/>
    <w:tbl>
      <w:tblPr>
        <w:tblLayout w:type="fixed"/>
        <w:tblInd w:w="53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21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680" w:type="dxa"/>
            <w:vAlign w:val="bottom"/>
          </w:tcPr>
          <w:p>
            <w:pPr>
              <w:spacing w:after="0"/>
              <w:rPr>
                <w:sz w:val="20"/>
                <w:szCs w:val="20"/>
                <w:color w:val="auto"/>
              </w:rPr>
            </w:pPr>
            <w:r>
              <w:rPr>
                <w:rFonts w:ascii="Arial" w:cs="Arial" w:eastAsia="Arial" w:hAnsi="Arial"/>
                <w:sz w:val="18"/>
                <w:szCs w:val="18"/>
                <w:color w:val="auto"/>
              </w:rPr>
              <w:t>Robert J. Olson</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6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EXHIBIT INDEX</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65" w:lineRule="exact"/>
        <w:rPr>
          <w:sz w:val="20"/>
          <w:szCs w:val="20"/>
          <w:color w:val="auto"/>
        </w:rPr>
      </w:pPr>
    </w:p>
    <w:p>
      <w:pPr>
        <w:ind w:left="1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326390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720"/>
          </w:cols>
          <w:pgMar w:left="800" w:top="361" w:right="137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Sheila Davis, PR/IR Manager - 641-585-6803</w:t>
      </w:r>
    </w:p>
    <w:p>
      <w:pPr>
        <w:spacing w:after="0" w:line="206"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WINNEBAGO INDUSTRIES ANNOUNCES FIRST QUARTER OF FISCAL 2010 FINANCIAL RESULTS CONFERENCE CALL TO BE HELD ON DECEMBER 17, 2009</w:t>
      </w:r>
    </w:p>
    <w:p>
      <w:pPr>
        <w:spacing w:after="0" w:line="1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FOREST CITY, IOWA, December 10, 2009 – Winnebago Industries, Inc. (NYSE: WGO), the nation’s top-selling motor home manufacturer, will host a conference call on Thursday, December 17, 2009 at 9 a.m. Central Time (CT) to discuss the financial results for its first quarter of fiscal 2010 ended November 28, 2009. The Company will release its financial results on December 17, 2009 at 6:00 a.m. CT.</w:t>
      </w:r>
    </w:p>
    <w:p>
      <w:pPr>
        <w:spacing w:after="0" w:line="19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 xml:space="preserve">Winnebago Industries’ conference call may be heard live via the Company’s website,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xml:space="preserve">. The event will be archived and available for replay for the next 90 days. To access the replay, click on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 cast: either Windows Media Player or RealPlayer and at least a 28.8 Kbps connection to the Internet. The Windows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Winnebago Industries, Inc. is the nation’s top-selling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1398270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2019-12-10T02:58:39Z</dcterms:created>
  <dcterms:modified xsi:type="dcterms:W3CDTF">2019-12-10T02:58:39Z</dcterms:modified>
</cp:coreProperties>
</file>