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135255</wp:posOffset>
            </wp:positionH>
            <wp:positionV relativeFrom="page">
              <wp:posOffset>459105</wp:posOffset>
            </wp:positionV>
            <wp:extent cx="729107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1070" cy="5715"/>
                    </a:xfrm>
                    <a:prstGeom prst="rect">
                      <a:avLst/>
                    </a:prstGeom>
                    <a:noFill/>
                  </pic:spPr>
                </pic:pic>
              </a:graphicData>
            </a:graphic>
          </wp:anchor>
        </w:drawing>
        <w:drawing>
          <wp:anchor simplePos="0" relativeHeight="251657728" behindDoc="1" locked="0" layoutInCell="0" allowOverlap="1">
            <wp:simplePos x="0" y="0"/>
            <wp:positionH relativeFrom="page">
              <wp:posOffset>135255</wp:posOffset>
            </wp:positionH>
            <wp:positionV relativeFrom="page">
              <wp:posOffset>389255</wp:posOffset>
            </wp:positionV>
            <wp:extent cx="72910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1070" cy="17145"/>
                    </a:xfrm>
                    <a:prstGeom prst="rect">
                      <a:avLst/>
                    </a:prstGeom>
                    <a:noFill/>
                  </pic:spPr>
                </pic:pic>
              </a:graphicData>
            </a:graphic>
          </wp:anchor>
        </w:drawing>
        <w:t>UNITED STATES</w:t>
      </w:r>
    </w:p>
    <w:p>
      <w:pPr>
        <w:spacing w:after="0" w:line="25" w:lineRule="exact"/>
        <w:rPr>
          <w:sz w:val="24"/>
          <w:szCs w:val="24"/>
          <w:color w:val="auto"/>
        </w:rPr>
      </w:pPr>
    </w:p>
    <w:p>
      <w:pPr>
        <w:jc w:val="center"/>
        <w:ind w:right="-106"/>
        <w:spacing w:after="0"/>
        <w:rPr>
          <w:sz w:val="20"/>
          <w:szCs w:val="20"/>
          <w:color w:val="auto"/>
        </w:rPr>
      </w:pPr>
      <w:r>
        <w:rPr>
          <w:rFonts w:ascii="Arial" w:cs="Arial" w:eastAsia="Arial" w:hAnsi="Arial"/>
          <w:sz w:val="17"/>
          <w:szCs w:val="17"/>
          <w:b w:val="1"/>
          <w:bCs w:val="1"/>
          <w:color w:val="auto"/>
        </w:rPr>
        <w:t>SECURITIES AND EXCHANGE COMMISSION</w:t>
      </w:r>
    </w:p>
    <w:p>
      <w:pPr>
        <w:spacing w:after="0" w:line="1" w:lineRule="exact"/>
        <w:rPr>
          <w:sz w:val="24"/>
          <w:szCs w:val="24"/>
          <w:color w:val="auto"/>
        </w:rPr>
      </w:pPr>
    </w:p>
    <w:p>
      <w:pPr>
        <w:jc w:val="center"/>
        <w:ind w:right="-106"/>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3185795</wp:posOffset>
            </wp:positionH>
            <wp:positionV relativeFrom="paragraph">
              <wp:posOffset>154940</wp:posOffset>
            </wp:positionV>
            <wp:extent cx="925195"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25195" cy="11430"/>
                    </a:xfrm>
                    <a:prstGeom prst="rect">
                      <a:avLst/>
                    </a:prstGeom>
                    <a:noFill/>
                  </pic:spPr>
                </pic:pic>
              </a:graphicData>
            </a:graphic>
          </wp:anchor>
        </w:drawing>
      </w:r>
    </w:p>
    <w:p>
      <w:pPr>
        <w:spacing w:after="0" w:line="385" w:lineRule="exact"/>
        <w:rPr>
          <w:sz w:val="24"/>
          <w:szCs w:val="24"/>
          <w:color w:val="auto"/>
        </w:rPr>
      </w:pPr>
    </w:p>
    <w:p>
      <w:pPr>
        <w:jc w:val="center"/>
        <w:ind w:right="-106"/>
        <w:spacing w:after="0"/>
        <w:rPr>
          <w:sz w:val="20"/>
          <w:szCs w:val="20"/>
          <w:color w:val="auto"/>
        </w:rPr>
      </w:pPr>
      <w:r>
        <w:rPr>
          <w:rFonts w:ascii="Arial" w:cs="Arial" w:eastAsia="Arial" w:hAnsi="Arial"/>
          <w:sz w:val="24"/>
          <w:szCs w:val="2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3185795</wp:posOffset>
            </wp:positionH>
            <wp:positionV relativeFrom="paragraph">
              <wp:posOffset>133350</wp:posOffset>
            </wp:positionV>
            <wp:extent cx="925195"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25195" cy="11430"/>
                    </a:xfrm>
                    <a:prstGeom prst="rect">
                      <a:avLst/>
                    </a:prstGeom>
                    <a:noFill/>
                  </pic:spPr>
                </pic:pic>
              </a:graphicData>
            </a:graphic>
          </wp:anchor>
        </w:drawing>
      </w:r>
    </w:p>
    <w:p>
      <w:pPr>
        <w:spacing w:after="0" w:line="367" w:lineRule="exact"/>
        <w:rPr>
          <w:sz w:val="24"/>
          <w:szCs w:val="24"/>
          <w:color w:val="auto"/>
        </w:rPr>
      </w:pPr>
    </w:p>
    <w:p>
      <w:pPr>
        <w:jc w:val="center"/>
        <w:ind w:right="-106"/>
        <w:spacing w:after="0"/>
        <w:rPr>
          <w:sz w:val="20"/>
          <w:szCs w:val="20"/>
          <w:color w:val="auto"/>
        </w:rPr>
      </w:pPr>
      <w:r>
        <w:rPr>
          <w:rFonts w:ascii="Arial" w:cs="Arial" w:eastAsia="Arial" w:hAnsi="Arial"/>
          <w:sz w:val="12"/>
          <w:szCs w:val="12"/>
          <w:b w:val="1"/>
          <w:bCs w:val="1"/>
          <w:color w:val="auto"/>
        </w:rPr>
        <w:t>CURRENT REPORT</w:t>
      </w:r>
    </w:p>
    <w:p>
      <w:pPr>
        <w:spacing w:after="0" w:line="22" w:lineRule="exact"/>
        <w:rPr>
          <w:sz w:val="24"/>
          <w:szCs w:val="24"/>
          <w:color w:val="auto"/>
        </w:rPr>
      </w:pPr>
    </w:p>
    <w:p>
      <w:pPr>
        <w:jc w:val="center"/>
        <w:ind w:right="-106"/>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153" w:lineRule="exact"/>
        <w:rPr>
          <w:sz w:val="24"/>
          <w:szCs w:val="24"/>
          <w:color w:val="auto"/>
        </w:rPr>
      </w:pPr>
    </w:p>
    <w:p>
      <w:pPr>
        <w:jc w:val="center"/>
        <w:ind w:right="-106"/>
        <w:spacing w:after="0"/>
        <w:rPr>
          <w:sz w:val="20"/>
          <w:szCs w:val="20"/>
          <w:color w:val="auto"/>
        </w:rPr>
      </w:pPr>
      <w:r>
        <w:rPr>
          <w:rFonts w:ascii="Arial" w:cs="Arial" w:eastAsia="Arial" w:hAnsi="Arial"/>
          <w:sz w:val="12"/>
          <w:szCs w:val="12"/>
          <w:color w:val="auto"/>
        </w:rPr>
        <w:t>Date of report (Date of earliest event reported) November 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3180080</wp:posOffset>
            </wp:positionH>
            <wp:positionV relativeFrom="paragraph">
              <wp:posOffset>444500</wp:posOffset>
            </wp:positionV>
            <wp:extent cx="93091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30910" cy="11430"/>
                    </a:xfrm>
                    <a:prstGeom prst="rect">
                      <a:avLst/>
                    </a:prstGeom>
                    <a:noFill/>
                  </pic:spPr>
                </pic:pic>
              </a:graphicData>
            </a:graphic>
          </wp:anchor>
        </w:drawing>
        <w:drawing>
          <wp:anchor simplePos="0" relativeHeight="251657728" behindDoc="1" locked="0" layoutInCell="0" allowOverlap="1">
            <wp:simplePos x="0" y="0"/>
            <wp:positionH relativeFrom="column">
              <wp:posOffset>2590165</wp:posOffset>
            </wp:positionH>
            <wp:positionV relativeFrom="paragraph">
              <wp:posOffset>97790</wp:posOffset>
            </wp:positionV>
            <wp:extent cx="2110740" cy="2889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10740" cy="2889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06"/>
        <w:spacing w:after="0"/>
        <w:rPr>
          <w:sz w:val="20"/>
          <w:szCs w:val="20"/>
          <w:color w:val="auto"/>
        </w:rPr>
      </w:pPr>
      <w:r>
        <w:rPr>
          <w:rFonts w:ascii="Arial" w:cs="Arial" w:eastAsia="Arial" w:hAnsi="Arial"/>
          <w:sz w:val="24"/>
          <w:szCs w:val="24"/>
          <w:b w:val="1"/>
          <w:bCs w:val="1"/>
          <w:color w:val="auto"/>
        </w:rPr>
        <w:t>Winnebago Industries, Inc.</w:t>
      </w:r>
    </w:p>
    <w:p>
      <w:pPr>
        <w:spacing w:after="0" w:line="75" w:lineRule="exact"/>
        <w:rPr>
          <w:sz w:val="24"/>
          <w:szCs w:val="24"/>
          <w:color w:val="auto"/>
        </w:rPr>
      </w:pPr>
    </w:p>
    <w:p>
      <w:pPr>
        <w:jc w:val="center"/>
        <w:ind w:right="-106"/>
        <w:spacing w:after="0"/>
        <w:rPr>
          <w:sz w:val="20"/>
          <w:szCs w:val="20"/>
          <w:color w:val="auto"/>
        </w:rPr>
      </w:pPr>
      <w:r>
        <w:rPr>
          <w:rFonts w:ascii="Arial" w:cs="Arial" w:eastAsia="Arial" w:hAnsi="Arial"/>
          <w:sz w:val="11"/>
          <w:szCs w:val="11"/>
          <w:color w:val="auto"/>
        </w:rPr>
        <w:t>(Exact Name of Registrant as Specified in its Charter)</w:t>
      </w:r>
    </w:p>
    <w:p>
      <w:pPr>
        <w:spacing w:after="0" w:line="286" w:lineRule="exact"/>
        <w:rPr>
          <w:sz w:val="24"/>
          <w:szCs w:val="24"/>
          <w:color w:val="auto"/>
        </w:rPr>
      </w:pPr>
    </w:p>
    <w:tbl>
      <w:tblPr>
        <w:tblLayout w:type="fixed"/>
        <w:tblInd w:w="2647" w:type="dxa"/>
        <w:tblCellMar>
          <w:top w:w="0" w:type="dxa"/>
          <w:left w:w="0" w:type="dxa"/>
          <w:bottom w:w="0" w:type="dxa"/>
          <w:right w:w="0" w:type="dxa"/>
        </w:tblCellMar>
      </w:tblPr>
      <w:tr>
        <w:trPr>
          <w:trHeight w:val="165"/>
        </w:trPr>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Iowa</w:t>
            </w:r>
          </w:p>
        </w:tc>
        <w:tc>
          <w:tcPr>
            <w:tcW w:w="1700" w:type="dxa"/>
            <w:vAlign w:val="bottom"/>
            <w:tcBorders>
              <w:bottom w:val="single" w:sz="8" w:color="auto"/>
            </w:tcBorders>
          </w:tcPr>
          <w:p>
            <w:pPr>
              <w:jc w:val="right"/>
              <w:ind w:right="502"/>
              <w:spacing w:after="0"/>
              <w:rPr>
                <w:sz w:val="20"/>
                <w:szCs w:val="20"/>
                <w:color w:val="auto"/>
              </w:rPr>
            </w:pPr>
            <w:r>
              <w:rPr>
                <w:rFonts w:ascii="Arial" w:cs="Arial" w:eastAsia="Arial" w:hAnsi="Arial"/>
                <w:sz w:val="12"/>
                <w:szCs w:val="12"/>
                <w:b w:val="1"/>
                <w:bCs w:val="1"/>
                <w:color w:val="auto"/>
              </w:rPr>
              <w:t>001-06403</w:t>
            </w:r>
          </w:p>
        </w:tc>
        <w:tc>
          <w:tcPr>
            <w:tcW w:w="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ind w:right="763"/>
              <w:spacing w:after="0"/>
              <w:rPr>
                <w:sz w:val="20"/>
                <w:szCs w:val="20"/>
                <w:color w:val="auto"/>
              </w:rPr>
            </w:pPr>
            <w:r>
              <w:rPr>
                <w:rFonts w:ascii="Arial" w:cs="Arial" w:eastAsia="Arial" w:hAnsi="Arial"/>
                <w:sz w:val="12"/>
                <w:szCs w:val="12"/>
                <w:b w:val="1"/>
                <w:bCs w:val="1"/>
                <w:color w:val="auto"/>
              </w:rPr>
              <w:t>42-0802678</w:t>
            </w:r>
          </w:p>
        </w:tc>
      </w:tr>
      <w:tr>
        <w:trPr>
          <w:trHeight w:val="141"/>
        </w:trPr>
        <w:tc>
          <w:tcPr>
            <w:tcW w:w="2240" w:type="dxa"/>
            <w:vAlign w:val="bottom"/>
          </w:tcPr>
          <w:p>
            <w:pPr>
              <w:jc w:val="center"/>
              <w:spacing w:after="0"/>
              <w:rPr>
                <w:sz w:val="20"/>
                <w:szCs w:val="20"/>
                <w:color w:val="auto"/>
              </w:rPr>
            </w:pPr>
            <w:r>
              <w:rPr>
                <w:rFonts w:ascii="Arial" w:cs="Arial" w:eastAsia="Arial" w:hAnsi="Arial"/>
                <w:sz w:val="11"/>
                <w:szCs w:val="11"/>
                <w:color w:val="auto"/>
                <w:w w:val="99"/>
              </w:rPr>
              <w:t>(State or Other Jurisdiction</w:t>
            </w:r>
          </w:p>
        </w:tc>
        <w:tc>
          <w:tcPr>
            <w:tcW w:w="1760" w:type="dxa"/>
            <w:vAlign w:val="bottom"/>
            <w:gridSpan w:val="2"/>
          </w:tcPr>
          <w:p>
            <w:pPr>
              <w:jc w:val="center"/>
              <w:ind w:right="60"/>
              <w:spacing w:after="0"/>
              <w:rPr>
                <w:sz w:val="20"/>
                <w:szCs w:val="20"/>
                <w:color w:val="auto"/>
              </w:rPr>
            </w:pPr>
            <w:r>
              <w:rPr>
                <w:rFonts w:ascii="Arial" w:cs="Arial" w:eastAsia="Arial" w:hAnsi="Arial"/>
                <w:sz w:val="11"/>
                <w:szCs w:val="11"/>
                <w:color w:val="auto"/>
                <w:w w:val="99"/>
              </w:rPr>
              <w:t>(Commission File Number)</w:t>
            </w:r>
          </w:p>
        </w:tc>
        <w:tc>
          <w:tcPr>
            <w:tcW w:w="2200" w:type="dxa"/>
            <w:vAlign w:val="bottom"/>
          </w:tcPr>
          <w:p>
            <w:pPr>
              <w:jc w:val="center"/>
              <w:ind w:right="3"/>
              <w:spacing w:after="0"/>
              <w:rPr>
                <w:sz w:val="20"/>
                <w:szCs w:val="20"/>
                <w:color w:val="auto"/>
              </w:rPr>
            </w:pPr>
            <w:r>
              <w:rPr>
                <w:rFonts w:ascii="Arial" w:cs="Arial" w:eastAsia="Arial" w:hAnsi="Arial"/>
                <w:sz w:val="11"/>
                <w:szCs w:val="11"/>
                <w:color w:val="auto"/>
                <w:w w:val="97"/>
              </w:rPr>
              <w:t>(IRS Employer</w:t>
            </w:r>
          </w:p>
        </w:tc>
      </w:tr>
      <w:tr>
        <w:trPr>
          <w:trHeight w:val="131"/>
        </w:trPr>
        <w:tc>
          <w:tcPr>
            <w:tcW w:w="2240" w:type="dxa"/>
            <w:vAlign w:val="bottom"/>
          </w:tcPr>
          <w:p>
            <w:pPr>
              <w:jc w:val="center"/>
              <w:spacing w:after="0"/>
              <w:rPr>
                <w:sz w:val="20"/>
                <w:szCs w:val="20"/>
                <w:color w:val="auto"/>
              </w:rPr>
            </w:pPr>
            <w:r>
              <w:rPr>
                <w:rFonts w:ascii="Arial" w:cs="Arial" w:eastAsia="Arial" w:hAnsi="Arial"/>
                <w:sz w:val="11"/>
                <w:szCs w:val="11"/>
                <w:color w:val="auto"/>
                <w:w w:val="99"/>
              </w:rPr>
              <w:t>of Incorporation)</w:t>
            </w: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jc w:val="center"/>
              <w:ind w:right="3"/>
              <w:spacing w:after="0"/>
              <w:rPr>
                <w:sz w:val="20"/>
                <w:szCs w:val="20"/>
                <w:color w:val="auto"/>
              </w:rPr>
            </w:pPr>
            <w:r>
              <w:rPr>
                <w:rFonts w:ascii="Arial" w:cs="Arial" w:eastAsia="Arial" w:hAnsi="Arial"/>
                <w:sz w:val="11"/>
                <w:szCs w:val="11"/>
                <w:color w:val="auto"/>
              </w:rPr>
              <w:t>Identification No.)</w:t>
            </w:r>
          </w:p>
        </w:tc>
      </w:tr>
      <w:tr>
        <w:trPr>
          <w:trHeight w:val="355"/>
        </w:trPr>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P.O. Box 152, Forest City, Iowa</w:t>
            </w:r>
          </w:p>
        </w:tc>
        <w:tc>
          <w:tcPr>
            <w:tcW w:w="17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right"/>
              <w:ind w:right="903"/>
              <w:spacing w:after="0"/>
              <w:rPr>
                <w:sz w:val="20"/>
                <w:szCs w:val="20"/>
                <w:color w:val="auto"/>
              </w:rPr>
            </w:pPr>
            <w:r>
              <w:rPr>
                <w:rFonts w:ascii="Arial" w:cs="Arial" w:eastAsia="Arial" w:hAnsi="Arial"/>
                <w:sz w:val="12"/>
                <w:szCs w:val="12"/>
                <w:b w:val="1"/>
                <w:bCs w:val="1"/>
                <w:color w:val="auto"/>
              </w:rPr>
              <w:t>50436</w:t>
            </w:r>
          </w:p>
        </w:tc>
      </w:tr>
      <w:tr>
        <w:trPr>
          <w:trHeight w:val="144"/>
        </w:trPr>
        <w:tc>
          <w:tcPr>
            <w:tcW w:w="2240" w:type="dxa"/>
            <w:vAlign w:val="bottom"/>
          </w:tcPr>
          <w:p>
            <w:pPr>
              <w:jc w:val="center"/>
              <w:spacing w:after="0"/>
              <w:rPr>
                <w:sz w:val="20"/>
                <w:szCs w:val="20"/>
                <w:color w:val="auto"/>
              </w:rPr>
            </w:pPr>
            <w:r>
              <w:rPr>
                <w:rFonts w:ascii="Arial" w:cs="Arial" w:eastAsia="Arial" w:hAnsi="Arial"/>
                <w:sz w:val="11"/>
                <w:szCs w:val="11"/>
                <w:color w:val="auto"/>
                <w:w w:val="99"/>
              </w:rPr>
              <w:t>(Address of Principal Executive Offices)</w:t>
            </w:r>
          </w:p>
        </w:tc>
        <w:tc>
          <w:tcPr>
            <w:tcW w:w="1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0" w:type="dxa"/>
            <w:vAlign w:val="bottom"/>
          </w:tcPr>
          <w:p>
            <w:pPr>
              <w:jc w:val="center"/>
              <w:ind w:right="23"/>
              <w:spacing w:after="0"/>
              <w:rPr>
                <w:sz w:val="20"/>
                <w:szCs w:val="20"/>
                <w:color w:val="auto"/>
              </w:rPr>
            </w:pPr>
            <w:r>
              <w:rPr>
                <w:rFonts w:ascii="Arial" w:cs="Arial" w:eastAsia="Arial" w:hAnsi="Arial"/>
                <w:sz w:val="11"/>
                <w:szCs w:val="11"/>
                <w:color w:val="auto"/>
                <w:w w:val="99"/>
              </w:rPr>
              <w:t>(Zip Code)</w:t>
            </w:r>
          </w:p>
        </w:tc>
      </w:tr>
      <w:tr>
        <w:trPr>
          <w:trHeight w:val="319"/>
        </w:trPr>
        <w:tc>
          <w:tcPr>
            <w:tcW w:w="4000" w:type="dxa"/>
            <w:vAlign w:val="bottom"/>
            <w:gridSpan w:val="3"/>
          </w:tcPr>
          <w:p>
            <w:pPr>
              <w:ind w:left="1460"/>
              <w:spacing w:after="0"/>
              <w:rPr>
                <w:sz w:val="20"/>
                <w:szCs w:val="20"/>
                <w:color w:val="auto"/>
              </w:rPr>
            </w:pPr>
            <w:r>
              <w:rPr>
                <w:rFonts w:ascii="Arial" w:cs="Arial" w:eastAsia="Arial" w:hAnsi="Arial"/>
                <w:sz w:val="11"/>
                <w:szCs w:val="11"/>
                <w:color w:val="auto"/>
              </w:rPr>
              <w:t>Registrant's telephone number, including area code</w:t>
            </w:r>
          </w:p>
        </w:tc>
        <w:tc>
          <w:tcPr>
            <w:tcW w:w="2200" w:type="dxa"/>
            <w:vAlign w:val="bottom"/>
          </w:tcPr>
          <w:p>
            <w:pPr>
              <w:jc w:val="right"/>
              <w:ind w:right="1423"/>
              <w:spacing w:after="0"/>
              <w:rPr>
                <w:sz w:val="20"/>
                <w:szCs w:val="20"/>
                <w:color w:val="auto"/>
              </w:rPr>
            </w:pPr>
            <w:r>
              <w:rPr>
                <w:rFonts w:ascii="Arial" w:cs="Arial" w:eastAsia="Arial" w:hAnsi="Arial"/>
                <w:sz w:val="11"/>
                <w:szCs w:val="11"/>
                <w:b w:val="1"/>
                <w:bCs w:val="1"/>
                <w:color w:val="auto"/>
              </w:rPr>
              <w:t>641-585-3535</w:t>
            </w:r>
          </w:p>
        </w:tc>
      </w:tr>
    </w:tbl>
    <w:p>
      <w:pPr>
        <w:spacing w:after="0" w:line="124" w:lineRule="exact"/>
        <w:rPr>
          <w:sz w:val="24"/>
          <w:szCs w:val="24"/>
          <w:color w:val="auto"/>
        </w:rPr>
      </w:pPr>
    </w:p>
    <w:p>
      <w:pPr>
        <w:ind w:left="3607"/>
        <w:spacing w:after="0"/>
        <w:rPr>
          <w:sz w:val="20"/>
          <w:szCs w:val="20"/>
          <w:color w:val="auto"/>
        </w:rPr>
      </w:pPr>
      <w:r>
        <w:rPr>
          <w:rFonts w:ascii="Arial" w:cs="Arial" w:eastAsia="Arial" w:hAnsi="Arial"/>
          <w:sz w:val="11"/>
          <w:szCs w:val="11"/>
          <w:color w:val="auto"/>
        </w:rPr>
        <w:t>______________________________________________________________________</w:t>
      </w:r>
    </w:p>
    <w:p>
      <w:pPr>
        <w:spacing w:after="0" w:line="10" w:lineRule="exact"/>
        <w:rPr>
          <w:sz w:val="24"/>
          <w:szCs w:val="24"/>
          <w:color w:val="auto"/>
        </w:rPr>
      </w:pPr>
    </w:p>
    <w:p>
      <w:pPr>
        <w:jc w:val="center"/>
        <w:ind w:right="-66"/>
        <w:spacing w:after="0"/>
        <w:rPr>
          <w:sz w:val="20"/>
          <w:szCs w:val="20"/>
          <w:color w:val="auto"/>
        </w:rPr>
      </w:pPr>
      <w:r>
        <w:rPr>
          <w:rFonts w:ascii="Arial" w:cs="Arial" w:eastAsia="Arial" w:hAnsi="Arial"/>
          <w:sz w:val="11"/>
          <w:szCs w:val="1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3185795</wp:posOffset>
            </wp:positionH>
            <wp:positionV relativeFrom="paragraph">
              <wp:posOffset>63500</wp:posOffset>
            </wp:positionV>
            <wp:extent cx="91948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19480" cy="11430"/>
                    </a:xfrm>
                    <a:prstGeom prst="rect">
                      <a:avLst/>
                    </a:prstGeom>
                    <a:noFill/>
                  </pic:spPr>
                </pic:pic>
              </a:graphicData>
            </a:graphic>
          </wp:anchor>
        </w:drawing>
      </w:r>
    </w:p>
    <w:p>
      <w:pPr>
        <w:spacing w:after="0" w:line="263" w:lineRule="exact"/>
        <w:rPr>
          <w:sz w:val="24"/>
          <w:szCs w:val="24"/>
          <w:color w:val="auto"/>
        </w:rPr>
      </w:pPr>
    </w:p>
    <w:p>
      <w:pPr>
        <w:ind w:left="7"/>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 (see General Instruction A.2. below):</w:t>
      </w:r>
    </w:p>
    <w:p>
      <w:pPr>
        <w:spacing w:after="0" w:line="128" w:lineRule="exact"/>
        <w:rPr>
          <w:sz w:val="24"/>
          <w:szCs w:val="24"/>
          <w:color w:val="auto"/>
        </w:rPr>
      </w:pPr>
    </w:p>
    <w:p>
      <w:pPr>
        <w:ind w:left="207" w:hanging="207"/>
        <w:spacing w:after="0"/>
        <w:tabs>
          <w:tab w:leader="none" w:pos="207" w:val="left"/>
        </w:tabs>
        <w:numPr>
          <w:ilvl w:val="0"/>
          <w:numId w:val="1"/>
        </w:numPr>
        <w:rPr>
          <w:rFonts w:ascii="Arial" w:cs="Arial" w:eastAsia="Arial" w:hAnsi="Arial"/>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128" w:lineRule="exact"/>
        <w:rPr>
          <w:rFonts w:ascii="Arial" w:cs="Arial" w:eastAsia="Arial" w:hAnsi="Arial"/>
          <w:sz w:val="11"/>
          <w:szCs w:val="11"/>
          <w:color w:val="auto"/>
        </w:rPr>
      </w:pPr>
    </w:p>
    <w:p>
      <w:pPr>
        <w:ind w:left="207" w:hanging="207"/>
        <w:spacing w:after="0"/>
        <w:tabs>
          <w:tab w:leader="none" w:pos="207" w:val="left"/>
        </w:tabs>
        <w:numPr>
          <w:ilvl w:val="0"/>
          <w:numId w:val="1"/>
        </w:numPr>
        <w:rPr>
          <w:rFonts w:ascii="Arial" w:cs="Arial" w:eastAsia="Arial" w:hAnsi="Arial"/>
          <w:sz w:val="11"/>
          <w:szCs w:val="11"/>
          <w:color w:val="auto"/>
        </w:rPr>
      </w:pPr>
      <w:r>
        <w:rPr>
          <w:rFonts w:ascii="Arial" w:cs="Arial" w:eastAsia="Arial" w:hAnsi="Arial"/>
          <w:sz w:val="11"/>
          <w:szCs w:val="11"/>
          <w:color w:val="auto"/>
        </w:rPr>
        <w:t>Soliciting material pursuant to Rule 14a-12 under the Exchange Act (17 CFR 240.14a-12)</w:t>
      </w:r>
    </w:p>
    <w:p>
      <w:pPr>
        <w:spacing w:after="0" w:line="128" w:lineRule="exact"/>
        <w:rPr>
          <w:rFonts w:ascii="Arial" w:cs="Arial" w:eastAsia="Arial" w:hAnsi="Arial"/>
          <w:sz w:val="11"/>
          <w:szCs w:val="11"/>
          <w:color w:val="auto"/>
        </w:rPr>
      </w:pPr>
    </w:p>
    <w:p>
      <w:pPr>
        <w:ind w:left="207" w:hanging="207"/>
        <w:spacing w:after="0"/>
        <w:tabs>
          <w:tab w:leader="none" w:pos="207" w:val="left"/>
        </w:tabs>
        <w:numPr>
          <w:ilvl w:val="0"/>
          <w:numId w:val="1"/>
        </w:numPr>
        <w:rPr>
          <w:rFonts w:ascii="Arial" w:cs="Arial" w:eastAsia="Arial" w:hAnsi="Arial"/>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128" w:lineRule="exact"/>
        <w:rPr>
          <w:rFonts w:ascii="Arial" w:cs="Arial" w:eastAsia="Arial" w:hAnsi="Arial"/>
          <w:sz w:val="11"/>
          <w:szCs w:val="11"/>
          <w:color w:val="auto"/>
        </w:rPr>
      </w:pPr>
    </w:p>
    <w:p>
      <w:pPr>
        <w:ind w:left="207" w:hanging="207"/>
        <w:spacing w:after="0"/>
        <w:tabs>
          <w:tab w:leader="none" w:pos="207" w:val="left"/>
        </w:tabs>
        <w:numPr>
          <w:ilvl w:val="0"/>
          <w:numId w:val="1"/>
        </w:numPr>
        <w:rPr>
          <w:rFonts w:ascii="Arial" w:cs="Arial" w:eastAsia="Arial" w:hAnsi="Arial"/>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118" w:lineRule="exact"/>
        <w:rPr>
          <w:sz w:val="24"/>
          <w:szCs w:val="24"/>
          <w:color w:val="auto"/>
        </w:rPr>
      </w:pPr>
    </w:p>
    <w:p>
      <w:pPr>
        <w:jc w:val="center"/>
        <w:ind w:right="313"/>
        <w:spacing w:after="0" w:line="282" w:lineRule="auto"/>
        <w:rPr>
          <w:sz w:val="20"/>
          <w:szCs w:val="20"/>
          <w:color w:val="auto"/>
        </w:rPr>
      </w:pPr>
      <w:r>
        <w:rPr>
          <w:rFonts w:ascii="Arial" w:cs="Arial" w:eastAsia="Arial" w:hAnsi="Arial"/>
          <w:sz w:val="11"/>
          <w:szCs w:val="11"/>
          <w:color w:val="auto"/>
        </w:rPr>
        <w:t>Indicate by check mark whether the registrant is an emerging growth company as defined in Rule 405 of the Securities Act of 1933 (</w:t>
      </w:r>
      <w:r>
        <w:rPr>
          <w:rFonts w:ascii="Arial" w:cs="Arial" w:eastAsia="Arial" w:hAnsi="Arial"/>
          <w:sz w:val="12"/>
          <w:szCs w:val="12"/>
          <w:color w:val="auto"/>
        </w:rPr>
        <w:t>§</w:t>
      </w:r>
      <w:r>
        <w:rPr>
          <w:rFonts w:ascii="Arial" w:cs="Arial" w:eastAsia="Arial" w:hAnsi="Arial"/>
          <w:sz w:val="11"/>
          <w:szCs w:val="11"/>
          <w:color w:val="auto"/>
        </w:rPr>
        <w:t>230.405 of this chapter) or Rule 12b-2 of the Exchange Act of 1934 (</w:t>
      </w:r>
      <w:r>
        <w:rPr>
          <w:rFonts w:ascii="Arial" w:cs="Arial" w:eastAsia="Arial" w:hAnsi="Arial"/>
          <w:sz w:val="12"/>
          <w:szCs w:val="12"/>
          <w:color w:val="auto"/>
        </w:rPr>
        <w:t>§</w:t>
      </w:r>
      <w:r>
        <w:rPr>
          <w:rFonts w:ascii="Arial" w:cs="Arial" w:eastAsia="Arial" w:hAnsi="Arial"/>
          <w:sz w:val="11"/>
          <w:szCs w:val="11"/>
          <w:color w:val="auto"/>
        </w:rPr>
        <w:t>240.12b-2 of this chapter). Emerging growth company o</w:t>
      </w:r>
    </w:p>
    <w:p>
      <w:pPr>
        <w:spacing w:after="0" w:line="45" w:lineRule="exact"/>
        <w:rPr>
          <w:sz w:val="24"/>
          <w:szCs w:val="24"/>
          <w:color w:val="auto"/>
        </w:rPr>
      </w:pPr>
    </w:p>
    <w:p>
      <w:pPr>
        <w:ind w:left="7"/>
        <w:spacing w:after="0" w:line="250" w:lineRule="auto"/>
        <w:rPr>
          <w:sz w:val="20"/>
          <w:szCs w:val="20"/>
          <w:color w:val="auto"/>
        </w:rPr>
      </w:pPr>
      <w:r>
        <w:rPr>
          <w:rFonts w:ascii="Arial" w:cs="Arial" w:eastAsia="Arial" w:hAnsi="Arial"/>
          <w:sz w:val="11"/>
          <w:szCs w:val="11"/>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224790</wp:posOffset>
            </wp:positionV>
            <wp:extent cx="72910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107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167005</wp:posOffset>
            </wp:positionV>
            <wp:extent cx="729107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1070" cy="5715"/>
                    </a:xfrm>
                    <a:prstGeom prst="rect">
                      <a:avLst/>
                    </a:prstGeom>
                    <a:noFill/>
                  </pic:spPr>
                </pic:pic>
              </a:graphicData>
            </a:graphic>
          </wp:anchor>
        </w:drawing>
      </w:r>
    </w:p>
    <w:p>
      <w:pPr>
        <w:sectPr>
          <w:pgSz w:w="11900" w:h="16838" w:orient="portrait"/>
          <w:cols w:equalWidth="0" w:num="1">
            <w:col w:w="11387"/>
          </w:cols>
          <w:pgMar w:left="213" w:top="913" w:right="299" w:bottom="1440" w:gutter="0" w:footer="0" w:header="0"/>
        </w:sectPr>
      </w:pPr>
    </w:p>
    <w:bookmarkStart w:id="1" w:name="page2"/>
    <w:bookmarkEnd w:id="1"/>
    <w:p>
      <w:pPr>
        <w:spacing w:after="0"/>
        <w:rPr>
          <w:sz w:val="20"/>
          <w:szCs w:val="20"/>
          <w:color w:val="auto"/>
        </w:rPr>
      </w:pPr>
      <w:r>
        <w:rPr>
          <w:rFonts w:ascii="Arial" w:cs="Arial" w:eastAsia="Arial" w:hAnsi="Arial"/>
          <w:sz w:val="13"/>
          <w:szCs w:val="13"/>
          <w:b w:val="1"/>
          <w:bCs w:val="1"/>
          <w:color w:val="auto"/>
        </w:rPr>
        <w:t>Item 7.01 Regulation FD Disclosure.</w:t>
      </w:r>
    </w:p>
    <w:p>
      <w:pPr>
        <w:spacing w:after="0" w:line="171" w:lineRule="exact"/>
        <w:rPr>
          <w:sz w:val="20"/>
          <w:szCs w:val="20"/>
          <w:color w:val="auto"/>
        </w:rPr>
      </w:pPr>
    </w:p>
    <w:p>
      <w:pPr>
        <w:ind w:right="100"/>
        <w:spacing w:after="0" w:line="250" w:lineRule="auto"/>
        <w:rPr>
          <w:sz w:val="20"/>
          <w:szCs w:val="20"/>
          <w:color w:val="auto"/>
        </w:rPr>
      </w:pPr>
      <w:r>
        <w:rPr>
          <w:rFonts w:ascii="Arial" w:cs="Arial" w:eastAsia="Arial" w:hAnsi="Arial"/>
          <w:sz w:val="11"/>
          <w:szCs w:val="11"/>
          <w:color w:val="auto"/>
        </w:rPr>
        <w:t>On November 2, 2017, at an Investor Day at the Current at Chelsea Piers in New York City, where the President and Chief Executive Officer, Michael Happe, and other members of the Winnebago Industries leadership team will provide business updates and an overview of the Company's long-term strategy, the Company will give an investor presentation, included as Exhibit 99.1 herein.</w:t>
      </w: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9.01 Financial Statements and Exhibits.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400" w:type="dxa"/>
            <w:vAlign w:val="bottom"/>
            <w:gridSpan w:val="4"/>
          </w:tcPr>
          <w:p>
            <w:pPr>
              <w:spacing w:after="0"/>
              <w:rPr>
                <w:sz w:val="20"/>
                <w:szCs w:val="20"/>
                <w:color w:val="auto"/>
              </w:rPr>
            </w:pPr>
            <w:r>
              <w:rPr>
                <w:rFonts w:ascii="Arial" w:cs="Arial" w:eastAsia="Arial" w:hAnsi="Arial"/>
                <w:sz w:val="11"/>
                <w:szCs w:val="11"/>
                <w:color w:val="auto"/>
              </w:rPr>
              <w:t>(d) Exhibits</w:t>
            </w:r>
          </w:p>
        </w:tc>
        <w:tc>
          <w:tcPr>
            <w:tcW w:w="3580" w:type="dxa"/>
            <w:vAlign w:val="bottom"/>
          </w:tcPr>
          <w:p>
            <w:pPr>
              <w:spacing w:after="0"/>
              <w:rPr>
                <w:sz w:val="11"/>
                <w:szCs w:val="11"/>
                <w:color w:val="auto"/>
              </w:rPr>
            </w:pPr>
          </w:p>
        </w:tc>
        <w:tc>
          <w:tcPr>
            <w:tcW w:w="3180" w:type="dxa"/>
            <w:vAlign w:val="bottom"/>
          </w:tcPr>
          <w:p>
            <w:pPr>
              <w:spacing w:after="0"/>
              <w:rPr>
                <w:sz w:val="11"/>
                <w:szCs w:val="11"/>
                <w:color w:val="auto"/>
              </w:rPr>
            </w:pPr>
          </w:p>
        </w:tc>
      </w:tr>
      <w:tr>
        <w:trPr>
          <w:trHeight w:val="271"/>
        </w:trPr>
        <w:tc>
          <w:tcPr>
            <w:tcW w:w="34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Exhibit Number</w:t>
            </w:r>
          </w:p>
        </w:tc>
        <w:tc>
          <w:tcPr>
            <w:tcW w:w="676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Description</w:t>
            </w:r>
          </w:p>
        </w:tc>
      </w:tr>
      <w:tr>
        <w:trPr>
          <w:trHeight w:val="132"/>
        </w:trPr>
        <w:tc>
          <w:tcPr>
            <w:tcW w:w="560" w:type="dxa"/>
            <w:vAlign w:val="bottom"/>
            <w:gridSpan w:val="3"/>
          </w:tcPr>
          <w:p>
            <w:pPr>
              <w:ind w:left="360"/>
              <w:spacing w:after="0"/>
              <w:rPr>
                <w:rFonts w:ascii="Arial" w:cs="Arial" w:eastAsia="Arial" w:hAnsi="Arial"/>
                <w:sz w:val="11"/>
                <w:szCs w:val="11"/>
                <w:color w:val="0000FF"/>
                <w:w w:val="83"/>
              </w:rPr>
            </w:pPr>
            <w:hyperlink w:anchor="page3">
              <w:r>
                <w:rPr>
                  <w:rFonts w:ascii="Arial" w:cs="Arial" w:eastAsia="Arial" w:hAnsi="Arial"/>
                  <w:sz w:val="11"/>
                  <w:szCs w:val="11"/>
                  <w:color w:val="0000FF"/>
                  <w:w w:val="83"/>
                </w:rPr>
                <w:t>99.</w:t>
              </w:r>
              <w:r>
                <w:rPr>
                  <w:rFonts w:ascii="Arial" w:cs="Arial" w:eastAsia="Arial" w:hAnsi="Arial"/>
                  <w:sz w:val="11"/>
                  <w:szCs w:val="11"/>
                  <w:u w:val="single" w:color="auto"/>
                  <w:color w:val="0000FF"/>
                  <w:w w:val="83"/>
                </w:rPr>
                <w:t>1</w:t>
              </w:r>
            </w:hyperlink>
          </w:p>
        </w:tc>
        <w:tc>
          <w:tcPr>
            <w:tcW w:w="840" w:type="dxa"/>
            <w:vAlign w:val="bottom"/>
          </w:tcPr>
          <w:p>
            <w:pPr>
              <w:spacing w:after="0"/>
              <w:rPr>
                <w:sz w:val="11"/>
                <w:szCs w:val="11"/>
                <w:color w:val="auto"/>
              </w:rPr>
            </w:pPr>
          </w:p>
        </w:tc>
        <w:tc>
          <w:tcPr>
            <w:tcW w:w="6760" w:type="dxa"/>
            <w:vAlign w:val="bottom"/>
            <w:gridSpan w:val="2"/>
          </w:tcPr>
          <w:p>
            <w:pPr>
              <w:spacing w:after="0"/>
              <w:rPr>
                <w:rFonts w:ascii="Arial" w:cs="Arial" w:eastAsia="Arial" w:hAnsi="Arial"/>
                <w:sz w:val="11"/>
                <w:szCs w:val="11"/>
                <w:color w:val="0000FF"/>
              </w:rPr>
            </w:pPr>
            <w:hyperlink w:anchor="page3">
              <w:r>
                <w:rPr>
                  <w:rFonts w:ascii="Arial" w:cs="Arial" w:eastAsia="Arial" w:hAnsi="Arial"/>
                  <w:sz w:val="11"/>
                  <w:szCs w:val="11"/>
                  <w:color w:val="0000FF"/>
                </w:rPr>
                <w:t>Winnebago Industries, Inc. Investor Presentation dated November 2, 2017</w:t>
              </w:r>
            </w:hyperlink>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Cautionary Statement Regarding Forward-Looking Information</w:t>
      </w:r>
    </w:p>
    <w:p>
      <w:pPr>
        <w:spacing w:after="0" w:line="68" w:lineRule="exact"/>
        <w:rPr>
          <w:sz w:val="20"/>
          <w:szCs w:val="20"/>
          <w:color w:val="auto"/>
        </w:rPr>
      </w:pPr>
    </w:p>
    <w:p>
      <w:pPr>
        <w:spacing w:after="0" w:line="242" w:lineRule="auto"/>
        <w:rPr>
          <w:sz w:val="20"/>
          <w:szCs w:val="20"/>
          <w:color w:val="auto"/>
        </w:rPr>
      </w:pPr>
      <w:r>
        <w:rPr>
          <w:rFonts w:ascii="Arial" w:cs="Arial" w:eastAsia="Arial" w:hAnsi="Arial"/>
          <w:sz w:val="11"/>
          <w:szCs w:val="11"/>
          <w:color w:val="auto"/>
        </w:rPr>
        <w:t>This presentation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any unexpected expenses related to ERP, risks relating to the integration of our acquisition of Grand Design including: risks inherent in the achievement of cost synergies and the timing thereof; risks related to the disruption of the transaction to Winnebago and Grand Design and its management; the effect of integration on Grand Design's ability to retain and hire key personnel and maintain relationships with customers, suppliers and other third parties, risk related to compliance with debt covenants and leverage ratios,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SIGNATURE</w:t>
      </w:r>
    </w:p>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hereunto duly authorized.</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5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7560" w:type="dxa"/>
            <w:vAlign w:val="bottom"/>
            <w:gridSpan w:val="2"/>
          </w:tcPr>
          <w:p>
            <w:pPr>
              <w:ind w:left="1740"/>
              <w:spacing w:after="0"/>
              <w:rPr>
                <w:sz w:val="20"/>
                <w:szCs w:val="20"/>
                <w:color w:val="auto"/>
              </w:rPr>
            </w:pPr>
            <w:r>
              <w:rPr>
                <w:rFonts w:ascii="Arial" w:cs="Arial" w:eastAsia="Arial" w:hAnsi="Arial"/>
                <w:sz w:val="15"/>
                <w:szCs w:val="15"/>
                <w:color w:val="auto"/>
              </w:rPr>
              <w:t>W</w:t>
            </w:r>
            <w:r>
              <w:rPr>
                <w:rFonts w:ascii="Arial" w:cs="Arial" w:eastAsia="Arial" w:hAnsi="Arial"/>
                <w:sz w:val="10"/>
                <w:szCs w:val="10"/>
                <w:color w:val="auto"/>
              </w:rPr>
              <w:t>INNEBAGO</w:t>
            </w:r>
            <w:r>
              <w:rPr>
                <w:rFonts w:ascii="Arial" w:cs="Arial" w:eastAsia="Arial" w:hAnsi="Arial"/>
                <w:sz w:val="15"/>
                <w:szCs w:val="15"/>
                <w:color w:val="auto"/>
              </w:rPr>
              <w:t xml:space="preserve"> I</w:t>
            </w:r>
            <w:r>
              <w:rPr>
                <w:rFonts w:ascii="Arial" w:cs="Arial" w:eastAsia="Arial" w:hAnsi="Arial"/>
                <w:sz w:val="10"/>
                <w:szCs w:val="10"/>
                <w:color w:val="auto"/>
              </w:rPr>
              <w:t>NDUSTRIES,</w:t>
            </w:r>
            <w:r>
              <w:rPr>
                <w:rFonts w:ascii="Arial" w:cs="Arial" w:eastAsia="Arial" w:hAnsi="Arial"/>
                <w:sz w:val="15"/>
                <w:szCs w:val="15"/>
                <w:color w:val="auto"/>
              </w:rPr>
              <w:t xml:space="preserve"> I</w:t>
            </w:r>
            <w:r>
              <w:rPr>
                <w:rFonts w:ascii="Arial" w:cs="Arial" w:eastAsia="Arial" w:hAnsi="Arial"/>
                <w:sz w:val="10"/>
                <w:szCs w:val="10"/>
                <w:color w:val="auto"/>
              </w:rPr>
              <w:t>NC.</w:t>
            </w:r>
          </w:p>
        </w:tc>
      </w:tr>
      <w:tr>
        <w:trPr>
          <w:trHeight w:val="379"/>
        </w:trPr>
        <w:tc>
          <w:tcPr>
            <w:tcW w:w="520" w:type="dxa"/>
            <w:vAlign w:val="bottom"/>
          </w:tcPr>
          <w:p>
            <w:pPr>
              <w:spacing w:after="0"/>
              <w:rPr>
                <w:sz w:val="20"/>
                <w:szCs w:val="20"/>
                <w:color w:val="auto"/>
              </w:rPr>
            </w:pPr>
            <w:r>
              <w:rPr>
                <w:rFonts w:ascii="Arial" w:cs="Arial" w:eastAsia="Arial" w:hAnsi="Arial"/>
                <w:sz w:val="11"/>
                <w:szCs w:val="11"/>
                <w:color w:val="auto"/>
              </w:rPr>
              <w:t>Date:</w:t>
            </w:r>
          </w:p>
        </w:tc>
        <w:tc>
          <w:tcPr>
            <w:tcW w:w="2920" w:type="dxa"/>
            <w:vAlign w:val="bottom"/>
          </w:tcPr>
          <w:p>
            <w:pPr>
              <w:ind w:left="280"/>
              <w:spacing w:after="0"/>
              <w:rPr>
                <w:sz w:val="20"/>
                <w:szCs w:val="20"/>
                <w:color w:val="auto"/>
              </w:rPr>
            </w:pPr>
            <w:r>
              <w:rPr>
                <w:rFonts w:ascii="Arial" w:cs="Arial" w:eastAsia="Arial" w:hAnsi="Arial"/>
                <w:sz w:val="11"/>
                <w:szCs w:val="11"/>
                <w:color w:val="auto"/>
              </w:rPr>
              <w:t>November 2, 2017</w:t>
            </w:r>
          </w:p>
        </w:tc>
        <w:tc>
          <w:tcPr>
            <w:tcW w:w="2520" w:type="dxa"/>
            <w:vAlign w:val="bottom"/>
          </w:tcPr>
          <w:p>
            <w:pPr>
              <w:ind w:left="1740"/>
              <w:spacing w:after="0"/>
              <w:rPr>
                <w:sz w:val="20"/>
                <w:szCs w:val="20"/>
                <w:color w:val="auto"/>
              </w:rPr>
            </w:pPr>
            <w:r>
              <w:rPr>
                <w:rFonts w:ascii="Arial" w:cs="Arial" w:eastAsia="Arial" w:hAnsi="Arial"/>
                <w:sz w:val="11"/>
                <w:szCs w:val="11"/>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1"/>
                <w:szCs w:val="11"/>
                <w:i w:val="1"/>
                <w:iCs w:val="1"/>
                <w:color w:val="auto"/>
              </w:rPr>
              <w:t>/s/ Scott C. Folkers</w:t>
            </w:r>
          </w:p>
        </w:tc>
      </w:tr>
      <w:tr>
        <w:trPr>
          <w:trHeight w:val="155"/>
        </w:trPr>
        <w:tc>
          <w:tcPr>
            <w:tcW w:w="5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520" w:type="dxa"/>
            <w:vAlign w:val="bottom"/>
          </w:tcPr>
          <w:p>
            <w:pPr>
              <w:ind w:left="1740"/>
              <w:spacing w:after="0"/>
              <w:rPr>
                <w:sz w:val="20"/>
                <w:szCs w:val="20"/>
                <w:color w:val="auto"/>
              </w:rPr>
            </w:pPr>
            <w:r>
              <w:rPr>
                <w:rFonts w:ascii="Arial" w:cs="Arial" w:eastAsia="Arial" w:hAnsi="Arial"/>
                <w:sz w:val="11"/>
                <w:szCs w:val="11"/>
                <w:color w:val="auto"/>
              </w:rPr>
              <w:t>Name:</w:t>
            </w:r>
          </w:p>
        </w:tc>
        <w:tc>
          <w:tcPr>
            <w:tcW w:w="5040" w:type="dxa"/>
            <w:vAlign w:val="bottom"/>
          </w:tcPr>
          <w:p>
            <w:pPr>
              <w:ind w:left="20"/>
              <w:spacing w:after="0"/>
              <w:rPr>
                <w:sz w:val="20"/>
                <w:szCs w:val="20"/>
                <w:color w:val="auto"/>
              </w:rPr>
            </w:pPr>
            <w:r>
              <w:rPr>
                <w:rFonts w:ascii="Arial" w:cs="Arial" w:eastAsia="Arial" w:hAnsi="Arial"/>
                <w:sz w:val="11"/>
                <w:szCs w:val="11"/>
                <w:color w:val="auto"/>
              </w:rPr>
              <w:t>Scott C. Folkers</w:t>
            </w:r>
          </w:p>
        </w:tc>
      </w:tr>
      <w:tr>
        <w:trPr>
          <w:trHeight w:val="182"/>
        </w:trPr>
        <w:tc>
          <w:tcPr>
            <w:tcW w:w="5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520" w:type="dxa"/>
            <w:vAlign w:val="bottom"/>
          </w:tcPr>
          <w:p>
            <w:pPr>
              <w:ind w:left="1740"/>
              <w:spacing w:after="0"/>
              <w:rPr>
                <w:sz w:val="20"/>
                <w:szCs w:val="20"/>
                <w:color w:val="auto"/>
              </w:rPr>
            </w:pPr>
            <w:r>
              <w:rPr>
                <w:rFonts w:ascii="Arial" w:cs="Arial" w:eastAsia="Arial" w:hAnsi="Arial"/>
                <w:sz w:val="11"/>
                <w:szCs w:val="11"/>
                <w:color w:val="auto"/>
              </w:rPr>
              <w:t>Title:</w:t>
            </w:r>
          </w:p>
        </w:tc>
        <w:tc>
          <w:tcPr>
            <w:tcW w:w="5040" w:type="dxa"/>
            <w:vAlign w:val="bottom"/>
          </w:tcPr>
          <w:p>
            <w:pPr>
              <w:ind w:left="20"/>
              <w:spacing w:after="0"/>
              <w:rPr>
                <w:sz w:val="20"/>
                <w:szCs w:val="20"/>
                <w:color w:val="auto"/>
              </w:rPr>
            </w:pPr>
            <w:r>
              <w:rPr>
                <w:rFonts w:ascii="Arial" w:cs="Arial" w:eastAsia="Arial" w:hAnsi="Arial"/>
                <w:sz w:val="11"/>
                <w:szCs w:val="11"/>
                <w:color w:val="auto"/>
              </w:rPr>
              <w:t>Vice President, General Counsel and Secretary</w:t>
            </w:r>
          </w:p>
        </w:tc>
      </w:tr>
    </w:tbl>
    <w:p>
      <w:pPr>
        <w:sectPr>
          <w:pgSz w:w="11900" w:h="16838" w:orient="portrait"/>
          <w:cols w:equalWidth="0" w:num="1">
            <w:col w:w="11420"/>
          </w:cols>
          <w:pgMar w:left="220" w:top="731" w:right="25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273685</wp:posOffset>
            </wp:positionV>
            <wp:extent cx="7243445" cy="41897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201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3445" cy="420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377825</wp:posOffset>
            </wp:positionV>
            <wp:extent cx="7243445" cy="41897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3445" cy="4189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2019-12-29T03:34:36Z</dcterms:created>
  <dcterms:modified xsi:type="dcterms:W3CDTF">2019-12-29T03:34:36Z</dcterms:modified>
</cp:coreProperties>
</file>