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92710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154940</wp:posOffset>
            </wp:positionV>
            <wp:extent cx="295021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021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Iowa</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001-06403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42-0802678</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P.O. Box 152, Forest City, Iowa</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50436</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641-585-3535</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Trading</w:t>
            </w:r>
          </w:p>
        </w:tc>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$0.50 par value per share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WGO</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October 29, 2019, Winnebago Industries, Inc. (the “Company”) entered into a Purchase Agreement (the “Purchase Agreement”) with Goldman Sachs &amp; Co. LLC and BMO Capital Markets Corp., in their capacity as initial purchasers (the “Initial Purchasers”), relating to the sale of $270.0 million in aggregate principal amount of the Company’s 1.50% convertible senior notes due 2025 (the “notes”) to the Initial Purchasers. The Company also granted the Initial Purchasers a 30-day option to purchase up to an additional $30.0 million in aggregate principal amount of notes (the “option”).</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October 30, 2019, the Initial Purchasers notified the Company of their election to purchase an additional $30.0 million in aggregate principal amount of notes pursuant to the option. A total of $300.0 million in aggregate principal amount of notes was issued by the Company to the Initial Purchasers on November 1, 2019.</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Purchase Agreement includes customary representations, warranties and covenants by the Company and customary closing conditions. Under the terms of the Purchase Agreement, the Company has agreed to indemnify the Initial Purchasers against certain liabilities.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Purchase Agreement is qualified in its entirety by reference to the Purchase Agreement, which is filed as Exhibit 10.1 to this Current Report on Form 8-K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and the Notes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November 1, 2019, the Company entered into an indenture relating to the issuance of the notes (the “Indenture”) with U.S. Bank National Association, as trustee (the “Trustee”). The notes will bear interest at the annual rate of 1.50%, payable on April 1 and October 1 of each year, beginning on April 1, 2020, and will mature on April 1, 2025, unless earlier converted or repurchased. The Company will settle conversions by paying or delivering, as applicable, cash, shares of its common stock or a combination of cash and shares of its common stock, at its election, based on the applicable conversion rate(s). The initial conversion rate for the notes is 15.6906 shares of common stock per $1,000 principal amount of the notes, which is equal to an initial conversion price of approximately $63.73 per share. The initial conversion price of the notes represents a premium of approximately 32.5% over the $48.10 per share closing price of the Company’s common stock on October 29, 2019. The conversion rate will be subject to adjustment upon the occurrence of events specified in the Indenture but will not be adjusted for accrued and unpaid interest on any note being converted. In addition, upon the occurrence of a make-whole fundamental change (as defined in the Indenture) during the make-whole fundamental change conversion period (as defined in the indenture), the Company will, in certain circumstances, increase the conversion rate by the number of additional shares described in the Indenture for a holder that elects to convert such holder’s notes in connection with such make-whole fundamental change.</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Holders of the notes may convert their notes prior to the close of business on the business day immediately preceding October 1, 2024, only under the following circumstances:</w:t>
      </w:r>
    </w:p>
    <w:p>
      <w:pPr>
        <w:spacing w:after="0" w:line="170" w:lineRule="exact"/>
        <w:rPr>
          <w:sz w:val="20"/>
          <w:szCs w:val="20"/>
          <w:color w:val="auto"/>
        </w:rPr>
      </w:pPr>
    </w:p>
    <w:p>
      <w:pPr>
        <w:ind w:left="660" w:right="40" w:hanging="328"/>
        <w:spacing w:after="0" w:line="286"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December 31, 2019 (and only during such calendar quarter), if the “last reported sale price”(as defined in the Indenture) per share of the Company’s common stock for each of at least 20 trading days (whether or not consecutive) during a period of 30 consecutive trading days ending on, and including, the last trading day of the immediately preceding calendar quarter is greater than 130% of the “conversion price” (as defined in the Indenture) for the notes on each applicable trading day;</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five consecutive trading day period (the “measurement period”) in which the “trading price” (as defined in the Indenture) per $1,000 principal amount of notes for each trading day of the measurement period was less than 98% of the product of the last reported sale price per share of the Company’s common stock on such trading day and the conversion rate on such trading day;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or after October 1, 2024, until the close of business on the second scheduled trading day immediately preceding the maturity date, holders of the notes may convert their notes at any time regardless of the foregoing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not redeem the notes at its option prior to the maturity date, and no sinking fund is provided for the notes.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If the Company undergoes a fundamental change, as described in the Indenture, prior to the maturity date of the notes, holders of the notes will, subject to specified conditions, have the right to require the Company to repurchase their notes for cash at a repurchase price equal to the principal amount of the notes to be repurchased, plus accrued and unpaid interest on such notes to, but excluding, the “fundamental change repurchase date” (as defined in the Indenture).</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Indenture contains customary terms and covenants, including that upon certain events of default occurring and continuing, either the Trustee or the holders of at least 25% of the aggregate principal amount of the outstanding notes may declare the principal of, and accrued and unpaid interest, if any, on, all the notes then outstanding to be due and payable immediately.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420"/>
        <w:spacing w:after="0" w:line="308" w:lineRule="auto"/>
        <w:rPr>
          <w:sz w:val="20"/>
          <w:szCs w:val="20"/>
          <w:color w:val="auto"/>
        </w:rPr>
      </w:pPr>
      <w:r>
        <w:rPr>
          <w:rFonts w:ascii="Arial" w:cs="Arial" w:eastAsia="Arial" w:hAnsi="Arial"/>
          <w:sz w:val="17"/>
          <w:szCs w:val="17"/>
          <w:color w:val="auto"/>
        </w:rPr>
        <w:t>The foregoing description is qualified in its entirety by reference to the text of the Indenture and the Form of 1.50% Convertible Senior Notes due 2025, which are attached as Exhibits 4.1 and 4.2, respectively, to this Current Report on Form 8-K and are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Bond Hedge and Warrant Transactions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October 29, 2019, in connection with the pricing of the notes, the Company entered into privately negotiated convertible bond hedge transactions (the “Base Hedge Transactions”) with Goldman Sachs &amp; Co. LLC and Bank of Montreal (the “Option Counterparties”). On October 30, 2019, in connection with the Initial Purchasers’ exercise of their option to purchase additional notes, the Company entered into additional convertible bond hedge transactions (the “Additional Hedge Transactions” and, together with the Base Hedge Transactions, the “Hedge Transactions”) with the Option Counterparties.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Hedge Transactions cover, subject to customary anti-dilution adjustments, the number of shares of the Company’s common stock that initially underlie the notes, and are expected generally to reduce the potential dilution and/or offset any cash payments the Company is required to make in excess of the principal amount due, as the case may be, upon conversion of the notes in the event that the market price of the Company’s common stock is greater than the strike price of the Hedge Transactions, which is initially $63.73 per share (subject to adjustment under the terms of the Hedge Transactions), corresponding to the initial conversion price of the notes.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29, 2019, the Company also entered into separate, privately negotiated warrant transactions with the Option Counterparties (the “Base Warrant Transactions”). On October 30, 2019, the Company entered into additional privately negotiated warrant transactions (the “Additional Warrant Transactions” and, together with the Base Warrant Transactions, the “Warrant Transactions”) with the Option Counterparties. Pursuant to the Warrant Transactions, the Company sold warrants at a higher strike price relating to the same number of shares of the Company’s common stock that initially underlie the notes, subject to customary anti-dilution adjustments. The initial strike price of the warrants is $96.20 per share (subject to adjustment under the terms of the Warrant Transactions), which is approximately 100% above the last reported sale price of the Company’s common stock on October 29, 2019. The Warrant Transactions could have a dilutive effect to the Company’s stockholders to the extent that the market price per share of the Company’s common stock, as measured under the terms of the Warrant Transactions, exceeds the applicable strike price of the warrants.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used approximately $25.7 million of the net proceeds of the offering of the notes to pay the cost of the Hedge Transactions (after such cost was partially offset by the proceeds to the Company from the sale of warrants in the Warrant Transactions).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Hedge Transactions and the Warrant Transactions are separate transactions, in each case, entered into by the Company with the Option Counterparties, and are not part of the terms of the notes and will not affect any holder’s rights under the notes. Holders of the notes will not have any rights with respect to the Hedge Transactions or the Warrant Transactions.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foregoing description of the Hedge Transactions and Warrant Transactions is qualified in its entirety by reference to the copies of the confirmations for the Hedge Transactions and the Warrant Transactions, which are attached as Exhibits 10.2 through 10.9 to this Current Report on Form 8-K and are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and Off-Balance Sheet Arrangement of a Registrant.</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information set forth under the heading “Indenture and the Notes” under Item 1.01 of this Current Report on Form 8-K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described in Item 1.01 of this Current Report on Form 8-K, on November 1, 2019, the Company issued $300.0 million aggregate principal amount of notes to the Initial Purchasers in a private placement pursuant to exemptions from the registration requirements of the Securities Act of 1933, as amended (the “Securities Act”), pursuant to the terms of the Purchase Agreement. The Company offered and sold the notes to the Initial Purchasers in reliance on the exemption from registration provided by Section 4(a)(2) of the Securities Act, for resale by such Initial Purchasers to “qualified institutional buyers” pursuant to the exemption from registration provided by Rule 144A under the Securities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 w:name="page4"/>
    <w:bookmarkEnd w:id="3"/>
    <w:p>
      <w:pPr>
        <w:ind w:right="20"/>
        <w:spacing w:after="0" w:line="293" w:lineRule="auto"/>
        <w:rPr>
          <w:sz w:val="20"/>
          <w:szCs w:val="20"/>
          <w:color w:val="auto"/>
        </w:rPr>
      </w:pPr>
      <w:r>
        <w:rPr>
          <w:rFonts w:ascii="Arial" w:cs="Arial" w:eastAsia="Arial" w:hAnsi="Arial"/>
          <w:sz w:val="16"/>
          <w:szCs w:val="16"/>
          <w:color w:val="auto"/>
        </w:rPr>
        <w:t>In addition, as described in Item 1.01 of this Current Report on Form 8-K, on October 29, 2019, the Company entered into the Base Warrant Transactions with the Option Counterparties, and on October 30, 2019, the Company entered into the Additional Warrant Transactions with the Option Counterparties. Pursuant to the Warrant Transactions, the Company issued warrants to the Option Counterparties relating to the same number of shares of the Company’s common stock initially underlying the notes, with a strike price of $96.20 per share. The number of warrants and the strike price are subject to adjustment under certain circumstances described in the respective confirmations for the Warrant Transactions. The Company offered and sold the warrants in reliance on the exemption from registration requirements of the Securities Act afforded by Section 4(a)(2) of the Securities Act.</w:t>
      </w:r>
    </w:p>
    <w:p>
      <w:pPr>
        <w:spacing w:after="0" w:line="16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offer and sale of the notes and the warrants are not being registered under the Securities Act, or the securities laws of any other jurisdiction. Neither the notes nor the warrants may be offered or sold in the United States except in transactions exempt from, or not subject to, the registration requirements of the Securities Act and any applicable state securities laws.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29, 2019, the Company issued a press release announcing the pricing of the notes.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accordance with Rule 135c(d) under the Securities Act, a copy of the press release is attached as Exhibit 99.1 to this Current Report on Form 8-K and is incorporated herein by reference.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Current Report on Form 8-K does not constitute an offer to sell or a solicitation of an offer to buy the securities described herein, nor shall there be any offer or sale of these securities in any state or jurisdiction in which such offer, solicitation or sale would be unlawful prior to registration or qualification under the securities laws of such jurisdiction.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16"/>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gridSpan w:val="11"/>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8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4"/>
                <w:szCs w:val="14"/>
                <w:color w:val="auto"/>
              </w:rPr>
            </w:pPr>
          </w:p>
        </w:tc>
        <w:tc>
          <w:tcPr>
            <w:tcW w:w="8440" w:type="dxa"/>
            <w:vAlign w:val="bottom"/>
            <w:tcBorders>
              <w:top w:val="single" w:sz="8" w:color="auto"/>
              <w:bottom w:val="single" w:sz="8" w:color="0000EE"/>
            </w:tcBorders>
            <w:gridSpan w:val="7"/>
          </w:tcPr>
          <w:p>
            <w:pPr>
              <w:spacing w:after="0" w:line="170"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Indenture, dated November 1, 2019, by and between Winnebago Industries, Inc. and U.S. Bank National Association.</w:t>
              </w:r>
            </w:hyperlink>
          </w:p>
        </w:tc>
        <w:tc>
          <w:tcPr>
            <w:tcW w:w="1460" w:type="dxa"/>
            <w:vAlign w:val="bottom"/>
            <w:tcBorders>
              <w:top w:val="single" w:sz="8" w:color="auto"/>
            </w:tcBorders>
            <w:gridSpan w:val="8"/>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36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Form of 1.50% Convertible Senior Note due 2025 (included in Exhibit 4.1).</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36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Purchase Agreement, dated October 29, 2019, by and among Winnebago Industries, Inc., and Goldman Sachs &amp; Co. LLC and BMO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Capital Markets Corp.</w:t>
              </w:r>
            </w:hyperlink>
          </w:p>
        </w:tc>
        <w:tc>
          <w:tcPr>
            <w:tcW w:w="7920" w:type="dxa"/>
            <w:vAlign w:val="bottom"/>
            <w:tcBorders>
              <w:top w:val="single" w:sz="8" w:color="0000EE"/>
            </w:tcBorders>
            <w:gridSpan w:val="9"/>
          </w:tcPr>
          <w:p>
            <w:pPr>
              <w:spacing w:after="0"/>
              <w:rPr>
                <w:sz w:val="17"/>
                <w:szCs w:val="17"/>
                <w:color w:val="auto"/>
              </w:rPr>
            </w:pPr>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360" w:type="dxa"/>
            <w:vAlign w:val="bottom"/>
          </w:tcPr>
          <w:p>
            <w:pPr>
              <w:spacing w:after="0"/>
              <w:rPr>
                <w:sz w:val="17"/>
                <w:szCs w:val="17"/>
                <w:color w:val="auto"/>
              </w:rPr>
            </w:pPr>
          </w:p>
        </w:tc>
        <w:tc>
          <w:tcPr>
            <w:tcW w:w="96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Base Convertible Bond Hedge Confirmation, dated October 29, 2019, between Winnebago Industries, Inc., and Goldman Sachs &amp; Co.</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LLC.</w:t>
              </w:r>
            </w:hyperlink>
          </w:p>
        </w:tc>
        <w:tc>
          <w:tcPr>
            <w:tcW w:w="9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360" w:type="dxa"/>
            <w:vAlign w:val="bottom"/>
          </w:tcPr>
          <w:p>
            <w:pPr>
              <w:spacing w:after="0"/>
              <w:rPr>
                <w:sz w:val="17"/>
                <w:szCs w:val="17"/>
                <w:color w:val="auto"/>
              </w:rPr>
            </w:pPr>
          </w:p>
        </w:tc>
        <w:tc>
          <w:tcPr>
            <w:tcW w:w="93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Base Convertible Bond Hedge Confirmation, dated October 29, 2019, between Winnebago Industries, Inc., and Bank of Montreal.</w:t>
              </w:r>
            </w:hyperlink>
          </w:p>
        </w:tc>
        <w:tc>
          <w:tcPr>
            <w:tcW w:w="5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36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00">
              <w:r>
                <w:rPr>
                  <w:rFonts w:ascii="Arial" w:cs="Arial" w:eastAsia="Arial" w:hAnsi="Arial"/>
                  <w:sz w:val="18"/>
                  <w:szCs w:val="18"/>
                  <w:color w:val="0000EE"/>
                  <w:w w:val="90"/>
                </w:rPr>
                <w:t>Additional Convertible Bond Hedge Confirmation, dated October 30, 2019, between Winnebago Industries, Inc., and Goldman Sachs &amp;</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00">
              <w:r>
                <w:rPr>
                  <w:rFonts w:ascii="Arial" w:cs="Arial" w:eastAsia="Arial" w:hAnsi="Arial"/>
                  <w:sz w:val="18"/>
                  <w:szCs w:val="18"/>
                  <w:color w:val="0000EE"/>
                  <w:w w:val="90"/>
                </w:rPr>
                <w:t>Co. LLC.</w:t>
              </w:r>
            </w:hyperlink>
          </w:p>
        </w:tc>
        <w:tc>
          <w:tcPr>
            <w:tcW w:w="92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36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29">
              <w:r>
                <w:rPr>
                  <w:rFonts w:ascii="Arial" w:cs="Arial" w:eastAsia="Arial" w:hAnsi="Arial"/>
                  <w:sz w:val="18"/>
                  <w:szCs w:val="18"/>
                  <w:color w:val="0000EE"/>
                  <w:w w:val="91"/>
                </w:rPr>
                <w:t>Additional Convertible Bond Hedge Confirmation, dated October 30, 2019, between Winnebago Industries, Inc., and Bank of Montreal.</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360" w:type="dxa"/>
            <w:vAlign w:val="bottom"/>
          </w:tcPr>
          <w:p>
            <w:pPr>
              <w:spacing w:after="0"/>
              <w:rPr>
                <w:sz w:val="17"/>
                <w:szCs w:val="17"/>
                <w:color w:val="auto"/>
              </w:rPr>
            </w:pPr>
          </w:p>
        </w:tc>
        <w:tc>
          <w:tcPr>
            <w:tcW w:w="88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58">
              <w:r>
                <w:rPr>
                  <w:rFonts w:ascii="Arial" w:cs="Arial" w:eastAsia="Arial" w:hAnsi="Arial"/>
                  <w:sz w:val="18"/>
                  <w:szCs w:val="18"/>
                  <w:color w:val="0000EE"/>
                  <w:w w:val="90"/>
                </w:rPr>
                <w:t>Base Warrant Confirmation, dated October 29, 2019, between Winnebago Industries, Inc., and Goldman Sachs &amp; Co. LLC.</w:t>
              </w:r>
            </w:hyperlink>
          </w:p>
        </w:tc>
        <w:tc>
          <w:tcPr>
            <w:tcW w:w="10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36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Base Warrant Confirmation, dated October 29, 2019, between Winnebago Industries, Inc., and Bank of Montreal</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360" w:type="dxa"/>
            <w:vAlign w:val="bottom"/>
          </w:tcPr>
          <w:p>
            <w:pPr>
              <w:spacing w:after="0"/>
              <w:rPr>
                <w:sz w:val="17"/>
                <w:szCs w:val="17"/>
                <w:color w:val="auto"/>
              </w:rPr>
            </w:pPr>
          </w:p>
        </w:tc>
        <w:tc>
          <w:tcPr>
            <w:tcW w:w="92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14">
              <w:r>
                <w:rPr>
                  <w:rFonts w:ascii="Arial" w:cs="Arial" w:eastAsia="Arial" w:hAnsi="Arial"/>
                  <w:sz w:val="18"/>
                  <w:szCs w:val="18"/>
                  <w:color w:val="0000EE"/>
                  <w:w w:val="91"/>
                </w:rPr>
                <w:t>Additional Warrant Confirmation, dated October 30, 2019, between Winnebago Industries, Inc., and Goldman Sachs &amp; Co. LLC.</w:t>
              </w:r>
            </w:hyperlink>
          </w:p>
        </w:tc>
        <w:tc>
          <w:tcPr>
            <w:tcW w:w="6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10.9</w:t>
            </w:r>
          </w:p>
        </w:tc>
        <w:tc>
          <w:tcPr>
            <w:tcW w:w="360" w:type="dxa"/>
            <w:vAlign w:val="bottom"/>
          </w:tcPr>
          <w:p>
            <w:pPr>
              <w:spacing w:after="0"/>
              <w:rPr>
                <w:sz w:val="17"/>
                <w:szCs w:val="17"/>
                <w:color w:val="auto"/>
              </w:rPr>
            </w:pPr>
          </w:p>
        </w:tc>
        <w:tc>
          <w:tcPr>
            <w:tcW w:w="8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42">
              <w:r>
                <w:rPr>
                  <w:rFonts w:ascii="Arial" w:cs="Arial" w:eastAsia="Arial" w:hAnsi="Arial"/>
                  <w:sz w:val="18"/>
                  <w:szCs w:val="18"/>
                  <w:color w:val="0000EE"/>
                  <w:w w:val="91"/>
                </w:rPr>
                <w:t>Additional Warrant Confirmation, dated October 30, 2019, between Winnebago Industries, Inc., and Bank of Montreal.</w:t>
              </w:r>
            </w:hyperlink>
          </w:p>
        </w:tc>
        <w:tc>
          <w:tcPr>
            <w:tcW w:w="1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rPr>
            </w:pPr>
            <w:hyperlink w:anchor="page370">
              <w:r>
                <w:rPr>
                  <w:rFonts w:ascii="Arial" w:cs="Arial" w:eastAsia="Arial" w:hAnsi="Arial"/>
                  <w:sz w:val="18"/>
                  <w:szCs w:val="18"/>
                  <w:color w:val="0000EE"/>
                </w:rPr>
                <w:t>Press release, dated October 29, 2019.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relating to our proposed acquisition of Newmar Corporation, the transactions contemplated herein, increases in interest rates, availability of credit, low consumer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right="40"/>
        <w:spacing w:after="0" w:line="284" w:lineRule="auto"/>
        <w:rPr>
          <w:sz w:val="20"/>
          <w:szCs w:val="20"/>
          <w:color w:val="auto"/>
        </w:rPr>
      </w:pPr>
      <w:r>
        <w:rPr>
          <w:rFonts w:ascii="Arial" w:cs="Arial" w:eastAsia="Arial" w:hAnsi="Arial"/>
          <w:sz w:val="16"/>
          <w:szCs w:val="16"/>
          <w:color w:val="auto"/>
        </w:rPr>
        <w:t>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our Enterprise Resource Planning System,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WINNEBAGO INDUSTRIES, INC.</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4, 2019</w:t>
            </w:r>
          </w:p>
        </w:tc>
        <w:tc>
          <w:tcPr>
            <w:tcW w:w="268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Stacy L. Bogart</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68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Stacy L. Bogart</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680" w:type="dxa"/>
            <w:vAlign w:val="bottom"/>
          </w:tcPr>
          <w:p>
            <w:pPr>
              <w:ind w:left="20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General Counsel and Corporate Secretary</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680" w:type="dxa"/>
            <w:vAlign w:val="bottom"/>
          </w:tcPr>
          <w:p>
            <w:pPr>
              <w:ind w:left="1860"/>
              <w:spacing w:after="0"/>
              <w:rPr>
                <w:sz w:val="20"/>
                <w:szCs w:val="20"/>
                <w:color w:val="auto"/>
              </w:rPr>
            </w:pPr>
            <w:r>
              <w:rPr>
                <w:rFonts w:ascii="Arial" w:cs="Arial" w:eastAsia="Arial" w:hAnsi="Arial"/>
                <w:sz w:val="18"/>
                <w:szCs w:val="18"/>
                <w:color w:val="auto"/>
              </w:rPr>
              <w:t>5</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306705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WINNEBAGO INDUSTRIES, INC.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U.S. BANK NATIONAL ASSOCIATION</w:t>
      </w:r>
    </w:p>
    <w:p>
      <w:pPr>
        <w:spacing w:after="0" w:line="24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220980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220980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1.50% Convertible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306705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527685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0" w:type="dxa"/>
            <w:vAlign w:val="bottom"/>
          </w:tcPr>
          <w:p>
            <w:pPr>
              <w:ind w:left="300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r>
      <w:tr>
        <w:trPr>
          <w:trHeight w:val="365"/>
        </w:trPr>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Page</w:t>
            </w:r>
          </w:p>
        </w:tc>
      </w:tr>
      <w:tr>
        <w:trPr>
          <w:trHeight w:val="426"/>
        </w:trPr>
        <w:tc>
          <w:tcPr>
            <w:tcW w:w="10560" w:type="dxa"/>
            <w:vAlign w:val="bottom"/>
            <w:gridSpan w:val="3"/>
          </w:tcPr>
          <w:p>
            <w:pPr>
              <w:spacing w:after="0"/>
              <w:rPr>
                <w:sz w:val="20"/>
                <w:szCs w:val="20"/>
                <w:color w:val="auto"/>
              </w:rPr>
            </w:pPr>
            <w:r>
              <w:rPr>
                <w:rFonts w:ascii="Arial" w:cs="Arial" w:eastAsia="Arial" w:hAnsi="Arial"/>
                <w:sz w:val="18"/>
                <w:szCs w:val="18"/>
                <w:color w:val="auto"/>
              </w:rPr>
              <w:t>Article 1.  Definitions; Rules of Construction</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1.01.</w:t>
            </w:r>
          </w:p>
        </w:tc>
        <w:tc>
          <w:tcPr>
            <w:tcW w:w="880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1.02.</w:t>
            </w:r>
          </w:p>
        </w:tc>
        <w:tc>
          <w:tcPr>
            <w:tcW w:w="8800" w:type="dxa"/>
            <w:vAlign w:val="bottom"/>
          </w:tcPr>
          <w:p>
            <w:pPr>
              <w:ind w:left="80"/>
              <w:spacing w:after="0"/>
              <w:rPr>
                <w:sz w:val="20"/>
                <w:szCs w:val="20"/>
                <w:color w:val="auto"/>
              </w:rPr>
            </w:pPr>
            <w:r>
              <w:rPr>
                <w:rFonts w:ascii="Arial" w:cs="Arial" w:eastAsia="Arial" w:hAnsi="Arial"/>
                <w:sz w:val="18"/>
                <w:szCs w:val="18"/>
                <w:color w:val="auto"/>
              </w:rPr>
              <w:t>Other Definitions</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1.03.</w:t>
            </w:r>
          </w:p>
        </w:tc>
        <w:tc>
          <w:tcPr>
            <w:tcW w:w="8800" w:type="dxa"/>
            <w:vAlign w:val="bottom"/>
          </w:tcPr>
          <w:p>
            <w:pPr>
              <w:ind w:left="80"/>
              <w:spacing w:after="0"/>
              <w:rPr>
                <w:sz w:val="20"/>
                <w:szCs w:val="20"/>
                <w:color w:val="auto"/>
              </w:rPr>
            </w:pPr>
            <w:r>
              <w:rPr>
                <w:rFonts w:ascii="Arial" w:cs="Arial" w:eastAsia="Arial" w:hAnsi="Arial"/>
                <w:sz w:val="18"/>
                <w:szCs w:val="18"/>
                <w:color w:val="auto"/>
              </w:rPr>
              <w:t>Rules of Construction</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Article 2.</w:t>
            </w:r>
          </w:p>
        </w:tc>
        <w:tc>
          <w:tcPr>
            <w:tcW w:w="1000" w:type="dxa"/>
            <w:vAlign w:val="bottom"/>
          </w:tcPr>
          <w:p>
            <w:pPr>
              <w:ind w:left="60"/>
              <w:spacing w:after="0"/>
              <w:rPr>
                <w:sz w:val="20"/>
                <w:szCs w:val="20"/>
                <w:color w:val="auto"/>
              </w:rPr>
            </w:pPr>
            <w:r>
              <w:rPr>
                <w:rFonts w:ascii="Arial" w:cs="Arial" w:eastAsia="Arial" w:hAnsi="Arial"/>
                <w:sz w:val="18"/>
                <w:szCs w:val="18"/>
                <w:color w:val="auto"/>
              </w:rPr>
              <w:t>The Notes</w:t>
            </w:r>
          </w:p>
        </w:tc>
        <w:tc>
          <w:tcPr>
            <w:tcW w:w="8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2.01.</w:t>
            </w:r>
          </w:p>
        </w:tc>
        <w:tc>
          <w:tcPr>
            <w:tcW w:w="8800" w:type="dxa"/>
            <w:vAlign w:val="bottom"/>
          </w:tcPr>
          <w:p>
            <w:pPr>
              <w:ind w:left="80"/>
              <w:spacing w:after="0"/>
              <w:rPr>
                <w:sz w:val="20"/>
                <w:szCs w:val="20"/>
                <w:color w:val="auto"/>
              </w:rPr>
            </w:pPr>
            <w:r>
              <w:rPr>
                <w:rFonts w:ascii="Arial" w:cs="Arial" w:eastAsia="Arial" w:hAnsi="Arial"/>
                <w:sz w:val="18"/>
                <w:szCs w:val="18"/>
                <w:color w:val="auto"/>
              </w:rPr>
              <w:t>Form, Dating and Denominations</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2.02.</w:t>
            </w:r>
          </w:p>
        </w:tc>
        <w:tc>
          <w:tcPr>
            <w:tcW w:w="8800" w:type="dxa"/>
            <w:vAlign w:val="bottom"/>
          </w:tcPr>
          <w:p>
            <w:pPr>
              <w:ind w:left="80"/>
              <w:spacing w:after="0"/>
              <w:rPr>
                <w:sz w:val="20"/>
                <w:szCs w:val="20"/>
                <w:color w:val="auto"/>
              </w:rPr>
            </w:pPr>
            <w:r>
              <w:rPr>
                <w:rFonts w:ascii="Arial" w:cs="Arial" w:eastAsia="Arial" w:hAnsi="Arial"/>
                <w:sz w:val="18"/>
                <w:szCs w:val="18"/>
                <w:color w:val="auto"/>
              </w:rPr>
              <w:t>Execution, Authentication and Delivery</w:t>
            </w: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2.03.</w:t>
            </w:r>
          </w:p>
        </w:tc>
        <w:tc>
          <w:tcPr>
            <w:tcW w:w="8800" w:type="dxa"/>
            <w:vAlign w:val="bottom"/>
          </w:tcPr>
          <w:p>
            <w:pPr>
              <w:ind w:left="80"/>
              <w:spacing w:after="0"/>
              <w:rPr>
                <w:sz w:val="20"/>
                <w:szCs w:val="20"/>
                <w:color w:val="auto"/>
              </w:rPr>
            </w:pPr>
            <w:r>
              <w:rPr>
                <w:rFonts w:ascii="Arial" w:cs="Arial" w:eastAsia="Arial" w:hAnsi="Arial"/>
                <w:sz w:val="18"/>
                <w:szCs w:val="18"/>
                <w:color w:val="auto"/>
              </w:rPr>
              <w:t>Initial Notes and Additional Notes</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2.04.</w:t>
            </w:r>
          </w:p>
        </w:tc>
        <w:tc>
          <w:tcPr>
            <w:tcW w:w="8800" w:type="dxa"/>
            <w:vAlign w:val="bottom"/>
          </w:tcPr>
          <w:p>
            <w:pPr>
              <w:ind w:left="80"/>
              <w:spacing w:after="0"/>
              <w:rPr>
                <w:sz w:val="20"/>
                <w:szCs w:val="20"/>
                <w:color w:val="auto"/>
              </w:rPr>
            </w:pPr>
            <w:r>
              <w:rPr>
                <w:rFonts w:ascii="Arial" w:cs="Arial" w:eastAsia="Arial" w:hAnsi="Arial"/>
                <w:sz w:val="18"/>
                <w:szCs w:val="18"/>
                <w:color w:val="auto"/>
              </w:rPr>
              <w:t>Method of Payment</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2.05.</w:t>
            </w:r>
          </w:p>
        </w:tc>
        <w:tc>
          <w:tcPr>
            <w:tcW w:w="8800" w:type="dxa"/>
            <w:vAlign w:val="bottom"/>
          </w:tcPr>
          <w:p>
            <w:pPr>
              <w:ind w:left="80"/>
              <w:spacing w:after="0"/>
              <w:rPr>
                <w:sz w:val="20"/>
                <w:szCs w:val="20"/>
                <w:color w:val="auto"/>
              </w:rPr>
            </w:pPr>
            <w:r>
              <w:rPr>
                <w:rFonts w:ascii="Arial" w:cs="Arial" w:eastAsia="Arial" w:hAnsi="Arial"/>
                <w:sz w:val="18"/>
                <w:szCs w:val="18"/>
                <w:color w:val="auto"/>
              </w:rPr>
              <w:t>Accrual of Interest; Defaulted Amounts; When Payment Date is Not a Business Day</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2.06.</w:t>
            </w:r>
          </w:p>
        </w:tc>
        <w:tc>
          <w:tcPr>
            <w:tcW w:w="8800" w:type="dxa"/>
            <w:vAlign w:val="bottom"/>
          </w:tcPr>
          <w:p>
            <w:pPr>
              <w:ind w:left="80"/>
              <w:spacing w:after="0"/>
              <w:rPr>
                <w:sz w:val="20"/>
                <w:szCs w:val="20"/>
                <w:color w:val="auto"/>
              </w:rPr>
            </w:pPr>
            <w:r>
              <w:rPr>
                <w:rFonts w:ascii="Arial" w:cs="Arial" w:eastAsia="Arial" w:hAnsi="Arial"/>
                <w:sz w:val="18"/>
                <w:szCs w:val="18"/>
                <w:color w:val="auto"/>
              </w:rPr>
              <w:t>Registrar, Paying Agent and Conversion Agent</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2.07.</w:t>
            </w:r>
          </w:p>
        </w:tc>
        <w:tc>
          <w:tcPr>
            <w:tcW w:w="8800" w:type="dxa"/>
            <w:vAlign w:val="bottom"/>
          </w:tcPr>
          <w:p>
            <w:pPr>
              <w:ind w:left="80"/>
              <w:spacing w:after="0"/>
              <w:rPr>
                <w:sz w:val="20"/>
                <w:szCs w:val="20"/>
                <w:color w:val="auto"/>
              </w:rPr>
            </w:pPr>
            <w:r>
              <w:rPr>
                <w:rFonts w:ascii="Arial" w:cs="Arial" w:eastAsia="Arial" w:hAnsi="Arial"/>
                <w:sz w:val="18"/>
                <w:szCs w:val="18"/>
                <w:color w:val="auto"/>
              </w:rPr>
              <w:t>Paying Agent and Conversion Agent to Hold Property in Trust</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2.08.</w:t>
            </w:r>
          </w:p>
        </w:tc>
        <w:tc>
          <w:tcPr>
            <w:tcW w:w="8800" w:type="dxa"/>
            <w:vAlign w:val="bottom"/>
          </w:tcPr>
          <w:p>
            <w:pPr>
              <w:ind w:left="80"/>
              <w:spacing w:after="0"/>
              <w:rPr>
                <w:sz w:val="20"/>
                <w:szCs w:val="20"/>
                <w:color w:val="auto"/>
              </w:rPr>
            </w:pPr>
            <w:r>
              <w:rPr>
                <w:rFonts w:ascii="Arial" w:cs="Arial" w:eastAsia="Arial" w:hAnsi="Arial"/>
                <w:sz w:val="18"/>
                <w:szCs w:val="18"/>
                <w:color w:val="auto"/>
              </w:rPr>
              <w:t>Holder Lists</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2.09.</w:t>
            </w:r>
          </w:p>
        </w:tc>
        <w:tc>
          <w:tcPr>
            <w:tcW w:w="8800" w:type="dxa"/>
            <w:vAlign w:val="bottom"/>
          </w:tcPr>
          <w:p>
            <w:pPr>
              <w:ind w:left="80"/>
              <w:spacing w:after="0"/>
              <w:rPr>
                <w:sz w:val="20"/>
                <w:szCs w:val="20"/>
                <w:color w:val="auto"/>
              </w:rPr>
            </w:pPr>
            <w:r>
              <w:rPr>
                <w:rFonts w:ascii="Arial" w:cs="Arial" w:eastAsia="Arial" w:hAnsi="Arial"/>
                <w:sz w:val="18"/>
                <w:szCs w:val="18"/>
                <w:color w:val="auto"/>
              </w:rPr>
              <w:t>Legends</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2.10.</w:t>
            </w:r>
          </w:p>
        </w:tc>
        <w:tc>
          <w:tcPr>
            <w:tcW w:w="8800" w:type="dxa"/>
            <w:vAlign w:val="bottom"/>
          </w:tcPr>
          <w:p>
            <w:pPr>
              <w:ind w:left="80"/>
              <w:spacing w:after="0"/>
              <w:rPr>
                <w:sz w:val="20"/>
                <w:szCs w:val="20"/>
                <w:color w:val="auto"/>
              </w:rPr>
            </w:pPr>
            <w:r>
              <w:rPr>
                <w:rFonts w:ascii="Arial" w:cs="Arial" w:eastAsia="Arial" w:hAnsi="Arial"/>
                <w:sz w:val="18"/>
                <w:szCs w:val="18"/>
                <w:color w:val="auto"/>
              </w:rPr>
              <w:t>Transfers and Exchanges; Certain Transfer Restrictions</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2.11.</w:t>
            </w:r>
          </w:p>
        </w:tc>
        <w:tc>
          <w:tcPr>
            <w:tcW w:w="8800" w:type="dxa"/>
            <w:vAlign w:val="bottom"/>
          </w:tcPr>
          <w:p>
            <w:pPr>
              <w:ind w:left="80"/>
              <w:spacing w:after="0"/>
              <w:rPr>
                <w:sz w:val="20"/>
                <w:szCs w:val="20"/>
                <w:color w:val="auto"/>
              </w:rPr>
            </w:pPr>
            <w:r>
              <w:rPr>
                <w:rFonts w:ascii="Arial" w:cs="Arial" w:eastAsia="Arial" w:hAnsi="Arial"/>
                <w:sz w:val="18"/>
                <w:szCs w:val="18"/>
                <w:color w:val="auto"/>
              </w:rPr>
              <w:t>Exchange and Cancellation of Notes to Be Converted or Repurchased</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2.12.</w:t>
            </w:r>
          </w:p>
        </w:tc>
        <w:tc>
          <w:tcPr>
            <w:tcW w:w="8800" w:type="dxa"/>
            <w:vAlign w:val="bottom"/>
          </w:tcPr>
          <w:p>
            <w:pPr>
              <w:ind w:left="80"/>
              <w:spacing w:after="0"/>
              <w:rPr>
                <w:sz w:val="20"/>
                <w:szCs w:val="20"/>
                <w:color w:val="auto"/>
              </w:rPr>
            </w:pPr>
            <w:r>
              <w:rPr>
                <w:rFonts w:ascii="Arial" w:cs="Arial" w:eastAsia="Arial" w:hAnsi="Arial"/>
                <w:sz w:val="18"/>
                <w:szCs w:val="18"/>
                <w:color w:val="auto"/>
              </w:rPr>
              <w:t>Removal of Transfer Restrictions</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2.13.</w:t>
            </w:r>
          </w:p>
        </w:tc>
        <w:tc>
          <w:tcPr>
            <w:tcW w:w="8800" w:type="dxa"/>
            <w:vAlign w:val="bottom"/>
          </w:tcPr>
          <w:p>
            <w:pPr>
              <w:ind w:left="80"/>
              <w:spacing w:after="0"/>
              <w:rPr>
                <w:sz w:val="20"/>
                <w:szCs w:val="20"/>
                <w:color w:val="auto"/>
              </w:rPr>
            </w:pPr>
            <w:r>
              <w:rPr>
                <w:rFonts w:ascii="Arial" w:cs="Arial" w:eastAsia="Arial" w:hAnsi="Arial"/>
                <w:sz w:val="18"/>
                <w:szCs w:val="18"/>
                <w:color w:val="auto"/>
              </w:rPr>
              <w:t>Replacement Notes</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2.14.</w:t>
            </w:r>
          </w:p>
        </w:tc>
        <w:tc>
          <w:tcPr>
            <w:tcW w:w="8800" w:type="dxa"/>
            <w:vAlign w:val="bottom"/>
          </w:tcPr>
          <w:p>
            <w:pPr>
              <w:ind w:left="80"/>
              <w:spacing w:after="0"/>
              <w:rPr>
                <w:sz w:val="20"/>
                <w:szCs w:val="20"/>
                <w:color w:val="auto"/>
              </w:rPr>
            </w:pPr>
            <w:r>
              <w:rPr>
                <w:rFonts w:ascii="Arial" w:cs="Arial" w:eastAsia="Arial" w:hAnsi="Arial"/>
                <w:sz w:val="18"/>
                <w:szCs w:val="18"/>
                <w:color w:val="auto"/>
              </w:rPr>
              <w:t>Registered Holders; Certain Rights with Respect to Global Notes</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2.15.</w:t>
            </w:r>
          </w:p>
        </w:tc>
        <w:tc>
          <w:tcPr>
            <w:tcW w:w="8800" w:type="dxa"/>
            <w:vAlign w:val="bottom"/>
          </w:tcPr>
          <w:p>
            <w:pPr>
              <w:ind w:left="80"/>
              <w:spacing w:after="0"/>
              <w:rPr>
                <w:sz w:val="20"/>
                <w:szCs w:val="20"/>
                <w:color w:val="auto"/>
              </w:rPr>
            </w:pPr>
            <w:r>
              <w:rPr>
                <w:rFonts w:ascii="Arial" w:cs="Arial" w:eastAsia="Arial" w:hAnsi="Arial"/>
                <w:sz w:val="18"/>
                <w:szCs w:val="18"/>
                <w:color w:val="auto"/>
              </w:rPr>
              <w:t>Cancellation</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2.16.</w:t>
            </w:r>
          </w:p>
        </w:tc>
        <w:tc>
          <w:tcPr>
            <w:tcW w:w="8800" w:type="dxa"/>
            <w:vAlign w:val="bottom"/>
          </w:tcPr>
          <w:p>
            <w:pPr>
              <w:ind w:left="80"/>
              <w:spacing w:after="0"/>
              <w:rPr>
                <w:sz w:val="20"/>
                <w:szCs w:val="20"/>
                <w:color w:val="auto"/>
              </w:rPr>
            </w:pPr>
            <w:r>
              <w:rPr>
                <w:rFonts w:ascii="Arial" w:cs="Arial" w:eastAsia="Arial" w:hAnsi="Arial"/>
                <w:sz w:val="18"/>
                <w:szCs w:val="18"/>
                <w:color w:val="auto"/>
              </w:rPr>
              <w:t>Notes Held by the Company or its Affiliates</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2.17.</w:t>
            </w:r>
          </w:p>
        </w:tc>
        <w:tc>
          <w:tcPr>
            <w:tcW w:w="8800" w:type="dxa"/>
            <w:vAlign w:val="bottom"/>
          </w:tcPr>
          <w:p>
            <w:pPr>
              <w:ind w:left="80"/>
              <w:spacing w:after="0"/>
              <w:rPr>
                <w:sz w:val="20"/>
                <w:szCs w:val="20"/>
                <w:color w:val="auto"/>
              </w:rPr>
            </w:pPr>
            <w:r>
              <w:rPr>
                <w:rFonts w:ascii="Arial" w:cs="Arial" w:eastAsia="Arial" w:hAnsi="Arial"/>
                <w:sz w:val="18"/>
                <w:szCs w:val="18"/>
                <w:color w:val="auto"/>
              </w:rPr>
              <w:t>Temporary Notes</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2.18.</w:t>
            </w:r>
          </w:p>
        </w:tc>
        <w:tc>
          <w:tcPr>
            <w:tcW w:w="8800" w:type="dxa"/>
            <w:vAlign w:val="bottom"/>
          </w:tcPr>
          <w:p>
            <w:pPr>
              <w:ind w:left="80"/>
              <w:spacing w:after="0"/>
              <w:rPr>
                <w:sz w:val="20"/>
                <w:szCs w:val="20"/>
                <w:color w:val="auto"/>
              </w:rPr>
            </w:pPr>
            <w:r>
              <w:rPr>
                <w:rFonts w:ascii="Arial" w:cs="Arial" w:eastAsia="Arial" w:hAnsi="Arial"/>
                <w:sz w:val="18"/>
                <w:szCs w:val="18"/>
                <w:color w:val="auto"/>
              </w:rPr>
              <w:t>Outstanding Notes</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2.19.</w:t>
            </w:r>
          </w:p>
        </w:tc>
        <w:tc>
          <w:tcPr>
            <w:tcW w:w="8800" w:type="dxa"/>
            <w:vAlign w:val="bottom"/>
          </w:tcPr>
          <w:p>
            <w:pPr>
              <w:ind w:left="80"/>
              <w:spacing w:after="0"/>
              <w:rPr>
                <w:sz w:val="20"/>
                <w:szCs w:val="20"/>
                <w:color w:val="auto"/>
              </w:rPr>
            </w:pPr>
            <w:r>
              <w:rPr>
                <w:rFonts w:ascii="Arial" w:cs="Arial" w:eastAsia="Arial" w:hAnsi="Arial"/>
                <w:sz w:val="18"/>
                <w:szCs w:val="18"/>
                <w:color w:val="auto"/>
              </w:rPr>
              <w:t>Repurchases by the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2.20.</w:t>
            </w:r>
          </w:p>
        </w:tc>
        <w:tc>
          <w:tcPr>
            <w:tcW w:w="8800" w:type="dxa"/>
            <w:vAlign w:val="bottom"/>
          </w:tcPr>
          <w:p>
            <w:pPr>
              <w:ind w:left="80"/>
              <w:spacing w:after="0"/>
              <w:rPr>
                <w:sz w:val="20"/>
                <w:szCs w:val="20"/>
                <w:color w:val="auto"/>
              </w:rPr>
            </w:pPr>
            <w:r>
              <w:rPr>
                <w:rFonts w:ascii="Arial" w:cs="Arial" w:eastAsia="Arial" w:hAnsi="Arial"/>
                <w:sz w:val="18"/>
                <w:szCs w:val="18"/>
                <w:color w:val="auto"/>
              </w:rPr>
              <w:t>CUSIP and ISIN Numbers</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Article 3.</w:t>
            </w:r>
          </w:p>
        </w:tc>
        <w:tc>
          <w:tcPr>
            <w:tcW w:w="1000" w:type="dxa"/>
            <w:vAlign w:val="bottom"/>
          </w:tcPr>
          <w:p>
            <w:pPr>
              <w:ind w:left="60"/>
              <w:spacing w:after="0"/>
              <w:rPr>
                <w:sz w:val="20"/>
                <w:szCs w:val="20"/>
                <w:color w:val="auto"/>
              </w:rPr>
            </w:pPr>
            <w:r>
              <w:rPr>
                <w:rFonts w:ascii="Arial" w:cs="Arial" w:eastAsia="Arial" w:hAnsi="Arial"/>
                <w:sz w:val="18"/>
                <w:szCs w:val="18"/>
                <w:color w:val="auto"/>
              </w:rPr>
              <w:t>Covenants</w:t>
            </w:r>
          </w:p>
        </w:tc>
        <w:tc>
          <w:tcPr>
            <w:tcW w:w="8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3.01.</w:t>
            </w:r>
          </w:p>
        </w:tc>
        <w:tc>
          <w:tcPr>
            <w:tcW w:w="8800" w:type="dxa"/>
            <w:vAlign w:val="bottom"/>
          </w:tcPr>
          <w:p>
            <w:pPr>
              <w:ind w:left="80"/>
              <w:spacing w:after="0"/>
              <w:rPr>
                <w:sz w:val="20"/>
                <w:szCs w:val="20"/>
                <w:color w:val="auto"/>
              </w:rPr>
            </w:pPr>
            <w:r>
              <w:rPr>
                <w:rFonts w:ascii="Arial" w:cs="Arial" w:eastAsia="Arial" w:hAnsi="Arial"/>
                <w:sz w:val="18"/>
                <w:szCs w:val="18"/>
                <w:color w:val="auto"/>
              </w:rPr>
              <w:t>Payment on Notes</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3.02.</w:t>
            </w:r>
          </w:p>
        </w:tc>
        <w:tc>
          <w:tcPr>
            <w:tcW w:w="8800" w:type="dxa"/>
            <w:vAlign w:val="bottom"/>
          </w:tcPr>
          <w:p>
            <w:pPr>
              <w:ind w:left="80"/>
              <w:spacing w:after="0"/>
              <w:rPr>
                <w:sz w:val="20"/>
                <w:szCs w:val="20"/>
                <w:color w:val="auto"/>
              </w:rPr>
            </w:pPr>
            <w:r>
              <w:rPr>
                <w:rFonts w:ascii="Arial" w:cs="Arial" w:eastAsia="Arial" w:hAnsi="Arial"/>
                <w:sz w:val="18"/>
                <w:szCs w:val="18"/>
                <w:color w:val="auto"/>
              </w:rPr>
              <w:t>Exchange Act Reports</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3.03.</w:t>
            </w:r>
          </w:p>
        </w:tc>
        <w:tc>
          <w:tcPr>
            <w:tcW w:w="8800" w:type="dxa"/>
            <w:vAlign w:val="bottom"/>
          </w:tcPr>
          <w:p>
            <w:pPr>
              <w:ind w:left="80"/>
              <w:spacing w:after="0"/>
              <w:rPr>
                <w:sz w:val="20"/>
                <w:szCs w:val="20"/>
                <w:color w:val="auto"/>
              </w:rPr>
            </w:pPr>
            <w:r>
              <w:rPr>
                <w:rFonts w:ascii="Arial" w:cs="Arial" w:eastAsia="Arial" w:hAnsi="Arial"/>
                <w:sz w:val="18"/>
                <w:szCs w:val="18"/>
                <w:color w:val="auto"/>
              </w:rPr>
              <w:t>Rule 144A Information</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3.04.</w:t>
            </w:r>
          </w:p>
        </w:tc>
        <w:tc>
          <w:tcPr>
            <w:tcW w:w="8800" w:type="dxa"/>
            <w:vAlign w:val="bottom"/>
          </w:tcPr>
          <w:p>
            <w:pPr>
              <w:ind w:left="80"/>
              <w:spacing w:after="0"/>
              <w:rPr>
                <w:sz w:val="20"/>
                <w:szCs w:val="20"/>
                <w:color w:val="auto"/>
              </w:rPr>
            </w:pPr>
            <w:r>
              <w:rPr>
                <w:rFonts w:ascii="Arial" w:cs="Arial" w:eastAsia="Arial" w:hAnsi="Arial"/>
                <w:sz w:val="18"/>
                <w:szCs w:val="18"/>
                <w:color w:val="auto"/>
              </w:rPr>
              <w:t>Additional 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3.05.</w:t>
            </w:r>
          </w:p>
        </w:tc>
        <w:tc>
          <w:tcPr>
            <w:tcW w:w="8800" w:type="dxa"/>
            <w:vAlign w:val="bottom"/>
          </w:tcPr>
          <w:p>
            <w:pPr>
              <w:ind w:left="80"/>
              <w:spacing w:after="0"/>
              <w:rPr>
                <w:sz w:val="20"/>
                <w:szCs w:val="20"/>
                <w:color w:val="auto"/>
              </w:rPr>
            </w:pPr>
            <w:r>
              <w:rPr>
                <w:rFonts w:ascii="Arial" w:cs="Arial" w:eastAsia="Arial" w:hAnsi="Arial"/>
                <w:sz w:val="18"/>
                <w:szCs w:val="18"/>
                <w:color w:val="auto"/>
              </w:rPr>
              <w:t>Compliance and Default Certificates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3.06.</w:t>
            </w:r>
          </w:p>
        </w:tc>
        <w:tc>
          <w:tcPr>
            <w:tcW w:w="8800" w:type="dxa"/>
            <w:vAlign w:val="bottom"/>
          </w:tcPr>
          <w:p>
            <w:pPr>
              <w:ind w:left="80"/>
              <w:spacing w:after="0"/>
              <w:rPr>
                <w:sz w:val="20"/>
                <w:szCs w:val="20"/>
                <w:color w:val="auto"/>
              </w:rPr>
            </w:pPr>
            <w:r>
              <w:rPr>
                <w:rFonts w:ascii="Arial" w:cs="Arial" w:eastAsia="Arial" w:hAnsi="Arial"/>
                <w:sz w:val="18"/>
                <w:szCs w:val="18"/>
                <w:color w:val="auto"/>
              </w:rPr>
              <w:t>Stay, Extension and Usury Laws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3.07.</w:t>
            </w:r>
          </w:p>
        </w:tc>
        <w:tc>
          <w:tcPr>
            <w:tcW w:w="8800" w:type="dxa"/>
            <w:vAlign w:val="bottom"/>
          </w:tcPr>
          <w:p>
            <w:pPr>
              <w:ind w:left="80"/>
              <w:spacing w:after="0"/>
              <w:rPr>
                <w:sz w:val="20"/>
                <w:szCs w:val="20"/>
                <w:color w:val="auto"/>
              </w:rPr>
            </w:pPr>
            <w:r>
              <w:rPr>
                <w:rFonts w:ascii="Arial" w:cs="Arial" w:eastAsia="Arial" w:hAnsi="Arial"/>
                <w:sz w:val="18"/>
                <w:szCs w:val="18"/>
                <w:color w:val="auto"/>
              </w:rPr>
              <w:t>Corporate Existence</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3.08.</w:t>
            </w:r>
          </w:p>
        </w:tc>
        <w:tc>
          <w:tcPr>
            <w:tcW w:w="8800" w:type="dxa"/>
            <w:vAlign w:val="bottom"/>
          </w:tcPr>
          <w:p>
            <w:pPr>
              <w:ind w:left="80"/>
              <w:spacing w:after="0"/>
              <w:rPr>
                <w:sz w:val="20"/>
                <w:szCs w:val="20"/>
                <w:color w:val="auto"/>
              </w:rPr>
            </w:pPr>
            <w:r>
              <w:rPr>
                <w:rFonts w:ascii="Arial" w:cs="Arial" w:eastAsia="Arial" w:hAnsi="Arial"/>
                <w:sz w:val="18"/>
                <w:szCs w:val="18"/>
                <w:color w:val="auto"/>
              </w:rPr>
              <w:t>Restriction on Acquisition of Notes by the Company and its Affiliates</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3.09.</w:t>
            </w:r>
          </w:p>
        </w:tc>
        <w:tc>
          <w:tcPr>
            <w:tcW w:w="8800" w:type="dxa"/>
            <w:vAlign w:val="bottom"/>
          </w:tcPr>
          <w:p>
            <w:pPr>
              <w:ind w:left="80"/>
              <w:spacing w:after="0"/>
              <w:rPr>
                <w:sz w:val="20"/>
                <w:szCs w:val="20"/>
                <w:color w:val="auto"/>
              </w:rPr>
            </w:pPr>
            <w:r>
              <w:rPr>
                <w:rFonts w:ascii="Arial" w:cs="Arial" w:eastAsia="Arial" w:hAnsi="Arial"/>
                <w:sz w:val="18"/>
                <w:szCs w:val="18"/>
                <w:color w:val="auto"/>
              </w:rPr>
              <w:t>Further Instruments and Acts</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Article 4.</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Repurchase</w:t>
            </w:r>
          </w:p>
        </w:tc>
        <w:tc>
          <w:tcPr>
            <w:tcW w:w="8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4.01.</w:t>
            </w:r>
          </w:p>
        </w:tc>
        <w:tc>
          <w:tcPr>
            <w:tcW w:w="8800" w:type="dxa"/>
            <w:vAlign w:val="bottom"/>
          </w:tcPr>
          <w:p>
            <w:pPr>
              <w:ind w:left="80"/>
              <w:spacing w:after="0"/>
              <w:rPr>
                <w:sz w:val="20"/>
                <w:szCs w:val="20"/>
                <w:color w:val="auto"/>
              </w:rPr>
            </w:pPr>
            <w:r>
              <w:rPr>
                <w:rFonts w:ascii="Arial" w:cs="Arial" w:eastAsia="Arial" w:hAnsi="Arial"/>
                <w:sz w:val="18"/>
                <w:szCs w:val="18"/>
                <w:color w:val="auto"/>
              </w:rPr>
              <w:t>No Sinking Fund</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Section 4.02.</w:t>
            </w:r>
          </w:p>
        </w:tc>
        <w:tc>
          <w:tcPr>
            <w:tcW w:w="8800" w:type="dxa"/>
            <w:vAlign w:val="bottom"/>
          </w:tcPr>
          <w:p>
            <w:pPr>
              <w:ind w:left="80"/>
              <w:spacing w:after="0"/>
              <w:rPr>
                <w:sz w:val="20"/>
                <w:szCs w:val="20"/>
                <w:color w:val="auto"/>
              </w:rPr>
            </w:pPr>
            <w:r>
              <w:rPr>
                <w:rFonts w:ascii="Arial" w:cs="Arial" w:eastAsia="Arial" w:hAnsi="Arial"/>
                <w:sz w:val="18"/>
                <w:szCs w:val="18"/>
                <w:color w:val="auto"/>
              </w:rPr>
              <w:t>Right of Holders to Require the Company to Repurchase Notes upon a Fundamental Change</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4.03.</w:t>
            </w:r>
          </w:p>
        </w:tc>
        <w:tc>
          <w:tcPr>
            <w:tcW w:w="8860" w:type="dxa"/>
            <w:vAlign w:val="bottom"/>
          </w:tcPr>
          <w:p>
            <w:pPr>
              <w:ind w:left="100"/>
              <w:spacing w:after="0"/>
              <w:rPr>
                <w:sz w:val="20"/>
                <w:szCs w:val="20"/>
                <w:color w:val="auto"/>
              </w:rPr>
            </w:pPr>
            <w:r>
              <w:rPr>
                <w:rFonts w:ascii="Arial" w:cs="Arial" w:eastAsia="Arial" w:hAnsi="Arial"/>
                <w:sz w:val="18"/>
                <w:szCs w:val="18"/>
                <w:color w:val="auto"/>
              </w:rPr>
              <w:t>No Right of Redemption by the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Article 5.</w:t>
            </w:r>
          </w:p>
        </w:tc>
        <w:tc>
          <w:tcPr>
            <w:tcW w:w="940" w:type="dxa"/>
            <w:vAlign w:val="bottom"/>
          </w:tcPr>
          <w:p>
            <w:pPr>
              <w:ind w:left="20"/>
              <w:spacing w:after="0"/>
              <w:rPr>
                <w:sz w:val="20"/>
                <w:szCs w:val="20"/>
                <w:color w:val="auto"/>
              </w:rPr>
            </w:pPr>
            <w:r>
              <w:rPr>
                <w:rFonts w:ascii="Arial" w:cs="Arial" w:eastAsia="Arial" w:hAnsi="Arial"/>
                <w:sz w:val="18"/>
                <w:szCs w:val="18"/>
                <w:color w:val="auto"/>
                <w:w w:val="98"/>
              </w:rPr>
              <w:t>Conversion</w:t>
            </w:r>
          </w:p>
        </w:tc>
        <w:tc>
          <w:tcPr>
            <w:tcW w:w="88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5.01.</w:t>
            </w:r>
          </w:p>
        </w:tc>
        <w:tc>
          <w:tcPr>
            <w:tcW w:w="8860" w:type="dxa"/>
            <w:vAlign w:val="bottom"/>
          </w:tcPr>
          <w:p>
            <w:pPr>
              <w:ind w:left="100"/>
              <w:spacing w:after="0"/>
              <w:rPr>
                <w:sz w:val="20"/>
                <w:szCs w:val="20"/>
                <w:color w:val="auto"/>
              </w:rPr>
            </w:pPr>
            <w:r>
              <w:rPr>
                <w:rFonts w:ascii="Arial" w:cs="Arial" w:eastAsia="Arial" w:hAnsi="Arial"/>
                <w:sz w:val="18"/>
                <w:szCs w:val="18"/>
                <w:color w:val="auto"/>
              </w:rPr>
              <w:t>Right to Convert</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5.02.</w:t>
            </w:r>
          </w:p>
        </w:tc>
        <w:tc>
          <w:tcPr>
            <w:tcW w:w="8860" w:type="dxa"/>
            <w:vAlign w:val="bottom"/>
          </w:tcPr>
          <w:p>
            <w:pPr>
              <w:ind w:left="100"/>
              <w:spacing w:after="0"/>
              <w:rPr>
                <w:sz w:val="20"/>
                <w:szCs w:val="20"/>
                <w:color w:val="auto"/>
              </w:rPr>
            </w:pPr>
            <w:r>
              <w:rPr>
                <w:rFonts w:ascii="Arial" w:cs="Arial" w:eastAsia="Arial" w:hAnsi="Arial"/>
                <w:sz w:val="18"/>
                <w:szCs w:val="18"/>
                <w:color w:val="auto"/>
              </w:rPr>
              <w:t>Conversion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5.03.</w:t>
            </w:r>
          </w:p>
        </w:tc>
        <w:tc>
          <w:tcPr>
            <w:tcW w:w="8860" w:type="dxa"/>
            <w:vAlign w:val="bottom"/>
          </w:tcPr>
          <w:p>
            <w:pPr>
              <w:ind w:left="100"/>
              <w:spacing w:after="0"/>
              <w:rPr>
                <w:sz w:val="20"/>
                <w:szCs w:val="20"/>
                <w:color w:val="auto"/>
              </w:rPr>
            </w:pPr>
            <w:r>
              <w:rPr>
                <w:rFonts w:ascii="Arial" w:cs="Arial" w:eastAsia="Arial" w:hAnsi="Arial"/>
                <w:sz w:val="18"/>
                <w:szCs w:val="18"/>
                <w:color w:val="auto"/>
              </w:rPr>
              <w:t>Settlement upon Conversion</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5.04.</w:t>
            </w:r>
          </w:p>
        </w:tc>
        <w:tc>
          <w:tcPr>
            <w:tcW w:w="8860" w:type="dxa"/>
            <w:vAlign w:val="bottom"/>
          </w:tcPr>
          <w:p>
            <w:pPr>
              <w:ind w:left="100"/>
              <w:spacing w:after="0"/>
              <w:rPr>
                <w:sz w:val="20"/>
                <w:szCs w:val="20"/>
                <w:color w:val="auto"/>
              </w:rPr>
            </w:pPr>
            <w:r>
              <w:rPr>
                <w:rFonts w:ascii="Arial" w:cs="Arial" w:eastAsia="Arial" w:hAnsi="Arial"/>
                <w:sz w:val="18"/>
                <w:szCs w:val="18"/>
                <w:color w:val="auto"/>
              </w:rPr>
              <w:t>Reserve and Status of Common Stock Issued upon Conversion</w:t>
            </w: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5.05.</w:t>
            </w:r>
          </w:p>
        </w:tc>
        <w:tc>
          <w:tcPr>
            <w:tcW w:w="8860" w:type="dxa"/>
            <w:vAlign w:val="bottom"/>
          </w:tcPr>
          <w:p>
            <w:pPr>
              <w:ind w:left="100"/>
              <w:spacing w:after="0"/>
              <w:rPr>
                <w:sz w:val="20"/>
                <w:szCs w:val="20"/>
                <w:color w:val="auto"/>
              </w:rPr>
            </w:pPr>
            <w:r>
              <w:rPr>
                <w:rFonts w:ascii="Arial" w:cs="Arial" w:eastAsia="Arial" w:hAnsi="Arial"/>
                <w:sz w:val="18"/>
                <w:szCs w:val="18"/>
                <w:color w:val="auto"/>
              </w:rPr>
              <w:t>Adjustments to the Conversion Rate</w:t>
            </w: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5.06.</w:t>
            </w:r>
          </w:p>
        </w:tc>
        <w:tc>
          <w:tcPr>
            <w:tcW w:w="8860" w:type="dxa"/>
            <w:vAlign w:val="bottom"/>
          </w:tcPr>
          <w:p>
            <w:pPr>
              <w:ind w:left="100"/>
              <w:spacing w:after="0"/>
              <w:rPr>
                <w:sz w:val="20"/>
                <w:szCs w:val="20"/>
                <w:color w:val="auto"/>
              </w:rPr>
            </w:pPr>
            <w:r>
              <w:rPr>
                <w:rFonts w:ascii="Arial" w:cs="Arial" w:eastAsia="Arial" w:hAnsi="Arial"/>
                <w:sz w:val="18"/>
                <w:szCs w:val="18"/>
                <w:color w:val="auto"/>
              </w:rPr>
              <w:t>Voluntary Adjustments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5.07.</w:t>
            </w:r>
          </w:p>
        </w:tc>
        <w:tc>
          <w:tcPr>
            <w:tcW w:w="8860" w:type="dxa"/>
            <w:vAlign w:val="bottom"/>
          </w:tcPr>
          <w:p>
            <w:pPr>
              <w:ind w:left="100"/>
              <w:spacing w:after="0"/>
              <w:rPr>
                <w:sz w:val="20"/>
                <w:szCs w:val="20"/>
                <w:color w:val="auto"/>
              </w:rPr>
            </w:pPr>
            <w:r>
              <w:rPr>
                <w:rFonts w:ascii="Arial" w:cs="Arial" w:eastAsia="Arial" w:hAnsi="Arial"/>
                <w:sz w:val="18"/>
                <w:szCs w:val="18"/>
                <w:color w:val="auto"/>
              </w:rPr>
              <w:t>Adjustments to the Conversion Rate in Connection with a Make-Whole Fundamental Change</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5.08.</w:t>
            </w:r>
          </w:p>
        </w:tc>
        <w:tc>
          <w:tcPr>
            <w:tcW w:w="8860" w:type="dxa"/>
            <w:vAlign w:val="bottom"/>
          </w:tcPr>
          <w:p>
            <w:pPr>
              <w:ind w:left="100"/>
              <w:spacing w:after="0"/>
              <w:rPr>
                <w:sz w:val="20"/>
                <w:szCs w:val="20"/>
                <w:color w:val="auto"/>
              </w:rPr>
            </w:pPr>
            <w:r>
              <w:rPr>
                <w:rFonts w:ascii="Arial" w:cs="Arial" w:eastAsia="Arial" w:hAnsi="Arial"/>
                <w:sz w:val="18"/>
                <w:szCs w:val="18"/>
                <w:color w:val="auto"/>
              </w:rPr>
              <w:t>Effect of Common Stock Change Event</w:t>
            </w: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Article 6.</w:t>
            </w:r>
          </w:p>
        </w:tc>
        <w:tc>
          <w:tcPr>
            <w:tcW w:w="940" w:type="dxa"/>
            <w:vAlign w:val="bottom"/>
          </w:tcPr>
          <w:p>
            <w:pPr>
              <w:ind w:left="20"/>
              <w:spacing w:after="0"/>
              <w:rPr>
                <w:sz w:val="20"/>
                <w:szCs w:val="20"/>
                <w:color w:val="auto"/>
              </w:rPr>
            </w:pPr>
            <w:r>
              <w:rPr>
                <w:rFonts w:ascii="Arial" w:cs="Arial" w:eastAsia="Arial" w:hAnsi="Arial"/>
                <w:sz w:val="18"/>
                <w:szCs w:val="18"/>
                <w:color w:val="auto"/>
                <w:w w:val="96"/>
              </w:rPr>
              <w:t>Successors</w:t>
            </w:r>
          </w:p>
        </w:tc>
        <w:tc>
          <w:tcPr>
            <w:tcW w:w="88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6.01.</w:t>
            </w:r>
          </w:p>
        </w:tc>
        <w:tc>
          <w:tcPr>
            <w:tcW w:w="8860" w:type="dxa"/>
            <w:vAlign w:val="bottom"/>
          </w:tcPr>
          <w:p>
            <w:pPr>
              <w:ind w:left="100"/>
              <w:spacing w:after="0"/>
              <w:rPr>
                <w:sz w:val="20"/>
                <w:szCs w:val="20"/>
                <w:color w:val="auto"/>
              </w:rPr>
            </w:pPr>
            <w:r>
              <w:rPr>
                <w:rFonts w:ascii="Arial" w:cs="Arial" w:eastAsia="Arial" w:hAnsi="Arial"/>
                <w:sz w:val="18"/>
                <w:szCs w:val="18"/>
                <w:color w:val="auto"/>
              </w:rPr>
              <w:t>When the Company May Merge, Etc.</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6.02.</w:t>
            </w:r>
          </w:p>
        </w:tc>
        <w:tc>
          <w:tcPr>
            <w:tcW w:w="8860" w:type="dxa"/>
            <w:vAlign w:val="bottom"/>
          </w:tcPr>
          <w:p>
            <w:pPr>
              <w:ind w:left="100"/>
              <w:spacing w:after="0"/>
              <w:rPr>
                <w:sz w:val="20"/>
                <w:szCs w:val="20"/>
                <w:color w:val="auto"/>
              </w:rPr>
            </w:pPr>
            <w:r>
              <w:rPr>
                <w:rFonts w:ascii="Arial" w:cs="Arial" w:eastAsia="Arial" w:hAnsi="Arial"/>
                <w:sz w:val="18"/>
                <w:szCs w:val="18"/>
                <w:color w:val="auto"/>
              </w:rPr>
              <w:t>Successor Corporation Substituted</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0600" w:type="dxa"/>
            <w:vAlign w:val="bottom"/>
            <w:gridSpan w:val="3"/>
          </w:tcPr>
          <w:p>
            <w:pPr>
              <w:spacing w:after="0"/>
              <w:rPr>
                <w:sz w:val="20"/>
                <w:szCs w:val="20"/>
                <w:color w:val="auto"/>
              </w:rPr>
            </w:pPr>
            <w:r>
              <w:rPr>
                <w:rFonts w:ascii="Arial" w:cs="Arial" w:eastAsia="Arial" w:hAnsi="Arial"/>
                <w:sz w:val="18"/>
                <w:szCs w:val="18"/>
                <w:color w:val="auto"/>
              </w:rPr>
              <w:t>Article 7.  Defaults and Remedies</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7.01.</w:t>
            </w:r>
          </w:p>
        </w:tc>
        <w:tc>
          <w:tcPr>
            <w:tcW w:w="886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7.02.</w:t>
            </w:r>
          </w:p>
        </w:tc>
        <w:tc>
          <w:tcPr>
            <w:tcW w:w="886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7.03.</w:t>
            </w:r>
          </w:p>
        </w:tc>
        <w:tc>
          <w:tcPr>
            <w:tcW w:w="8860" w:type="dxa"/>
            <w:vAlign w:val="bottom"/>
          </w:tcPr>
          <w:p>
            <w:pPr>
              <w:ind w:left="100"/>
              <w:spacing w:after="0"/>
              <w:rPr>
                <w:sz w:val="20"/>
                <w:szCs w:val="20"/>
                <w:color w:val="auto"/>
              </w:rPr>
            </w:pPr>
            <w:r>
              <w:rPr>
                <w:rFonts w:ascii="Arial" w:cs="Arial" w:eastAsia="Arial" w:hAnsi="Arial"/>
                <w:sz w:val="18"/>
                <w:szCs w:val="18"/>
                <w:color w:val="auto"/>
              </w:rPr>
              <w:t>Sole Remedy for a Failure to Report</w:t>
            </w: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7.04.</w:t>
            </w:r>
          </w:p>
        </w:tc>
        <w:tc>
          <w:tcPr>
            <w:tcW w:w="886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7.05.</w:t>
            </w:r>
          </w:p>
        </w:tc>
        <w:tc>
          <w:tcPr>
            <w:tcW w:w="886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7.06.</w:t>
            </w:r>
          </w:p>
        </w:tc>
        <w:tc>
          <w:tcPr>
            <w:tcW w:w="8860" w:type="dxa"/>
            <w:vAlign w:val="bottom"/>
          </w:tcPr>
          <w:p>
            <w:pPr>
              <w:ind w:left="100"/>
              <w:spacing w:after="0"/>
              <w:rPr>
                <w:sz w:val="20"/>
                <w:szCs w:val="20"/>
                <w:color w:val="auto"/>
              </w:rPr>
            </w:pPr>
            <w:r>
              <w:rPr>
                <w:rFonts w:ascii="Arial" w:cs="Arial" w:eastAsia="Arial" w:hAnsi="Arial"/>
                <w:sz w:val="18"/>
                <w:szCs w:val="18"/>
                <w:color w:val="auto"/>
              </w:rPr>
              <w:t>Control by Majority</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7.07.</w:t>
            </w:r>
          </w:p>
        </w:tc>
        <w:tc>
          <w:tcPr>
            <w:tcW w:w="8860" w:type="dxa"/>
            <w:vAlign w:val="bottom"/>
          </w:tcPr>
          <w:p>
            <w:pPr>
              <w:ind w:left="100"/>
              <w:spacing w:after="0"/>
              <w:rPr>
                <w:sz w:val="20"/>
                <w:szCs w:val="20"/>
                <w:color w:val="auto"/>
              </w:rPr>
            </w:pPr>
            <w:r>
              <w:rPr>
                <w:rFonts w:ascii="Arial" w:cs="Arial" w:eastAsia="Arial" w:hAnsi="Arial"/>
                <w:sz w:val="18"/>
                <w:szCs w:val="18"/>
                <w:color w:val="auto"/>
              </w:rPr>
              <w:t>Limitation on Suits</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7.08.</w:t>
            </w:r>
          </w:p>
        </w:tc>
        <w:tc>
          <w:tcPr>
            <w:tcW w:w="8860" w:type="dxa"/>
            <w:vAlign w:val="bottom"/>
          </w:tcPr>
          <w:p>
            <w:pPr>
              <w:ind w:left="100"/>
              <w:spacing w:after="0"/>
              <w:rPr>
                <w:sz w:val="20"/>
                <w:szCs w:val="20"/>
                <w:color w:val="auto"/>
              </w:rPr>
            </w:pPr>
            <w:r>
              <w:rPr>
                <w:rFonts w:ascii="Arial" w:cs="Arial" w:eastAsia="Arial" w:hAnsi="Arial"/>
                <w:sz w:val="18"/>
                <w:szCs w:val="18"/>
                <w:color w:val="auto"/>
                <w:w w:val="98"/>
              </w:rPr>
              <w:t>Absolute Right of Holders to Institute Suit for the Enforcement of the Right to Receive Payment and Conversion</w:t>
            </w:r>
          </w:p>
        </w:tc>
        <w:tc>
          <w:tcPr>
            <w:tcW w:w="8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60" w:type="dxa"/>
            <w:vAlign w:val="bottom"/>
          </w:tcPr>
          <w:p>
            <w:pPr>
              <w:ind w:left="100"/>
              <w:spacing w:after="0"/>
              <w:rPr>
                <w:sz w:val="20"/>
                <w:szCs w:val="20"/>
                <w:color w:val="auto"/>
              </w:rPr>
            </w:pPr>
            <w:r>
              <w:rPr>
                <w:rFonts w:ascii="Arial" w:cs="Arial" w:eastAsia="Arial" w:hAnsi="Arial"/>
                <w:sz w:val="18"/>
                <w:szCs w:val="18"/>
                <w:color w:val="auto"/>
              </w:rPr>
              <w:t>Consideration</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7.09.</w:t>
            </w:r>
          </w:p>
        </w:tc>
        <w:tc>
          <w:tcPr>
            <w:tcW w:w="8860" w:type="dxa"/>
            <w:vAlign w:val="bottom"/>
          </w:tcPr>
          <w:p>
            <w:pPr>
              <w:ind w:left="100"/>
              <w:spacing w:after="0"/>
              <w:rPr>
                <w:sz w:val="20"/>
                <w:szCs w:val="20"/>
                <w:color w:val="auto"/>
              </w:rPr>
            </w:pPr>
            <w:r>
              <w:rPr>
                <w:rFonts w:ascii="Arial" w:cs="Arial" w:eastAsia="Arial" w:hAnsi="Arial"/>
                <w:sz w:val="18"/>
                <w:szCs w:val="18"/>
                <w:color w:val="auto"/>
              </w:rPr>
              <w:t>Collection Suit by Trustee</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7.10.</w:t>
            </w:r>
          </w:p>
        </w:tc>
        <w:tc>
          <w:tcPr>
            <w:tcW w:w="8860" w:type="dxa"/>
            <w:vAlign w:val="bottom"/>
          </w:tcPr>
          <w:p>
            <w:pPr>
              <w:ind w:left="100"/>
              <w:spacing w:after="0"/>
              <w:rPr>
                <w:sz w:val="20"/>
                <w:szCs w:val="20"/>
                <w:color w:val="auto"/>
              </w:rPr>
            </w:pPr>
            <w:r>
              <w:rPr>
                <w:rFonts w:ascii="Arial" w:cs="Arial" w:eastAsia="Arial" w:hAnsi="Arial"/>
                <w:sz w:val="18"/>
                <w:szCs w:val="18"/>
                <w:color w:val="auto"/>
              </w:rPr>
              <w:t>Trustee May File Proofs of Claim</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7.11.</w:t>
            </w:r>
          </w:p>
        </w:tc>
        <w:tc>
          <w:tcPr>
            <w:tcW w:w="886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7.12.</w:t>
            </w:r>
          </w:p>
        </w:tc>
        <w:tc>
          <w:tcPr>
            <w:tcW w:w="8860" w:type="dxa"/>
            <w:vAlign w:val="bottom"/>
          </w:tcPr>
          <w:p>
            <w:pPr>
              <w:ind w:left="100"/>
              <w:spacing w:after="0"/>
              <w:rPr>
                <w:sz w:val="20"/>
                <w:szCs w:val="20"/>
                <w:color w:val="auto"/>
              </w:rPr>
            </w:pPr>
            <w:r>
              <w:rPr>
                <w:rFonts w:ascii="Arial" w:cs="Arial" w:eastAsia="Arial" w:hAnsi="Arial"/>
                <w:sz w:val="18"/>
                <w:szCs w:val="18"/>
                <w:color w:val="auto"/>
              </w:rPr>
              <w:t>Undertaking for Costs</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0600" w:type="dxa"/>
            <w:vAlign w:val="bottom"/>
            <w:gridSpan w:val="3"/>
          </w:tcPr>
          <w:p>
            <w:pPr>
              <w:spacing w:after="0"/>
              <w:rPr>
                <w:sz w:val="20"/>
                <w:szCs w:val="20"/>
                <w:color w:val="auto"/>
              </w:rPr>
            </w:pPr>
            <w:r>
              <w:rPr>
                <w:rFonts w:ascii="Arial" w:cs="Arial" w:eastAsia="Arial" w:hAnsi="Arial"/>
                <w:sz w:val="18"/>
                <w:szCs w:val="18"/>
                <w:color w:val="auto"/>
              </w:rPr>
              <w:t>Article 8.  Amendments, Supplements and Waivers</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8.01.</w:t>
            </w:r>
          </w:p>
        </w:tc>
        <w:tc>
          <w:tcPr>
            <w:tcW w:w="8860" w:type="dxa"/>
            <w:vAlign w:val="bottom"/>
          </w:tcPr>
          <w:p>
            <w:pPr>
              <w:ind w:left="100"/>
              <w:spacing w:after="0"/>
              <w:rPr>
                <w:sz w:val="20"/>
                <w:szCs w:val="20"/>
                <w:color w:val="auto"/>
              </w:rPr>
            </w:pPr>
            <w:r>
              <w:rPr>
                <w:rFonts w:ascii="Arial" w:cs="Arial" w:eastAsia="Arial" w:hAnsi="Arial"/>
                <w:sz w:val="18"/>
                <w:szCs w:val="18"/>
                <w:color w:val="auto"/>
              </w:rPr>
              <w:t>Without the Consent of 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8.02.</w:t>
            </w:r>
          </w:p>
        </w:tc>
        <w:tc>
          <w:tcPr>
            <w:tcW w:w="8860" w:type="dxa"/>
            <w:vAlign w:val="bottom"/>
          </w:tcPr>
          <w:p>
            <w:pPr>
              <w:ind w:left="100"/>
              <w:spacing w:after="0"/>
              <w:rPr>
                <w:sz w:val="20"/>
                <w:szCs w:val="20"/>
                <w:color w:val="auto"/>
              </w:rPr>
            </w:pPr>
            <w:r>
              <w:rPr>
                <w:rFonts w:ascii="Arial" w:cs="Arial" w:eastAsia="Arial" w:hAnsi="Arial"/>
                <w:sz w:val="18"/>
                <w:szCs w:val="18"/>
                <w:color w:val="auto"/>
              </w:rPr>
              <w:t>With the Consent of 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8.03.</w:t>
            </w:r>
          </w:p>
        </w:tc>
        <w:tc>
          <w:tcPr>
            <w:tcW w:w="8860" w:type="dxa"/>
            <w:vAlign w:val="bottom"/>
          </w:tcPr>
          <w:p>
            <w:pPr>
              <w:ind w:left="100"/>
              <w:spacing w:after="0"/>
              <w:rPr>
                <w:sz w:val="20"/>
                <w:szCs w:val="20"/>
                <w:color w:val="auto"/>
              </w:rPr>
            </w:pPr>
            <w:r>
              <w:rPr>
                <w:rFonts w:ascii="Arial" w:cs="Arial" w:eastAsia="Arial" w:hAnsi="Arial"/>
                <w:sz w:val="18"/>
                <w:szCs w:val="18"/>
                <w:color w:val="auto"/>
              </w:rPr>
              <w:t>Notice of Amendments, Supplements and Waivers</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8.04.</w:t>
            </w:r>
          </w:p>
        </w:tc>
        <w:tc>
          <w:tcPr>
            <w:tcW w:w="8860" w:type="dxa"/>
            <w:vAlign w:val="bottom"/>
          </w:tcPr>
          <w:p>
            <w:pPr>
              <w:ind w:left="100"/>
              <w:spacing w:after="0"/>
              <w:rPr>
                <w:sz w:val="20"/>
                <w:szCs w:val="20"/>
                <w:color w:val="auto"/>
              </w:rPr>
            </w:pPr>
            <w:r>
              <w:rPr>
                <w:rFonts w:ascii="Arial" w:cs="Arial" w:eastAsia="Arial" w:hAnsi="Arial"/>
                <w:sz w:val="18"/>
                <w:szCs w:val="18"/>
                <w:color w:val="auto"/>
              </w:rPr>
              <w:t>Revocation, Effect and Solicitation of Consents; Special Record Dates; Etc.</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8.05.</w:t>
            </w:r>
          </w:p>
        </w:tc>
        <w:tc>
          <w:tcPr>
            <w:tcW w:w="8860" w:type="dxa"/>
            <w:vAlign w:val="bottom"/>
          </w:tcPr>
          <w:p>
            <w:pPr>
              <w:ind w:left="100"/>
              <w:spacing w:after="0"/>
              <w:rPr>
                <w:sz w:val="20"/>
                <w:szCs w:val="20"/>
                <w:color w:val="auto"/>
              </w:rPr>
            </w:pPr>
            <w:r>
              <w:rPr>
                <w:rFonts w:ascii="Arial" w:cs="Arial" w:eastAsia="Arial" w:hAnsi="Arial"/>
                <w:sz w:val="18"/>
                <w:szCs w:val="18"/>
                <w:color w:val="auto"/>
              </w:rPr>
              <w:t>Notations and Exchanges</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8.06.</w:t>
            </w:r>
          </w:p>
        </w:tc>
        <w:tc>
          <w:tcPr>
            <w:tcW w:w="8860" w:type="dxa"/>
            <w:vAlign w:val="bottom"/>
          </w:tcPr>
          <w:p>
            <w:pPr>
              <w:ind w:left="100"/>
              <w:spacing w:after="0"/>
              <w:rPr>
                <w:sz w:val="20"/>
                <w:szCs w:val="20"/>
                <w:color w:val="auto"/>
              </w:rPr>
            </w:pPr>
            <w:r>
              <w:rPr>
                <w:rFonts w:ascii="Arial" w:cs="Arial" w:eastAsia="Arial" w:hAnsi="Arial"/>
                <w:sz w:val="18"/>
                <w:szCs w:val="18"/>
                <w:color w:val="auto"/>
              </w:rPr>
              <w:t>Trustee to Execute Supplemental Indentures</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10600" w:type="dxa"/>
            <w:vAlign w:val="bottom"/>
            <w:gridSpan w:val="3"/>
          </w:tcPr>
          <w:p>
            <w:pPr>
              <w:spacing w:after="0"/>
              <w:rPr>
                <w:sz w:val="20"/>
                <w:szCs w:val="20"/>
                <w:color w:val="auto"/>
              </w:rPr>
            </w:pPr>
            <w:r>
              <w:rPr>
                <w:rFonts w:ascii="Arial" w:cs="Arial" w:eastAsia="Arial" w:hAnsi="Arial"/>
                <w:sz w:val="18"/>
                <w:szCs w:val="18"/>
                <w:color w:val="auto"/>
              </w:rPr>
              <w:t>Article 9.  Satisfaction and Discharge</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9.01.</w:t>
            </w:r>
          </w:p>
        </w:tc>
        <w:tc>
          <w:tcPr>
            <w:tcW w:w="8860" w:type="dxa"/>
            <w:vAlign w:val="bottom"/>
          </w:tcPr>
          <w:p>
            <w:pPr>
              <w:ind w:left="100"/>
              <w:spacing w:after="0"/>
              <w:rPr>
                <w:sz w:val="20"/>
                <w:szCs w:val="20"/>
                <w:color w:val="auto"/>
              </w:rPr>
            </w:pPr>
            <w:r>
              <w:rPr>
                <w:rFonts w:ascii="Arial" w:cs="Arial" w:eastAsia="Arial" w:hAnsi="Arial"/>
                <w:sz w:val="18"/>
                <w:szCs w:val="18"/>
                <w:color w:val="auto"/>
              </w:rPr>
              <w:t>Termination of Company’s Obligations</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9.02.</w:t>
            </w:r>
          </w:p>
        </w:tc>
        <w:tc>
          <w:tcPr>
            <w:tcW w:w="886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Section 9.03.</w:t>
            </w:r>
          </w:p>
        </w:tc>
        <w:tc>
          <w:tcPr>
            <w:tcW w:w="886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w w:val="97"/>
              </w:rPr>
              <w:t>Article 10.</w:t>
            </w:r>
          </w:p>
        </w:tc>
        <w:tc>
          <w:tcPr>
            <w:tcW w:w="940" w:type="dxa"/>
            <w:vAlign w:val="bottom"/>
          </w:tcPr>
          <w:p>
            <w:pPr>
              <w:ind w:left="100"/>
              <w:spacing w:after="0"/>
              <w:rPr>
                <w:sz w:val="20"/>
                <w:szCs w:val="20"/>
                <w:color w:val="auto"/>
              </w:rPr>
            </w:pPr>
            <w:r>
              <w:rPr>
                <w:rFonts w:ascii="Arial" w:cs="Arial" w:eastAsia="Arial" w:hAnsi="Arial"/>
                <w:sz w:val="18"/>
                <w:szCs w:val="18"/>
                <w:color w:val="auto"/>
              </w:rPr>
              <w:t>Trustee</w:t>
            </w:r>
          </w:p>
        </w:tc>
        <w:tc>
          <w:tcPr>
            <w:tcW w:w="88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60" w:type="dxa"/>
            <w:vAlign w:val="bottom"/>
          </w:tcPr>
          <w:p>
            <w:pPr>
              <w:ind w:left="3920"/>
              <w:spacing w:after="0"/>
              <w:rPr>
                <w:sz w:val="20"/>
                <w:szCs w:val="20"/>
                <w:color w:val="auto"/>
              </w:rPr>
            </w:pPr>
            <w:r>
              <w:rPr>
                <w:rFonts w:ascii="Arial" w:cs="Arial" w:eastAsia="Arial" w:hAnsi="Arial"/>
                <w:sz w:val="18"/>
                <w:szCs w:val="18"/>
                <w:color w:val="auto"/>
              </w:rPr>
              <w:t>ii</w:t>
            </w:r>
          </w:p>
        </w:tc>
        <w:tc>
          <w:tcPr>
            <w:tcW w:w="860" w:type="dxa"/>
            <w:vAlign w:val="bottom"/>
          </w:tcPr>
          <w:p>
            <w:pPr>
              <w:spacing w:after="0"/>
              <w:rPr>
                <w:sz w:val="24"/>
                <w:szCs w:val="24"/>
                <w:color w:val="auto"/>
              </w:rPr>
            </w:pPr>
          </w:p>
        </w:tc>
      </w:tr>
      <w:tr>
        <w:trPr>
          <w:trHeight w:val="132"/>
        </w:trPr>
        <w:tc>
          <w:tcPr>
            <w:tcW w:w="8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8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10.01.</w:t>
            </w:r>
          </w:p>
        </w:tc>
        <w:tc>
          <w:tcPr>
            <w:tcW w:w="7660" w:type="dxa"/>
            <w:vAlign w:val="bottom"/>
          </w:tcPr>
          <w:p>
            <w:pPr>
              <w:ind w:left="20"/>
              <w:spacing w:after="0"/>
              <w:rPr>
                <w:sz w:val="20"/>
                <w:szCs w:val="20"/>
                <w:color w:val="auto"/>
              </w:rPr>
            </w:pPr>
            <w:r>
              <w:rPr>
                <w:rFonts w:ascii="Arial" w:cs="Arial" w:eastAsia="Arial" w:hAnsi="Arial"/>
                <w:sz w:val="18"/>
                <w:szCs w:val="18"/>
                <w:color w:val="auto"/>
              </w:rPr>
              <w:t>Duties of the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10.02.</w:t>
            </w:r>
          </w:p>
        </w:tc>
        <w:tc>
          <w:tcPr>
            <w:tcW w:w="7660" w:type="dxa"/>
            <w:vAlign w:val="bottom"/>
          </w:tcPr>
          <w:p>
            <w:pPr>
              <w:ind w:left="20"/>
              <w:spacing w:after="0"/>
              <w:rPr>
                <w:sz w:val="20"/>
                <w:szCs w:val="20"/>
                <w:color w:val="auto"/>
              </w:rPr>
            </w:pPr>
            <w:r>
              <w:rPr>
                <w:rFonts w:ascii="Arial" w:cs="Arial" w:eastAsia="Arial" w:hAnsi="Arial"/>
                <w:sz w:val="18"/>
                <w:szCs w:val="18"/>
                <w:color w:val="auto"/>
              </w:rPr>
              <w:t>Rights of the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10.03.</w:t>
            </w:r>
          </w:p>
        </w:tc>
        <w:tc>
          <w:tcPr>
            <w:tcW w:w="7660" w:type="dxa"/>
            <w:vAlign w:val="bottom"/>
          </w:tcPr>
          <w:p>
            <w:pPr>
              <w:ind w:left="20"/>
              <w:spacing w:after="0"/>
              <w:rPr>
                <w:sz w:val="20"/>
                <w:szCs w:val="20"/>
                <w:color w:val="auto"/>
              </w:rPr>
            </w:pPr>
            <w:r>
              <w:rPr>
                <w:rFonts w:ascii="Arial" w:cs="Arial" w:eastAsia="Arial" w:hAnsi="Arial"/>
                <w:sz w:val="18"/>
                <w:szCs w:val="18"/>
                <w:color w:val="auto"/>
              </w:rPr>
              <w:t>Individual Rights of the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10.04.</w:t>
            </w:r>
          </w:p>
        </w:tc>
        <w:tc>
          <w:tcPr>
            <w:tcW w:w="7660" w:type="dxa"/>
            <w:vAlign w:val="bottom"/>
          </w:tcPr>
          <w:p>
            <w:pPr>
              <w:ind w:left="20"/>
              <w:spacing w:after="0"/>
              <w:rPr>
                <w:sz w:val="20"/>
                <w:szCs w:val="20"/>
                <w:color w:val="auto"/>
              </w:rPr>
            </w:pPr>
            <w:r>
              <w:rPr>
                <w:rFonts w:ascii="Arial" w:cs="Arial" w:eastAsia="Arial" w:hAnsi="Arial"/>
                <w:sz w:val="18"/>
                <w:szCs w:val="18"/>
                <w:color w:val="auto"/>
              </w:rPr>
              <w:t>Trustee’s Disclaimer</w:t>
            </w:r>
          </w:p>
        </w:tc>
        <w:tc>
          <w:tcPr>
            <w:tcW w:w="1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10.05.</w:t>
            </w:r>
          </w:p>
        </w:tc>
        <w:tc>
          <w:tcPr>
            <w:tcW w:w="7660" w:type="dxa"/>
            <w:vAlign w:val="bottom"/>
          </w:tcPr>
          <w:p>
            <w:pPr>
              <w:ind w:left="20"/>
              <w:spacing w:after="0"/>
              <w:rPr>
                <w:sz w:val="20"/>
                <w:szCs w:val="20"/>
                <w:color w:val="auto"/>
              </w:rPr>
            </w:pPr>
            <w:r>
              <w:rPr>
                <w:rFonts w:ascii="Arial" w:cs="Arial" w:eastAsia="Arial" w:hAnsi="Arial"/>
                <w:sz w:val="18"/>
                <w:szCs w:val="18"/>
                <w:color w:val="auto"/>
              </w:rPr>
              <w:t>Notice of Defaults</w:t>
            </w:r>
          </w:p>
        </w:tc>
        <w:tc>
          <w:tcPr>
            <w:tcW w:w="1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10.06.</w:t>
            </w:r>
          </w:p>
        </w:tc>
        <w:tc>
          <w:tcPr>
            <w:tcW w:w="7660" w:type="dxa"/>
            <w:vAlign w:val="bottom"/>
          </w:tcPr>
          <w:p>
            <w:pPr>
              <w:ind w:left="20"/>
              <w:spacing w:after="0"/>
              <w:rPr>
                <w:sz w:val="20"/>
                <w:szCs w:val="20"/>
                <w:color w:val="auto"/>
              </w:rPr>
            </w:pPr>
            <w:r>
              <w:rPr>
                <w:rFonts w:ascii="Arial" w:cs="Arial" w:eastAsia="Arial" w:hAnsi="Arial"/>
                <w:sz w:val="18"/>
                <w:szCs w:val="18"/>
                <w:color w:val="auto"/>
              </w:rPr>
              <w:t>Compensation and Indemnity</w:t>
            </w:r>
          </w:p>
        </w:tc>
        <w:tc>
          <w:tcPr>
            <w:tcW w:w="1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10.07.</w:t>
            </w:r>
          </w:p>
        </w:tc>
        <w:tc>
          <w:tcPr>
            <w:tcW w:w="7660" w:type="dxa"/>
            <w:vAlign w:val="bottom"/>
          </w:tcPr>
          <w:p>
            <w:pPr>
              <w:ind w:left="20"/>
              <w:spacing w:after="0"/>
              <w:rPr>
                <w:sz w:val="20"/>
                <w:szCs w:val="20"/>
                <w:color w:val="auto"/>
              </w:rPr>
            </w:pPr>
            <w:r>
              <w:rPr>
                <w:rFonts w:ascii="Arial" w:cs="Arial" w:eastAsia="Arial" w:hAnsi="Arial"/>
                <w:sz w:val="18"/>
                <w:szCs w:val="18"/>
                <w:color w:val="auto"/>
              </w:rPr>
              <w:t>Replacement of the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10.08.</w:t>
            </w:r>
          </w:p>
        </w:tc>
        <w:tc>
          <w:tcPr>
            <w:tcW w:w="7660" w:type="dxa"/>
            <w:vAlign w:val="bottom"/>
          </w:tcPr>
          <w:p>
            <w:pPr>
              <w:ind w:left="20"/>
              <w:spacing w:after="0"/>
              <w:rPr>
                <w:sz w:val="20"/>
                <w:szCs w:val="20"/>
                <w:color w:val="auto"/>
              </w:rPr>
            </w:pPr>
            <w:r>
              <w:rPr>
                <w:rFonts w:ascii="Arial" w:cs="Arial" w:eastAsia="Arial" w:hAnsi="Arial"/>
                <w:sz w:val="18"/>
                <w:szCs w:val="18"/>
                <w:color w:val="auto"/>
              </w:rPr>
              <w:t>Successor Trustee by Merger, Etc.</w:t>
            </w:r>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10.09.</w:t>
            </w:r>
          </w:p>
        </w:tc>
        <w:tc>
          <w:tcPr>
            <w:tcW w:w="7660" w:type="dxa"/>
            <w:vAlign w:val="bottom"/>
          </w:tcPr>
          <w:p>
            <w:pPr>
              <w:ind w:left="20"/>
              <w:spacing w:after="0"/>
              <w:rPr>
                <w:sz w:val="20"/>
                <w:szCs w:val="20"/>
                <w:color w:val="auto"/>
              </w:rPr>
            </w:pPr>
            <w:r>
              <w:rPr>
                <w:rFonts w:ascii="Arial" w:cs="Arial" w:eastAsia="Arial" w:hAnsi="Arial"/>
                <w:sz w:val="18"/>
                <w:szCs w:val="18"/>
                <w:color w:val="auto"/>
              </w:rPr>
              <w:t>Eligibility; Disqualification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9480" w:type="dxa"/>
            <w:vAlign w:val="bottom"/>
            <w:gridSpan w:val="3"/>
          </w:tcPr>
          <w:p>
            <w:pPr>
              <w:spacing w:after="0"/>
              <w:rPr>
                <w:sz w:val="20"/>
                <w:szCs w:val="20"/>
                <w:color w:val="auto"/>
              </w:rPr>
            </w:pPr>
            <w:r>
              <w:rPr>
                <w:rFonts w:ascii="Arial" w:cs="Arial" w:eastAsia="Arial" w:hAnsi="Arial"/>
                <w:sz w:val="18"/>
                <w:szCs w:val="18"/>
                <w:color w:val="auto"/>
              </w:rPr>
              <w:t>Article 11.  Miscellaneous</w:t>
            </w:r>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8"/>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11.01.</w:t>
            </w:r>
          </w:p>
        </w:tc>
        <w:tc>
          <w:tcPr>
            <w:tcW w:w="7660" w:type="dxa"/>
            <w:vAlign w:val="bottom"/>
          </w:tcPr>
          <w:p>
            <w:pPr>
              <w:ind w:left="20"/>
              <w:spacing w:after="0"/>
              <w:rPr>
                <w:sz w:val="20"/>
                <w:szCs w:val="20"/>
                <w:color w:val="auto"/>
              </w:rPr>
            </w:pPr>
            <w:r>
              <w:rPr>
                <w:rFonts w:ascii="Arial" w:cs="Arial" w:eastAsia="Arial" w:hAnsi="Arial"/>
                <w:sz w:val="18"/>
                <w:szCs w:val="18"/>
                <w:color w:val="auto"/>
              </w:rPr>
              <w:t>Notices</w:t>
            </w:r>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11.02.</w:t>
            </w:r>
          </w:p>
        </w:tc>
        <w:tc>
          <w:tcPr>
            <w:tcW w:w="7660" w:type="dxa"/>
            <w:vAlign w:val="bottom"/>
          </w:tcPr>
          <w:p>
            <w:pPr>
              <w:ind w:left="20"/>
              <w:spacing w:after="0"/>
              <w:rPr>
                <w:sz w:val="20"/>
                <w:szCs w:val="20"/>
                <w:color w:val="auto"/>
              </w:rPr>
            </w:pPr>
            <w:r>
              <w:rPr>
                <w:rFonts w:ascii="Arial" w:cs="Arial" w:eastAsia="Arial" w:hAnsi="Arial"/>
                <w:sz w:val="18"/>
                <w:szCs w:val="18"/>
                <w:color w:val="auto"/>
              </w:rPr>
              <w:t>Delivery of Officer’s Certificate and Opinion of Counsel as to Conditions Precedent</w:t>
            </w:r>
          </w:p>
        </w:tc>
        <w:tc>
          <w:tcPr>
            <w:tcW w:w="1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11.03.</w:t>
            </w:r>
          </w:p>
        </w:tc>
        <w:tc>
          <w:tcPr>
            <w:tcW w:w="7660" w:type="dxa"/>
            <w:vAlign w:val="bottom"/>
          </w:tcPr>
          <w:p>
            <w:pPr>
              <w:ind w:left="20"/>
              <w:spacing w:after="0"/>
              <w:rPr>
                <w:sz w:val="20"/>
                <w:szCs w:val="20"/>
                <w:color w:val="auto"/>
              </w:rPr>
            </w:pPr>
            <w:r>
              <w:rPr>
                <w:rFonts w:ascii="Arial" w:cs="Arial" w:eastAsia="Arial" w:hAnsi="Arial"/>
                <w:sz w:val="18"/>
                <w:szCs w:val="18"/>
                <w:color w:val="auto"/>
              </w:rPr>
              <w:t>Statements Required in Officer’s Certificate and Opinion of Counsel</w:t>
            </w:r>
          </w:p>
        </w:tc>
        <w:tc>
          <w:tcPr>
            <w:tcW w:w="1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11.04.</w:t>
            </w:r>
          </w:p>
        </w:tc>
        <w:tc>
          <w:tcPr>
            <w:tcW w:w="7660" w:type="dxa"/>
            <w:vAlign w:val="bottom"/>
          </w:tcPr>
          <w:p>
            <w:pPr>
              <w:ind w:left="20"/>
              <w:spacing w:after="0"/>
              <w:rPr>
                <w:sz w:val="20"/>
                <w:szCs w:val="20"/>
                <w:color w:val="auto"/>
              </w:rPr>
            </w:pPr>
            <w:r>
              <w:rPr>
                <w:rFonts w:ascii="Arial" w:cs="Arial" w:eastAsia="Arial" w:hAnsi="Arial"/>
                <w:sz w:val="18"/>
                <w:szCs w:val="18"/>
                <w:color w:val="auto"/>
              </w:rPr>
              <w:t>Rules by the Trustee, the Registrar and the Paying Agent</w:t>
            </w:r>
          </w:p>
        </w:tc>
        <w:tc>
          <w:tcPr>
            <w:tcW w:w="1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11.05.</w:t>
            </w:r>
          </w:p>
        </w:tc>
        <w:tc>
          <w:tcPr>
            <w:tcW w:w="7660" w:type="dxa"/>
            <w:vAlign w:val="bottom"/>
          </w:tcPr>
          <w:p>
            <w:pPr>
              <w:ind w:left="2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11.06.</w:t>
            </w:r>
          </w:p>
        </w:tc>
        <w:tc>
          <w:tcPr>
            <w:tcW w:w="7660" w:type="dxa"/>
            <w:vAlign w:val="bottom"/>
          </w:tcPr>
          <w:p>
            <w:pPr>
              <w:ind w:left="20"/>
              <w:spacing w:after="0"/>
              <w:rPr>
                <w:sz w:val="20"/>
                <w:szCs w:val="20"/>
                <w:color w:val="auto"/>
              </w:rPr>
            </w:pPr>
            <w:r>
              <w:rPr>
                <w:rFonts w:ascii="Arial" w:cs="Arial" w:eastAsia="Arial" w:hAnsi="Arial"/>
                <w:sz w:val="18"/>
                <w:szCs w:val="18"/>
                <w:color w:val="auto"/>
              </w:rPr>
              <w:t>Governing Law; Waiver of Jury Trial</w:t>
            </w:r>
          </w:p>
        </w:tc>
        <w:tc>
          <w:tcPr>
            <w:tcW w:w="1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11.07.</w:t>
            </w:r>
          </w:p>
        </w:tc>
        <w:tc>
          <w:tcPr>
            <w:tcW w:w="7660" w:type="dxa"/>
            <w:vAlign w:val="bottom"/>
          </w:tcPr>
          <w:p>
            <w:pPr>
              <w:ind w:left="20"/>
              <w:spacing w:after="0"/>
              <w:rPr>
                <w:sz w:val="20"/>
                <w:szCs w:val="20"/>
                <w:color w:val="auto"/>
              </w:rPr>
            </w:pPr>
            <w:r>
              <w:rPr>
                <w:rFonts w:ascii="Arial" w:cs="Arial" w:eastAsia="Arial" w:hAnsi="Arial"/>
                <w:sz w:val="18"/>
                <w:szCs w:val="18"/>
                <w:color w:val="auto"/>
              </w:rPr>
              <w:t>Submission to Jurisdiction</w:t>
            </w:r>
          </w:p>
        </w:tc>
        <w:tc>
          <w:tcPr>
            <w:tcW w:w="1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11.08.</w:t>
            </w:r>
          </w:p>
        </w:tc>
        <w:tc>
          <w:tcPr>
            <w:tcW w:w="7660" w:type="dxa"/>
            <w:vAlign w:val="bottom"/>
          </w:tcPr>
          <w:p>
            <w:pPr>
              <w:ind w:left="20"/>
              <w:spacing w:after="0"/>
              <w:rPr>
                <w:sz w:val="20"/>
                <w:szCs w:val="20"/>
                <w:color w:val="auto"/>
              </w:rPr>
            </w:pPr>
            <w:r>
              <w:rPr>
                <w:rFonts w:ascii="Arial" w:cs="Arial" w:eastAsia="Arial" w:hAnsi="Arial"/>
                <w:sz w:val="18"/>
                <w:szCs w:val="18"/>
                <w:color w:val="auto"/>
              </w:rPr>
              <w:t>No Adverse Interpretation of Other Agreements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11.09.</w:t>
            </w:r>
          </w:p>
        </w:tc>
        <w:tc>
          <w:tcPr>
            <w:tcW w:w="7660" w:type="dxa"/>
            <w:vAlign w:val="bottom"/>
          </w:tcPr>
          <w:p>
            <w:pPr>
              <w:ind w:left="20"/>
              <w:spacing w:after="0"/>
              <w:rPr>
                <w:sz w:val="20"/>
                <w:szCs w:val="20"/>
                <w:color w:val="auto"/>
              </w:rPr>
            </w:pPr>
            <w:r>
              <w:rPr>
                <w:rFonts w:ascii="Arial" w:cs="Arial" w:eastAsia="Arial" w:hAnsi="Arial"/>
                <w:sz w:val="18"/>
                <w:szCs w:val="18"/>
                <w:color w:val="auto"/>
              </w:rPr>
              <w:t>Successors</w:t>
            </w:r>
          </w:p>
        </w:tc>
        <w:tc>
          <w:tcPr>
            <w:tcW w:w="1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11.10.</w:t>
            </w:r>
          </w:p>
        </w:tc>
        <w:tc>
          <w:tcPr>
            <w:tcW w:w="7660" w:type="dxa"/>
            <w:vAlign w:val="bottom"/>
          </w:tcPr>
          <w:p>
            <w:pPr>
              <w:ind w:left="20"/>
              <w:spacing w:after="0"/>
              <w:rPr>
                <w:sz w:val="20"/>
                <w:szCs w:val="20"/>
                <w:color w:val="auto"/>
              </w:rPr>
            </w:pPr>
            <w:r>
              <w:rPr>
                <w:rFonts w:ascii="Arial" w:cs="Arial" w:eastAsia="Arial" w:hAnsi="Arial"/>
                <w:sz w:val="18"/>
                <w:szCs w:val="18"/>
                <w:color w:val="auto"/>
              </w:rPr>
              <w:t>Force Majeure</w:t>
            </w:r>
          </w:p>
        </w:tc>
        <w:tc>
          <w:tcPr>
            <w:tcW w:w="1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11.11.</w:t>
            </w:r>
          </w:p>
        </w:tc>
        <w:tc>
          <w:tcPr>
            <w:tcW w:w="7660" w:type="dxa"/>
            <w:vAlign w:val="bottom"/>
          </w:tcPr>
          <w:p>
            <w:pPr>
              <w:ind w:left="20"/>
              <w:spacing w:after="0"/>
              <w:rPr>
                <w:sz w:val="20"/>
                <w:szCs w:val="20"/>
                <w:color w:val="auto"/>
              </w:rPr>
            </w:pPr>
            <w:r>
              <w:rPr>
                <w:rFonts w:ascii="Arial" w:cs="Arial" w:eastAsia="Arial" w:hAnsi="Arial"/>
                <w:sz w:val="18"/>
                <w:szCs w:val="18"/>
                <w:color w:val="auto"/>
              </w:rPr>
              <w:t>U.S.A. PATRIOT Act</w:t>
            </w:r>
          </w:p>
        </w:tc>
        <w:tc>
          <w:tcPr>
            <w:tcW w:w="1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11.12.</w:t>
            </w:r>
          </w:p>
        </w:tc>
        <w:tc>
          <w:tcPr>
            <w:tcW w:w="7660" w:type="dxa"/>
            <w:vAlign w:val="bottom"/>
          </w:tcPr>
          <w:p>
            <w:pPr>
              <w:ind w:left="20"/>
              <w:spacing w:after="0"/>
              <w:rPr>
                <w:sz w:val="20"/>
                <w:szCs w:val="20"/>
                <w:color w:val="auto"/>
              </w:rPr>
            </w:pPr>
            <w:r>
              <w:rPr>
                <w:rFonts w:ascii="Arial" w:cs="Arial" w:eastAsia="Arial" w:hAnsi="Arial"/>
                <w:sz w:val="18"/>
                <w:szCs w:val="18"/>
                <w:color w:val="auto"/>
              </w:rPr>
              <w:t>Calculations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11.13.</w:t>
            </w:r>
          </w:p>
        </w:tc>
        <w:tc>
          <w:tcPr>
            <w:tcW w:w="766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1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11.14.</w:t>
            </w:r>
          </w:p>
        </w:tc>
        <w:tc>
          <w:tcPr>
            <w:tcW w:w="766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1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11.15.</w:t>
            </w:r>
          </w:p>
        </w:tc>
        <w:tc>
          <w:tcPr>
            <w:tcW w:w="7660" w:type="dxa"/>
            <w:vAlign w:val="bottom"/>
          </w:tcPr>
          <w:p>
            <w:pPr>
              <w:ind w:left="20"/>
              <w:spacing w:after="0"/>
              <w:rPr>
                <w:sz w:val="20"/>
                <w:szCs w:val="20"/>
                <w:color w:val="auto"/>
              </w:rPr>
            </w:pPr>
            <w:r>
              <w:rPr>
                <w:rFonts w:ascii="Arial" w:cs="Arial" w:eastAsia="Arial" w:hAnsi="Arial"/>
                <w:sz w:val="18"/>
                <w:szCs w:val="18"/>
                <w:color w:val="auto"/>
              </w:rPr>
              <w:t>Table of Contents, Headings, Etc.</w:t>
            </w:r>
          </w:p>
        </w:tc>
        <w:tc>
          <w:tcPr>
            <w:tcW w:w="1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11.16.</w:t>
            </w:r>
          </w:p>
        </w:tc>
        <w:tc>
          <w:tcPr>
            <w:tcW w:w="7660" w:type="dxa"/>
            <w:vAlign w:val="bottom"/>
          </w:tcPr>
          <w:p>
            <w:pPr>
              <w:ind w:left="20"/>
              <w:spacing w:after="0"/>
              <w:rPr>
                <w:sz w:val="20"/>
                <w:szCs w:val="20"/>
                <w:color w:val="auto"/>
              </w:rPr>
            </w:pPr>
            <w:r>
              <w:rPr>
                <w:rFonts w:ascii="Arial" w:cs="Arial" w:eastAsia="Arial" w:hAnsi="Arial"/>
                <w:sz w:val="18"/>
                <w:szCs w:val="18"/>
                <w:color w:val="auto"/>
              </w:rPr>
              <w:t>Withholding Taxes</w:t>
            </w:r>
          </w:p>
        </w:tc>
        <w:tc>
          <w:tcPr>
            <w:tcW w:w="1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820" w:type="dxa"/>
            <w:vAlign w:val="bottom"/>
            <w:gridSpan w:val="2"/>
          </w:tcPr>
          <w:p>
            <w:pPr>
              <w:ind w:left="260"/>
              <w:spacing w:after="0"/>
              <w:rPr>
                <w:sz w:val="20"/>
                <w:szCs w:val="20"/>
                <w:color w:val="auto"/>
              </w:rPr>
            </w:pPr>
            <w:r>
              <w:rPr>
                <w:rFonts w:ascii="Arial" w:cs="Arial" w:eastAsia="Arial" w:hAnsi="Arial"/>
                <w:sz w:val="18"/>
                <w:szCs w:val="18"/>
                <w:color w:val="auto"/>
              </w:rPr>
              <w:t>Section 11.17.</w:t>
            </w:r>
          </w:p>
        </w:tc>
        <w:tc>
          <w:tcPr>
            <w:tcW w:w="7660" w:type="dxa"/>
            <w:vAlign w:val="bottom"/>
          </w:tcPr>
          <w:p>
            <w:pPr>
              <w:ind w:left="20"/>
              <w:spacing w:after="0"/>
              <w:rPr>
                <w:sz w:val="20"/>
                <w:szCs w:val="20"/>
                <w:color w:val="auto"/>
              </w:rPr>
            </w:pPr>
            <w:r>
              <w:rPr>
                <w:rFonts w:ascii="Arial" w:cs="Arial" w:eastAsia="Arial" w:hAnsi="Arial"/>
                <w:sz w:val="18"/>
                <w:szCs w:val="18"/>
                <w:color w:val="auto"/>
              </w:rPr>
              <w:t>Additional Information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92"/>
        </w:trPr>
        <w:tc>
          <w:tcPr>
            <w:tcW w:w="18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76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53"/>
        </w:trPr>
        <w:tc>
          <w:tcPr>
            <w:tcW w:w="1820" w:type="dxa"/>
            <w:vAlign w:val="bottom"/>
            <w:gridSpan w:val="2"/>
          </w:tcPr>
          <w:p>
            <w:pPr>
              <w:spacing w:after="0"/>
              <w:rPr>
                <w:sz w:val="20"/>
                <w:szCs w:val="20"/>
                <w:color w:val="auto"/>
              </w:rPr>
            </w:pPr>
            <w:r>
              <w:rPr>
                <w:rFonts w:ascii="Arial" w:cs="Arial" w:eastAsia="Arial" w:hAnsi="Arial"/>
                <w:sz w:val="18"/>
                <w:szCs w:val="18"/>
                <w:color w:val="auto"/>
                <w:w w:val="96"/>
              </w:rPr>
              <w:t>Exhibit A: Form of Note</w:t>
            </w:r>
          </w:p>
        </w:tc>
        <w:tc>
          <w:tcPr>
            <w:tcW w:w="76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32"/>
        </w:trPr>
        <w:tc>
          <w:tcPr>
            <w:tcW w:w="9480" w:type="dxa"/>
            <w:vAlign w:val="bottom"/>
            <w:gridSpan w:val="3"/>
          </w:tcPr>
          <w:p>
            <w:pPr>
              <w:spacing w:after="0"/>
              <w:rPr>
                <w:sz w:val="20"/>
                <w:szCs w:val="20"/>
                <w:color w:val="auto"/>
              </w:rPr>
            </w:pPr>
            <w:r>
              <w:rPr>
                <w:rFonts w:ascii="Arial" w:cs="Arial" w:eastAsia="Arial" w:hAnsi="Arial"/>
                <w:sz w:val="18"/>
                <w:szCs w:val="18"/>
                <w:color w:val="auto"/>
              </w:rPr>
              <w:t>Exhibit B-1: Form of Restricted Note Legend</w:t>
            </w:r>
          </w:p>
        </w:tc>
        <w:tc>
          <w:tcPr>
            <w:tcW w:w="1980" w:type="dxa"/>
            <w:vAlign w:val="bottom"/>
          </w:tcPr>
          <w:p>
            <w:pPr>
              <w:jc w:val="right"/>
              <w:spacing w:after="0"/>
              <w:rPr>
                <w:sz w:val="20"/>
                <w:szCs w:val="20"/>
                <w:color w:val="auto"/>
              </w:rPr>
            </w:pPr>
            <w:r>
              <w:rPr>
                <w:rFonts w:ascii="Arial" w:cs="Arial" w:eastAsia="Arial" w:hAnsi="Arial"/>
                <w:sz w:val="18"/>
                <w:szCs w:val="18"/>
                <w:color w:val="auto"/>
              </w:rPr>
              <w:t>B1-1</w:t>
            </w:r>
          </w:p>
        </w:tc>
      </w:tr>
      <w:tr>
        <w:trPr>
          <w:trHeight w:val="432"/>
        </w:trPr>
        <w:tc>
          <w:tcPr>
            <w:tcW w:w="9480" w:type="dxa"/>
            <w:vAlign w:val="bottom"/>
            <w:gridSpan w:val="3"/>
          </w:tcPr>
          <w:p>
            <w:pPr>
              <w:spacing w:after="0"/>
              <w:rPr>
                <w:sz w:val="20"/>
                <w:szCs w:val="20"/>
                <w:color w:val="auto"/>
              </w:rPr>
            </w:pPr>
            <w:r>
              <w:rPr>
                <w:rFonts w:ascii="Arial" w:cs="Arial" w:eastAsia="Arial" w:hAnsi="Arial"/>
                <w:sz w:val="18"/>
                <w:szCs w:val="18"/>
                <w:color w:val="auto"/>
              </w:rPr>
              <w:t>Exhibit B-2: Form of Global Note Legend</w:t>
            </w:r>
          </w:p>
        </w:tc>
        <w:tc>
          <w:tcPr>
            <w:tcW w:w="1980" w:type="dxa"/>
            <w:vAlign w:val="bottom"/>
          </w:tcPr>
          <w:p>
            <w:pPr>
              <w:jc w:val="right"/>
              <w:spacing w:after="0"/>
              <w:rPr>
                <w:sz w:val="20"/>
                <w:szCs w:val="20"/>
                <w:color w:val="auto"/>
              </w:rPr>
            </w:pPr>
            <w:r>
              <w:rPr>
                <w:rFonts w:ascii="Arial" w:cs="Arial" w:eastAsia="Arial" w:hAnsi="Arial"/>
                <w:sz w:val="18"/>
                <w:szCs w:val="18"/>
                <w:color w:val="auto"/>
              </w:rPr>
              <w:t>B2-1</w:t>
            </w:r>
          </w:p>
        </w:tc>
      </w:tr>
      <w:tr>
        <w:trPr>
          <w:trHeight w:val="432"/>
        </w:trPr>
        <w:tc>
          <w:tcPr>
            <w:tcW w:w="9480" w:type="dxa"/>
            <w:vAlign w:val="bottom"/>
            <w:gridSpan w:val="3"/>
          </w:tcPr>
          <w:p>
            <w:pPr>
              <w:spacing w:after="0"/>
              <w:rPr>
                <w:sz w:val="20"/>
                <w:szCs w:val="20"/>
                <w:color w:val="auto"/>
              </w:rPr>
            </w:pPr>
            <w:r>
              <w:rPr>
                <w:rFonts w:ascii="Arial" w:cs="Arial" w:eastAsia="Arial" w:hAnsi="Arial"/>
                <w:sz w:val="18"/>
                <w:szCs w:val="18"/>
                <w:color w:val="auto"/>
              </w:rPr>
              <w:t>Exhibit B-3: Form of Non-Affiliate Legend</w:t>
            </w:r>
          </w:p>
        </w:tc>
        <w:tc>
          <w:tcPr>
            <w:tcW w:w="1980" w:type="dxa"/>
            <w:vAlign w:val="bottom"/>
          </w:tcPr>
          <w:p>
            <w:pPr>
              <w:jc w:val="right"/>
              <w:spacing w:after="0"/>
              <w:rPr>
                <w:sz w:val="20"/>
                <w:szCs w:val="20"/>
                <w:color w:val="auto"/>
              </w:rPr>
            </w:pPr>
            <w:r>
              <w:rPr>
                <w:rFonts w:ascii="Arial" w:cs="Arial" w:eastAsia="Arial" w:hAnsi="Arial"/>
                <w:sz w:val="18"/>
                <w:szCs w:val="18"/>
                <w:color w:val="auto"/>
              </w:rPr>
              <w:t>B3-1</w:t>
            </w:r>
          </w:p>
        </w:tc>
      </w:tr>
      <w:tr>
        <w:trPr>
          <w:trHeight w:val="432"/>
        </w:trPr>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60" w:type="dxa"/>
            <w:vAlign w:val="bottom"/>
          </w:tcPr>
          <w:p>
            <w:pPr>
              <w:ind w:left="3820"/>
              <w:spacing w:after="0"/>
              <w:rPr>
                <w:sz w:val="20"/>
                <w:szCs w:val="20"/>
                <w:color w:val="auto"/>
              </w:rPr>
            </w:pPr>
            <w:r>
              <w:rPr>
                <w:rFonts w:ascii="Arial" w:cs="Arial" w:eastAsia="Arial" w:hAnsi="Arial"/>
                <w:sz w:val="18"/>
                <w:szCs w:val="18"/>
                <w:color w:val="auto"/>
              </w:rPr>
              <w:t>iii</w:t>
            </w:r>
          </w:p>
        </w:tc>
        <w:tc>
          <w:tcPr>
            <w:tcW w:w="1980" w:type="dxa"/>
            <w:vAlign w:val="bottom"/>
          </w:tcPr>
          <w:p>
            <w:pPr>
              <w:spacing w:after="0"/>
              <w:rPr>
                <w:sz w:val="24"/>
                <w:szCs w:val="24"/>
                <w:color w:val="auto"/>
              </w:rPr>
            </w:pPr>
          </w:p>
        </w:tc>
      </w:tr>
      <w:tr>
        <w:trPr>
          <w:trHeight w:val="132"/>
        </w:trPr>
        <w:tc>
          <w:tcPr>
            <w:tcW w:w="6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0" w:name="page11"/>
    <w:bookmarkEnd w:id="10"/>
    <w:p>
      <w:pPr>
        <w:ind w:firstLine="648"/>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November 1, 2019, between Winnebago Industries, Inc., an Iowa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and U.S. Bank</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party to this Indenture (as defined below) agrees as follows for the benefit of the other party and for the equal and ratable benefit of the Holders (as defined below) of the Company’s 1.50% Convertible Senior Notes due 2025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66"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Article 1.</w:t>
        <w:tab/>
        <w:t>DEFINITIONS; RULES OF CONSTRUCTION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144 as in effect on the Issue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Authorized Denomination</w:t>
      </w:r>
      <w:r>
        <w:rPr>
          <w:rFonts w:ascii="Arial" w:cs="Arial" w:eastAsia="Arial" w:hAnsi="Arial"/>
          <w:sz w:val="16"/>
          <w:szCs w:val="16"/>
          <w:color w:val="auto"/>
        </w:rPr>
        <w:t>” means, with respect to a Note, a principal amount thereof equal to $1,000 or any integral multiple of $1,000 in excess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right="2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Bid Solicitation Agent</w:t>
      </w:r>
      <w:r>
        <w:rPr>
          <w:rFonts w:ascii="Arial" w:cs="Arial" w:eastAsia="Arial" w:hAnsi="Arial"/>
          <w:sz w:val="16"/>
          <w:szCs w:val="16"/>
          <w:color w:val="auto"/>
        </w:rPr>
        <w:t xml:space="preserve">” means the Person who is required to obtain bids for the Trading Price in accordance with </w:t>
      </w:r>
      <w:r>
        <w:rPr>
          <w:rFonts w:ascii="Arial" w:cs="Arial" w:eastAsia="Arial" w:hAnsi="Arial"/>
          <w:sz w:val="16"/>
          <w:szCs w:val="16"/>
          <w:b w:val="1"/>
          <w:bCs w:val="1"/>
          <w:color w:val="auto"/>
        </w:rPr>
        <w:t>Section 5.01(C)(i)(2)</w:t>
      </w:r>
      <w:r>
        <w:rPr>
          <w:rFonts w:ascii="Arial" w:cs="Arial" w:eastAsia="Arial" w:hAnsi="Arial"/>
          <w:sz w:val="16"/>
          <w:szCs w:val="16"/>
          <w:color w:val="auto"/>
        </w:rPr>
        <w:t xml:space="preserve"> and the definition of “Trading Price.” The initial Bid Solicitation Agent on the Issue Date will be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appoint any other Person (including any of the Company’s Subsidiaries) to be the Bid Solicitation Agent at any time after the Issue Date without prior notice.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on behalf of such board.</w:t>
      </w:r>
    </w:p>
    <w:p>
      <w:pPr>
        <w:spacing w:after="0" w:line="248"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any day on which the Federal Reserve Bank of New York is authorized or required by law or executive order to close or be closed.</w:t>
      </w:r>
    </w:p>
    <w:p>
      <w:pPr>
        <w:spacing w:after="0" w:line="162" w:lineRule="exact"/>
        <w:rPr>
          <w:sz w:val="20"/>
          <w:szCs w:val="20"/>
          <w:color w:val="auto"/>
        </w:rPr>
      </w:pPr>
    </w:p>
    <w:p>
      <w:pPr>
        <w:ind w:right="6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the common stock, $0.50 par value per share, of the Company, subject to </w:t>
      </w:r>
      <w:r>
        <w:rPr>
          <w:rFonts w:ascii="Arial" w:cs="Arial" w:eastAsia="Arial" w:hAnsi="Arial"/>
          <w:sz w:val="18"/>
          <w:szCs w:val="18"/>
          <w:b w:val="1"/>
          <w:bCs w:val="1"/>
          <w:color w:val="auto"/>
        </w:rPr>
        <w:t>Section 5.08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Person named as such in the first paragraph of this Indenture and,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Article 6</w:t>
      </w:r>
      <w:r>
        <w:rPr>
          <w:rFonts w:ascii="Arial" w:cs="Arial" w:eastAsia="Arial" w:hAnsi="Arial"/>
          <w:sz w:val="18"/>
          <w:szCs w:val="18"/>
          <w:color w:val="auto"/>
        </w:rPr>
        <w:t>, its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request or order signed on behalf of the Company by one (1) of its Officers and delivered to the Trustee.</w:t>
      </w:r>
    </w:p>
    <w:p>
      <w:pPr>
        <w:spacing w:after="0" w:line="23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xml:space="preserve">” means, with respect to a Note, the first Business Day on which the requirements set forth in </w:t>
      </w:r>
      <w:r>
        <w:rPr>
          <w:rFonts w:ascii="Arial" w:cs="Arial" w:eastAsia="Arial" w:hAnsi="Arial"/>
          <w:sz w:val="18"/>
          <w:szCs w:val="18"/>
          <w:b w:val="1"/>
          <w:bCs w:val="1"/>
          <w:color w:val="auto"/>
        </w:rPr>
        <w:t>Section 5.02(A)</w:t>
      </w:r>
      <w:r>
        <w:rPr>
          <w:rFonts w:ascii="Arial" w:cs="Arial" w:eastAsia="Arial" w:hAnsi="Arial"/>
          <w:sz w:val="18"/>
          <w:szCs w:val="18"/>
          <w:color w:val="auto"/>
        </w:rPr>
        <w:t xml:space="preserve"> to convert such Note are satisfied.</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time, an amount equal to (A) one thousand dollars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Conversion Rate in effect at such time.</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xml:space="preserve">” initially means 15.6906 shares of Common Stock per $1,000 principal amount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Conversion Rate is subject to adjustment pursuant to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w:t>
      </w:r>
      <w:r>
        <w:rPr>
          <w:rFonts w:ascii="Arial" w:cs="Arial" w:eastAsia="Arial" w:hAnsi="Arial"/>
          <w:sz w:val="18"/>
          <w:szCs w:val="18"/>
          <w:color w:val="auto"/>
        </w:rPr>
        <w:t>” means any share of Common Stock issued or issuable upon conversion of any Note.</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 of the Trustee</w:t>
      </w:r>
      <w:r>
        <w:rPr>
          <w:rFonts w:ascii="Arial" w:cs="Arial" w:eastAsia="Arial" w:hAnsi="Arial"/>
          <w:sz w:val="18"/>
          <w:szCs w:val="18"/>
          <w:color w:val="auto"/>
        </w:rPr>
        <w:t xml:space="preserve">” means the address of the Trustee specified in </w:t>
      </w:r>
      <w:r>
        <w:rPr>
          <w:rFonts w:ascii="Arial" w:cs="Arial" w:eastAsia="Arial" w:hAnsi="Arial"/>
          <w:sz w:val="18"/>
          <w:szCs w:val="18"/>
          <w:b w:val="1"/>
          <w:bCs w:val="1"/>
          <w:color w:val="auto"/>
        </w:rPr>
        <w:t>Section 11.01</w:t>
      </w:r>
      <w:r>
        <w:rPr>
          <w:rFonts w:ascii="Arial" w:cs="Arial" w:eastAsia="Arial" w:hAnsi="Arial"/>
          <w:sz w:val="18"/>
          <w:szCs w:val="18"/>
          <w:color w:val="auto"/>
        </w:rPr>
        <w:t xml:space="preserve"> or such other address as to which the Trustee may give notice to the Holders and the Company.</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Cash Amount</w:t>
      </w:r>
      <w:r>
        <w:rPr>
          <w:rFonts w:ascii="Arial" w:cs="Arial" w:eastAsia="Arial" w:hAnsi="Arial"/>
          <w:sz w:val="18"/>
          <w:szCs w:val="18"/>
          <w:color w:val="auto"/>
        </w:rPr>
        <w:t>” means, with respect to any VWAP Trading Day, the lesser of (A) the applicable Daily Maximum Cash Amount; and (B) the Daily Conversion Value for such VWAP Trading Day.</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with respect to any VWAP Trading Day, one-fortieth (1/40th) of the product of (A) the Conversion Rate on such VWAP Trading Day; and (B) the Daily VWAP per share of Common Stock on such VWAP Trading Day.</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Maximum Cash Amount</w:t>
      </w:r>
      <w:r>
        <w:rPr>
          <w:rFonts w:ascii="Arial" w:cs="Arial" w:eastAsia="Arial" w:hAnsi="Arial"/>
          <w:sz w:val="18"/>
          <w:szCs w:val="18"/>
          <w:color w:val="auto"/>
        </w:rPr>
        <w:t>” means, with respect to the conversion of any Note, the quotient obtained by dividing (A) the Specified Dollar Amount applicable to such conversion by (B) forty (40).</w:t>
      </w:r>
    </w:p>
    <w:p>
      <w:pPr>
        <w:spacing w:after="0" w:line="162" w:lineRule="exact"/>
        <w:rPr>
          <w:sz w:val="20"/>
          <w:szCs w:val="20"/>
          <w:color w:val="auto"/>
        </w:rPr>
      </w:pPr>
    </w:p>
    <w:p>
      <w:pPr>
        <w:jc w:val="both"/>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Share Amount</w:t>
      </w:r>
      <w:r>
        <w:rPr>
          <w:rFonts w:ascii="Arial" w:cs="Arial" w:eastAsia="Arial" w:hAnsi="Arial"/>
          <w:sz w:val="18"/>
          <w:szCs w:val="18"/>
          <w:color w:val="auto"/>
        </w:rPr>
        <w:t>” means, with respect to any VWAP Trading Day during an Observation Period relating to the conversion of any Note,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VWAP</w:t>
      </w:r>
      <w:r>
        <w:rPr>
          <w:rFonts w:ascii="Arial" w:cs="Arial" w:eastAsia="Arial" w:hAnsi="Arial"/>
          <w:sz w:val="18"/>
          <w:szCs w:val="18"/>
          <w:color w:val="auto"/>
        </w:rPr>
        <w:t>” means, for any VWAP Trading Day, the per share volume-weighted average price of the Common Stock as displayed under the heading “Bloomberg VWAP” 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 w:name="page13"/>
    <w:bookmarkEnd w:id="12"/>
    <w:p>
      <w:pPr>
        <w:ind w:right="80"/>
        <w:spacing w:after="0" w:line="276" w:lineRule="auto"/>
        <w:rPr>
          <w:sz w:val="20"/>
          <w:szCs w:val="20"/>
          <w:color w:val="auto"/>
        </w:rPr>
      </w:pPr>
      <w:r>
        <w:rPr>
          <w:rFonts w:ascii="Arial" w:cs="Arial" w:eastAsia="Arial" w:hAnsi="Arial"/>
          <w:sz w:val="17"/>
          <w:szCs w:val="17"/>
          <w:color w:val="auto"/>
        </w:rPr>
        <w:t>Bloomberg page “WGO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include any of the Initial Purchasers). The Daily VWAP will be determined without regard to after-hours trading or any other trading outside of the regular trading session.</w:t>
      </w:r>
    </w:p>
    <w:p>
      <w:pPr>
        <w:spacing w:after="0" w:line="169"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De-Legending Deadline Date</w:t>
      </w:r>
      <w:r>
        <w:rPr>
          <w:rFonts w:ascii="Arial" w:cs="Arial" w:eastAsia="Arial" w:hAnsi="Arial"/>
          <w:sz w:val="18"/>
          <w:szCs w:val="18"/>
          <w:color w:val="auto"/>
        </w:rPr>
        <w:t xml:space="preserve">” means, with respect to any Note, the fifteenth (15th) day after the Free Trade Date of such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fifteenth (15th) day is after a Regular Record Date and on or before the next Interest Payment Date, then the De-Legending Deadline</w:t>
      </w:r>
      <w:r>
        <w:rPr>
          <w:rFonts w:ascii="Arial" w:cs="Arial" w:eastAsia="Arial" w:hAnsi="Arial"/>
          <w:sz w:val="18"/>
          <w:szCs w:val="18"/>
          <w:i w:val="1"/>
          <w:iCs w:val="1"/>
          <w:color w:val="auto"/>
        </w:rPr>
        <w:t xml:space="preserve"> </w:t>
      </w:r>
      <w:r>
        <w:rPr>
          <w:rFonts w:ascii="Arial" w:cs="Arial" w:eastAsia="Arial" w:hAnsi="Arial"/>
          <w:sz w:val="18"/>
          <w:szCs w:val="18"/>
          <w:color w:val="auto"/>
        </w:rPr>
        <w:t>Date for such Note will instead be the Business Day immediately after such Interest Payment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passage of time or both, would be) an Event of Default.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Settlement Method</w:t>
      </w:r>
      <w:r>
        <w:rPr>
          <w:rFonts w:ascii="Arial" w:cs="Arial" w:eastAsia="Arial" w:hAnsi="Arial"/>
          <w:sz w:val="18"/>
          <w:szCs w:val="18"/>
          <w:color w:val="auto"/>
        </w:rPr>
        <w:t xml:space="preserve">” means Combination Settlement with a Specified Dollar Amount of $1,000 per $1,000 principal amount of Notes;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may, from time to time, change the Default Settlement Method by sending notice of the new Default Settlement Method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Holders, the Trustee and the Conversion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Participant</w:t>
      </w:r>
      <w:r>
        <w:rPr>
          <w:rFonts w:ascii="Arial" w:cs="Arial" w:eastAsia="Arial" w:hAnsi="Arial"/>
          <w:sz w:val="18"/>
          <w:szCs w:val="18"/>
          <w:color w:val="auto"/>
        </w:rPr>
        <w:t>” means any member of, or participant in, the Depositary.</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Procedures</w:t>
      </w:r>
      <w:r>
        <w:rPr>
          <w:rFonts w:ascii="Arial" w:cs="Arial" w:eastAsia="Arial" w:hAnsi="Arial"/>
          <w:sz w:val="18"/>
          <w:szCs w:val="18"/>
          <w:color w:val="auto"/>
        </w:rPr>
        <w:t>” means, with respect to any conversion, transfer, exchange or transaction involving a Global Note or any beneficial interest therein, the rules and procedures of the Depositary applicable to such conversion, transfer, exchange or transaction.</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Trade Date</w:t>
      </w:r>
      <w:r>
        <w:rPr>
          <w:rFonts w:ascii="Arial" w:cs="Arial" w:eastAsia="Arial" w:hAnsi="Arial"/>
          <w:sz w:val="18"/>
          <w:szCs w:val="18"/>
          <w:color w:val="auto"/>
        </w:rPr>
        <w:t>” means, with respect to any Note, the date that is one (1) year after the Last Original Issue Date of such Note.</w:t>
      </w:r>
    </w:p>
    <w:p>
      <w:pPr>
        <w:spacing w:after="0" w:line="225"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Freely Tradable</w:t>
      </w:r>
      <w:r>
        <w:rPr>
          <w:rFonts w:ascii="Arial" w:cs="Arial" w:eastAsia="Arial" w:hAnsi="Arial"/>
          <w:sz w:val="18"/>
          <w:szCs w:val="18"/>
          <w:color w:val="auto"/>
        </w:rPr>
        <w:t>” means, with respect to any Note, that such Note would be eligible to be offered, sold or otherwise transferred pursuant to Rule 144 or otherwise if held by a Person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80"/>
        <w:spacing w:after="0" w:line="272" w:lineRule="auto"/>
        <w:rPr>
          <w:sz w:val="20"/>
          <w:szCs w:val="20"/>
          <w:color w:val="auto"/>
        </w:rPr>
      </w:pPr>
      <w:r>
        <w:rPr>
          <w:rFonts w:ascii="Arial" w:cs="Arial" w:eastAsia="Arial" w:hAnsi="Arial"/>
          <w:sz w:val="17"/>
          <w:szCs w:val="17"/>
          <w:color w:val="auto"/>
        </w:rPr>
        <w:t xml:space="preserve">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from and after the Free Trade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Arial" w:cs="Arial" w:eastAsia="Arial" w:hAnsi="Arial"/>
          <w:sz w:val="17"/>
          <w:szCs w:val="17"/>
          <w:b w:val="1"/>
          <w:bCs w:val="1"/>
          <w:color w:val="auto"/>
        </w:rPr>
        <w:t>Section 2.12</w:t>
      </w:r>
      <w:r>
        <w:rPr>
          <w:rFonts w:ascii="Arial" w:cs="Arial" w:eastAsia="Arial" w:hAnsi="Arial"/>
          <w:sz w:val="17"/>
          <w:szCs w:val="17"/>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means any of the following events:</w:t>
      </w:r>
    </w:p>
    <w:p>
      <w:pPr>
        <w:spacing w:after="0" w:line="229" w:lineRule="exact"/>
        <w:rPr>
          <w:sz w:val="20"/>
          <w:szCs w:val="20"/>
          <w:color w:val="auto"/>
        </w:rPr>
      </w:pPr>
    </w:p>
    <w:p>
      <w:pPr>
        <w:ind w:right="40" w:firstLine="656"/>
        <w:spacing w:after="0" w:line="264" w:lineRule="auto"/>
        <w:tabs>
          <w:tab w:leader="none" w:pos="1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13(d)(3) of the Exchange Act), other than the Company or its Wholly Owned Subsidiaries, has become the direct or indirect “beneficial owner” (as defined below) of shares of the Company’s common equity representing more than fifty percent (50%) of the voting power of all of the Company’s then-outstanding common equity;</w:t>
      </w:r>
    </w:p>
    <w:p>
      <w:pPr>
        <w:spacing w:after="0" w:line="181" w:lineRule="exact"/>
        <w:rPr>
          <w:rFonts w:ascii="Arial" w:cs="Arial" w:eastAsia="Arial" w:hAnsi="Arial"/>
          <w:sz w:val="18"/>
          <w:szCs w:val="18"/>
          <w:color w:val="auto"/>
        </w:rPr>
      </w:pPr>
    </w:p>
    <w:p>
      <w:pPr>
        <w:ind w:firstLine="656"/>
        <w:spacing w:after="0" w:line="270" w:lineRule="auto"/>
        <w:tabs>
          <w:tab w:leader="none" w:pos="1307"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consummation of (i) any sale, lease or other transfer, in one transaction or a series of transactions, of all or substantially all of the assets of the Company and its Subsidiaries, taken as a whole, to any Person;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merger, consolidation, share exchange or combination of the Company pursuant to which the Persons that directly or indirectly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Arial" w:cs="Arial" w:eastAsia="Arial" w:hAnsi="Arial"/>
          <w:sz w:val="17"/>
          <w:szCs w:val="17"/>
          <w:b w:val="1"/>
          <w:bCs w:val="1"/>
          <w:color w:val="auto"/>
        </w:rPr>
        <w:t>clause (B)</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approve any plan or proposal for the liquidation or dissolution of the Company; or</w:t>
      </w:r>
    </w:p>
    <w:p>
      <w:pPr>
        <w:spacing w:after="0" w:line="225" w:lineRule="exact"/>
        <w:rPr>
          <w:rFonts w:ascii="Arial" w:cs="Arial" w:eastAsia="Arial" w:hAnsi="Arial"/>
          <w:sz w:val="18"/>
          <w:szCs w:val="18"/>
          <w:color w:val="auto"/>
        </w:rPr>
      </w:pPr>
    </w:p>
    <w:p>
      <w:pPr>
        <w:ind w:right="200" w:firstLine="656"/>
        <w:spacing w:after="0" w:line="277" w:lineRule="auto"/>
        <w:tabs>
          <w:tab w:leader="none" w:pos="1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Common Stock ceases to be listed on any of The New York Stock Exchange, The NASDAQ Global Market or The NASDAQ Global Select Market (or any of their respective successors);</w:t>
      </w:r>
    </w:p>
    <w:p>
      <w:pPr>
        <w:spacing w:after="0" w:line="16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transaction or event described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above will not constitute a Fundamental Change if at least ninety percent (90%)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Global Market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right="320"/>
        <w:spacing w:after="0" w:line="342" w:lineRule="auto"/>
        <w:rPr>
          <w:sz w:val="20"/>
          <w:szCs w:val="20"/>
          <w:color w:val="auto"/>
        </w:rPr>
      </w:pPr>
      <w:r>
        <w:rPr>
          <w:rFonts w:ascii="Arial" w:cs="Arial" w:eastAsia="Arial" w:hAnsi="Arial"/>
          <w:sz w:val="16"/>
          <w:szCs w:val="16"/>
          <w:color w:val="auto"/>
        </w:rPr>
        <w:t>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20"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color w:val="auto"/>
        </w:rPr>
        <w:t xml:space="preserve">For the purposes of this definition, (x) any transaction or event described in both </w:t>
      </w:r>
      <w:r>
        <w:rPr>
          <w:rFonts w:ascii="Arial" w:cs="Arial" w:eastAsia="Arial" w:hAnsi="Arial"/>
          <w:sz w:val="17"/>
          <w:szCs w:val="17"/>
          <w:b w:val="1"/>
          <w:bCs w:val="1"/>
          <w:color w:val="auto"/>
        </w:rPr>
        <w:t>clause (A)</w:t>
      </w:r>
      <w:r>
        <w:rPr>
          <w:rFonts w:ascii="Arial" w:cs="Arial" w:eastAsia="Arial" w:hAnsi="Arial"/>
          <w:sz w:val="17"/>
          <w:szCs w:val="17"/>
          <w:color w:val="auto"/>
        </w:rPr>
        <w:t xml:space="preserve"> and in </w:t>
      </w:r>
      <w:r>
        <w:rPr>
          <w:rFonts w:ascii="Arial" w:cs="Arial" w:eastAsia="Arial" w:hAnsi="Arial"/>
          <w:sz w:val="17"/>
          <w:szCs w:val="17"/>
          <w:b w:val="1"/>
          <w:bCs w:val="1"/>
          <w:color w:val="auto"/>
        </w:rPr>
        <w:t>clause (B)(i)</w:t>
      </w:r>
      <w:r>
        <w:rPr>
          <w:rFonts w:ascii="Arial" w:cs="Arial" w:eastAsia="Arial" w:hAnsi="Arial"/>
          <w:sz w:val="17"/>
          <w:szCs w:val="17"/>
          <w:color w:val="auto"/>
        </w:rPr>
        <w:t xml:space="preserve"> or </w:t>
      </w:r>
      <w:r>
        <w:rPr>
          <w:rFonts w:ascii="Arial" w:cs="Arial" w:eastAsia="Arial" w:hAnsi="Arial"/>
          <w:sz w:val="17"/>
          <w:szCs w:val="17"/>
          <w:b w:val="1"/>
          <w:bCs w:val="1"/>
          <w:color w:val="auto"/>
        </w:rPr>
        <w:t>(ii)</w:t>
      </w:r>
      <w:r>
        <w:rPr>
          <w:rFonts w:ascii="Arial" w:cs="Arial" w:eastAsia="Arial" w:hAnsi="Arial"/>
          <w:sz w:val="17"/>
          <w:szCs w:val="17"/>
          <w:color w:val="auto"/>
        </w:rPr>
        <w:t xml:space="preserve"> above (without regard to the proviso in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will be deemed to occur solely pursuant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above (subject to such proviso); and (y) whether a Person is a “</w:t>
      </w:r>
      <w:r>
        <w:rPr>
          <w:rFonts w:ascii="Arial" w:cs="Arial" w:eastAsia="Arial" w:hAnsi="Arial"/>
          <w:sz w:val="17"/>
          <w:szCs w:val="17"/>
          <w:b w:val="1"/>
          <w:bCs w:val="1"/>
          <w:color w:val="auto"/>
        </w:rPr>
        <w:t>beneficial</w:t>
      </w:r>
      <w:r>
        <w:rPr>
          <w:rFonts w:ascii="Arial" w:cs="Arial" w:eastAsia="Arial" w:hAnsi="Arial"/>
          <w:sz w:val="17"/>
          <w:szCs w:val="17"/>
          <w:color w:val="auto"/>
        </w:rPr>
        <w:t xml:space="preserve"> </w:t>
      </w:r>
      <w:r>
        <w:rPr>
          <w:rFonts w:ascii="Arial" w:cs="Arial" w:eastAsia="Arial" w:hAnsi="Arial"/>
          <w:sz w:val="17"/>
          <w:szCs w:val="17"/>
          <w:b w:val="1"/>
          <w:bCs w:val="1"/>
          <w:color w:val="auto"/>
        </w:rPr>
        <w:t>owner</w:t>
      </w:r>
      <w:r>
        <w:rPr>
          <w:rFonts w:ascii="Arial" w:cs="Arial" w:eastAsia="Arial" w:hAnsi="Arial"/>
          <w:sz w:val="17"/>
          <w:szCs w:val="17"/>
          <w:color w:val="auto"/>
        </w:rPr>
        <w:t>” and whether shares are “</w:t>
      </w:r>
      <w:r>
        <w:rPr>
          <w:rFonts w:ascii="Arial" w:cs="Arial" w:eastAsia="Arial" w:hAnsi="Arial"/>
          <w:sz w:val="17"/>
          <w:szCs w:val="17"/>
          <w:b w:val="1"/>
          <w:bCs w:val="1"/>
          <w:color w:val="auto"/>
        </w:rPr>
        <w:t>beneficially owned</w:t>
      </w:r>
      <w:r>
        <w:rPr>
          <w:rFonts w:ascii="Arial" w:cs="Arial" w:eastAsia="Arial" w:hAnsi="Arial"/>
          <w:sz w:val="17"/>
          <w:szCs w:val="17"/>
          <w:color w:val="auto"/>
        </w:rPr>
        <w:t>” will be determined in accordance with Rule 13d-3 under the Exchange Act.</w:t>
      </w:r>
    </w:p>
    <w:p>
      <w:pPr>
        <w:spacing w:after="0" w:line="158"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means the date fixed for the repurchase of any Notes by the Company pursuant to a Repurchase Upon Fundamental Change.</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xml:space="preserve">” means a notice (including a notice substantially in the form of the “Fundamental Change Repurchase Notice”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containing the information, or otherwise complying with the requirements, set forth in </w:t>
      </w:r>
      <w:r>
        <w:rPr>
          <w:rFonts w:ascii="Arial" w:cs="Arial" w:eastAsia="Arial" w:hAnsi="Arial"/>
          <w:sz w:val="18"/>
          <w:szCs w:val="18"/>
          <w:b w:val="1"/>
          <w:bCs w:val="1"/>
          <w:color w:val="auto"/>
        </w:rPr>
        <w:t>Section 4.02(F)(i)</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4.02(F)</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w:t>
      </w:r>
    </w:p>
    <w:p>
      <w:pPr>
        <w:spacing w:after="0" w:line="176"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xml:space="preserve">” means the cash price payable by the Company to repurchase any Note upon its Repurchase Upon Fundamental Change, calculated pursuant to </w:t>
      </w:r>
      <w:r>
        <w:rPr>
          <w:rFonts w:ascii="Arial" w:cs="Arial" w:eastAsia="Arial" w:hAnsi="Arial"/>
          <w:sz w:val="18"/>
          <w:szCs w:val="18"/>
          <w:b w:val="1"/>
          <w:bCs w:val="1"/>
          <w:color w:val="auto"/>
        </w:rPr>
        <w:t>Section 4.02(D)</w:t>
      </w:r>
      <w:r>
        <w:rPr>
          <w:rFonts w:ascii="Arial" w:cs="Arial" w:eastAsia="Arial" w:hAnsi="Arial"/>
          <w:sz w:val="18"/>
          <w:szCs w:val="18"/>
          <w:color w:val="auto"/>
        </w:rPr>
        <w:t>.</w:t>
      </w:r>
    </w:p>
    <w:p>
      <w:pPr>
        <w:spacing w:after="0" w:line="162"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Note</w:t>
      </w:r>
      <w:r>
        <w:rPr>
          <w:rFonts w:ascii="Arial" w:cs="Arial" w:eastAsia="Arial" w:hAnsi="Arial"/>
          <w:sz w:val="16"/>
          <w:szCs w:val="16"/>
          <w:color w:val="auto"/>
        </w:rPr>
        <w:t xml:space="preserve">” means a Note that is represented by a certificate substantially in the 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registered in the name of the Depositary or its nominee, duly executed by the Company and authenticated by the Trustee, and deposited with the Trustee, as custodian for the Depositary.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Goldman Sachs &amp; Co. LLC and BMO Capital Markets Corp.</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means, with respect to a Note, each April 1 and October 1 of each year, commencing on April 1, 2020 (or commencing on such other date specified in the certificate representing such Note). For the avoidance of doubt, the Maturity Date is an Interest Payment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November 1, 2019.</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Original Issue Date</w:t>
      </w:r>
      <w:r>
        <w:rPr>
          <w:rFonts w:ascii="Arial" w:cs="Arial" w:eastAsia="Arial" w:hAnsi="Arial"/>
          <w:sz w:val="18"/>
          <w:szCs w:val="18"/>
          <w:color w:val="auto"/>
        </w:rPr>
        <w:t>” means (A) with respect to any Notes issued pursuant to the Purchase Agreement and any Notes issued in exchange therefor or in substitution thereof,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 xml:space="preserve">Issue Date; and (B) with respect to any Notes issued pursuant to </w:t>
      </w:r>
      <w:r>
        <w:rPr>
          <w:rFonts w:ascii="Arial" w:cs="Arial" w:eastAsia="Arial" w:hAnsi="Arial"/>
          <w:sz w:val="16"/>
          <w:szCs w:val="16"/>
          <w:b w:val="1"/>
          <w:bCs w:val="1"/>
          <w:color w:val="auto"/>
        </w:rPr>
        <w:t>Section 2.03(B)</w:t>
      </w:r>
      <w:r>
        <w:rPr>
          <w:rFonts w:ascii="Arial" w:cs="Arial" w:eastAsia="Arial" w:hAnsi="Arial"/>
          <w:sz w:val="16"/>
          <w:szCs w:val="16"/>
          <w:color w:val="auto"/>
        </w:rPr>
        <w:t>, and any Notes issued in exchange therefor or in substitution thereof, either</w:t>
      </w:r>
    </w:p>
    <w:p>
      <w:pPr>
        <w:spacing w:after="0" w:line="50" w:lineRule="exact"/>
        <w:rPr>
          <w:sz w:val="20"/>
          <w:szCs w:val="20"/>
          <w:color w:val="auto"/>
        </w:rPr>
      </w:pPr>
    </w:p>
    <w:p>
      <w:pPr>
        <w:ind w:right="340"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include any of the Initial Purchasers. Neither the Trustee nor the Conversion Agent will have any duty to determine the Last Reported Sale Price.</w:t>
      </w:r>
    </w:p>
    <w:p>
      <w:pPr>
        <w:spacing w:after="0" w:line="17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xml:space="preserve">” means a Fundamental Change (determined after giving effect to the proviso immediately after </w:t>
      </w:r>
      <w:r>
        <w:rPr>
          <w:rFonts w:ascii="Arial" w:cs="Arial" w:eastAsia="Arial" w:hAnsi="Arial"/>
          <w:sz w:val="18"/>
          <w:szCs w:val="18"/>
          <w:b w:val="1"/>
          <w:bCs w:val="1"/>
          <w:color w:val="auto"/>
        </w:rPr>
        <w:t>clause (D)</w:t>
      </w:r>
      <w:r>
        <w:rPr>
          <w:rFonts w:ascii="Arial" w:cs="Arial" w:eastAsia="Arial" w:hAnsi="Arial"/>
          <w:sz w:val="18"/>
          <w:szCs w:val="18"/>
          <w:color w:val="auto"/>
        </w:rPr>
        <w:t xml:space="preserve"> of the definition thereof, but without regard to the proviso to </w:t>
      </w:r>
      <w:r>
        <w:rPr>
          <w:rFonts w:ascii="Arial" w:cs="Arial" w:eastAsia="Arial" w:hAnsi="Arial"/>
          <w:sz w:val="18"/>
          <w:szCs w:val="18"/>
          <w:b w:val="1"/>
          <w:bCs w:val="1"/>
          <w:color w:val="auto"/>
        </w:rPr>
        <w:t>clause (B)(ii)</w:t>
      </w:r>
      <w:r>
        <w:rPr>
          <w:rFonts w:ascii="Arial" w:cs="Arial" w:eastAsia="Arial" w:hAnsi="Arial"/>
          <w:sz w:val="18"/>
          <w:szCs w:val="18"/>
          <w:color w:val="auto"/>
        </w:rPr>
        <w:t xml:space="preserve"> of such definition).</w:t>
      </w:r>
    </w:p>
    <w:p>
      <w:pPr>
        <w:spacing w:after="0" w:line="162" w:lineRule="exact"/>
        <w:rPr>
          <w:sz w:val="20"/>
          <w:szCs w:val="20"/>
          <w:color w:val="auto"/>
        </w:rPr>
      </w:pPr>
    </w:p>
    <w:p>
      <w:pPr>
        <w:ind w:right="2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 Conversion Period</w:t>
      </w:r>
      <w:r>
        <w:rPr>
          <w:rFonts w:ascii="Arial" w:cs="Arial" w:eastAsia="Arial" w:hAnsi="Arial"/>
          <w:sz w:val="16"/>
          <w:szCs w:val="16"/>
          <w:color w:val="auto"/>
        </w:rPr>
        <w:t>” means, with respect to a Make-Whole Fundamental Change, the period from, and including, the effective date of such Make-Whole Fundamental Change to, and including, the thirty fifth (35th) Trading Day after such effective date (or, if such Make-Whole Fundamental Change also constitutes a Fundamental Change, to, but excluding, the related Fundamental Change Repurchase Date).</w:t>
      </w:r>
    </w:p>
    <w:p>
      <w:pPr>
        <w:spacing w:after="0" w:line="142"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April 1, 2025.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Non-Affiliate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Agent</w:t>
      </w:r>
      <w:r>
        <w:rPr>
          <w:rFonts w:ascii="Arial" w:cs="Arial" w:eastAsia="Arial" w:hAnsi="Arial"/>
          <w:sz w:val="18"/>
          <w:szCs w:val="18"/>
          <w:color w:val="auto"/>
        </w:rPr>
        <w:t>” means any Registrar, Paying Agent or Conversion Agent.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the 1.50% Convertible Senior Notes due 2025 issued by the Company pursuant to this Indenture.</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Observation Period</w:t>
      </w:r>
      <w:r>
        <w:rPr>
          <w:rFonts w:ascii="Arial" w:cs="Arial" w:eastAsia="Arial" w:hAnsi="Arial"/>
          <w:sz w:val="18"/>
          <w:szCs w:val="18"/>
          <w:color w:val="auto"/>
        </w:rPr>
        <w:t>” means, with respect to any Note to be converted, (A) if the Conversion Date for such Note occurs before the eighty-fifth (85th) Scheduled Trading Day immediately before the Maturity Date, the forty (40) consecutive VWAP Trading Days beginning on, and including, the third (3rd) VWAP Trading Day immediately after such Conversion Date; and (B) if such Conversion Date occurs on or after the eighty-fifth (85th) Scheduled Trading Day immediately before the Maturity Date, the forty (40) consecutive VWAP Trading Days beginning on, and including, the forty-first (41st) Scheduled Trading Day immediately before the Maturity Date.</w:t>
      </w:r>
    </w:p>
    <w:p>
      <w:pPr>
        <w:spacing w:after="0" w:line="18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b w:val="1"/>
          <w:bCs w:val="1"/>
          <w:color w:val="auto"/>
        </w:rPr>
        <w:t>Officer</w:t>
      </w:r>
      <w:r>
        <w:rPr>
          <w:rFonts w:ascii="Arial" w:cs="Arial" w:eastAsia="Arial" w:hAnsi="Arial"/>
          <w:sz w:val="17"/>
          <w:szCs w:val="17"/>
          <w:color w:val="auto"/>
        </w:rPr>
        <w:t>” means the Chairman of the Board of Directors, the Chief Executive Officer, the President, the Chief Operating Officer, the Chief Financial</w:t>
      </w:r>
      <w:r>
        <w:rPr>
          <w:rFonts w:ascii="Arial" w:cs="Arial" w:eastAsia="Arial" w:hAnsi="Arial"/>
          <w:sz w:val="18"/>
          <w:szCs w:val="18"/>
          <w:color w:val="auto"/>
        </w:rPr>
        <w:t xml:space="preserve"> </w:t>
      </w:r>
      <w:r>
        <w:rPr>
          <w:rFonts w:ascii="Arial" w:cs="Arial" w:eastAsia="Arial" w:hAnsi="Arial"/>
          <w:sz w:val="17"/>
          <w:szCs w:val="17"/>
          <w:color w:val="auto"/>
        </w:rPr>
        <w:t>Officer, the Treasurer, any Assistant Treasurer, the Controller, the Secretary or any Vice-President of the Company.</w:t>
      </w:r>
    </w:p>
    <w:p>
      <w:pPr>
        <w:spacing w:after="0" w:line="17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that is signed on behalf of the Company by one (1) of its Officers and that meets the requirements of </w:t>
      </w:r>
      <w:r>
        <w:rPr>
          <w:rFonts w:ascii="Arial" w:cs="Arial" w:eastAsia="Arial" w:hAnsi="Arial"/>
          <w:sz w:val="18"/>
          <w:szCs w:val="18"/>
          <w:b w:val="1"/>
          <w:bCs w:val="1"/>
          <w:color w:val="auto"/>
        </w:rPr>
        <w:t>Section 11.03</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right="500" w:firstLine="648"/>
        <w:spacing w:after="0" w:line="31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xml:space="preserve">” means </w:t>
      </w:r>
      <w:r>
        <w:rPr>
          <w:rFonts w:ascii="Arial" w:cs="Arial" w:eastAsia="Arial" w:hAnsi="Arial"/>
          <w:sz w:val="16"/>
          <w:szCs w:val="16"/>
          <w:color w:val="auto"/>
        </w:rPr>
        <w:t>an opinion, from legal counsel (including an employee of, or counsel to, the Company or any of its Subsidiaries)</w:t>
      </w:r>
      <w:r>
        <w:rPr>
          <w:rFonts w:ascii="Arial" w:cs="Arial" w:eastAsia="Arial" w:hAnsi="Arial"/>
          <w:sz w:val="17"/>
          <w:szCs w:val="17"/>
          <w:color w:val="auto"/>
        </w:rPr>
        <w:t xml:space="preserve"> </w:t>
      </w:r>
      <w:r>
        <w:rPr>
          <w:rFonts w:ascii="Arial" w:cs="Arial" w:eastAsia="Arial" w:hAnsi="Arial"/>
          <w:sz w:val="16"/>
          <w:szCs w:val="16"/>
          <w:color w:val="auto"/>
        </w:rPr>
        <w:t xml:space="preserve">reasonably acceptable to the Trustee, that meets the requirements of </w:t>
      </w:r>
      <w:r>
        <w:rPr>
          <w:rFonts w:ascii="Arial" w:cs="Arial" w:eastAsia="Arial" w:hAnsi="Arial"/>
          <w:sz w:val="16"/>
          <w:szCs w:val="16"/>
          <w:b w:val="1"/>
          <w:bCs w:val="1"/>
          <w:color w:val="auto"/>
        </w:rPr>
        <w:t>Section 11.03</w:t>
      </w:r>
      <w:r>
        <w:rPr>
          <w:rFonts w:ascii="Arial" w:cs="Arial" w:eastAsia="Arial" w:hAnsi="Arial"/>
          <w:sz w:val="16"/>
          <w:szCs w:val="16"/>
          <w:color w:val="auto"/>
        </w:rPr>
        <w:t>, subject to customary qualifications and exclusions.</w:t>
      </w:r>
    </w:p>
    <w:p>
      <w:pPr>
        <w:spacing w:after="0" w:line="143"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76"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w:t>
      </w:r>
      <w:r>
        <w:rPr>
          <w:rFonts w:ascii="Arial" w:cs="Arial" w:eastAsia="Arial" w:hAnsi="Arial"/>
          <w:sz w:val="18"/>
          <w:szCs w:val="18"/>
          <w:color w:val="auto"/>
        </w:rPr>
        <w:t xml:space="preserve">” means a Note (other than a Global Note) that is represented by a certificate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 registered in the name of the Holder of such Note and duly executed by the Company and authenticated by the Trustee.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Agreement</w:t>
      </w:r>
      <w:r>
        <w:rPr>
          <w:rFonts w:ascii="Arial" w:cs="Arial" w:eastAsia="Arial" w:hAnsi="Arial"/>
          <w:sz w:val="17"/>
          <w:szCs w:val="17"/>
          <w:color w:val="auto"/>
        </w:rPr>
        <w:t>” means that certain Purchase Agreement, dated October 29 ,2019, between the Company and the Initial Purchasers.</w:t>
      </w:r>
    </w:p>
    <w:p>
      <w:pPr>
        <w:spacing w:after="0" w:line="237"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Regular Record Date</w:t>
      </w:r>
      <w:r>
        <w:rPr>
          <w:rFonts w:ascii="Arial" w:cs="Arial" w:eastAsia="Arial" w:hAnsi="Arial"/>
          <w:sz w:val="17"/>
          <w:szCs w:val="17"/>
          <w:color w:val="auto"/>
        </w:rPr>
        <w:t>” has the following meaning with respect to an Interest Payment Date: (A) if such Interest Payment Date occurs on April 1, the immediately preceding March 15; and (B) if such Interest Payment Date occurs on October 1, the immediately preceding September 15.</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Upon Fundamental Change</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4.02</w:t>
      </w:r>
      <w:r>
        <w:rPr>
          <w:rFonts w:ascii="Arial" w:cs="Arial" w:eastAsia="Arial" w:hAnsi="Arial"/>
          <w:sz w:val="18"/>
          <w:szCs w:val="18"/>
          <w:color w:val="auto"/>
        </w:rPr>
        <w:t>.</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17" w:name="page18"/>
    <w:bookmarkEnd w:id="17"/>
    <w:p>
      <w:pPr>
        <w:ind w:right="2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(A) any officer within the Corporate Trust Administration of the Trustee (or any successor group of the Trustee) or any other officer of the Trustee customarily performing functions similar to those performed by any of such officers; and (B) with respect to a particular corporate trust matter, any other officer to whom such matter is referred because of his or her knowledge of, and familiarity with, the particular subject.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Note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Legend</w:t>
      </w:r>
      <w:r>
        <w:rPr>
          <w:rFonts w:ascii="Arial" w:cs="Arial" w:eastAsia="Arial" w:hAnsi="Arial"/>
          <w:sz w:val="16"/>
          <w:szCs w:val="16"/>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under the Securities Act (or any successor rule thereto), as the same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144A</w:t>
      </w:r>
      <w:r>
        <w:rPr>
          <w:rFonts w:ascii="Arial" w:cs="Arial" w:eastAsia="Arial" w:hAnsi="Arial"/>
          <w:sz w:val="17"/>
          <w:szCs w:val="17"/>
          <w:color w:val="auto"/>
        </w:rPr>
        <w:t>” means Rule 144A under the Securities Act (or any successor rule thereto), as the same may be amended from time to time.</w:t>
      </w:r>
    </w:p>
    <w:p>
      <w:pPr>
        <w:spacing w:after="0" w:line="237" w:lineRule="exact"/>
        <w:rPr>
          <w:sz w:val="20"/>
          <w:szCs w:val="20"/>
          <w:color w:val="auto"/>
        </w:rPr>
      </w:pPr>
    </w:p>
    <w:p>
      <w:pPr>
        <w:ind w:right="280" w:firstLine="648"/>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Scheduled Trading Day</w:t>
      </w:r>
      <w:r>
        <w:rPr>
          <w:rFonts w:ascii="Arial" w:cs="Arial" w:eastAsia="Arial" w:hAnsi="Arial"/>
          <w:sz w:val="16"/>
          <w:szCs w:val="16"/>
          <w:color w:val="auto"/>
        </w:rPr>
        <w:t xml:space="preserve">” means any day that is scheduled to be a Trading Day on the principal U.S. national or regional securities exchange on which the Common Stock is then listed or, </w:t>
      </w:r>
      <w:r>
        <w:rPr>
          <w:rFonts w:ascii="Arial" w:cs="Arial" w:eastAsia="Arial" w:hAnsi="Arial"/>
          <w:sz w:val="15"/>
          <w:szCs w:val="15"/>
          <w:color w:val="auto"/>
        </w:rPr>
        <w:t>if the Common Stock is not then listed on a U.S. national or regional securities exchange, on the principal other</w:t>
      </w:r>
      <w:r>
        <w:rPr>
          <w:rFonts w:ascii="Arial" w:cs="Arial" w:eastAsia="Arial" w:hAnsi="Arial"/>
          <w:sz w:val="16"/>
          <w:szCs w:val="16"/>
          <w:color w:val="auto"/>
        </w:rPr>
        <w:t xml:space="preserve"> </w:t>
      </w:r>
      <w:r>
        <w:rPr>
          <w:rFonts w:ascii="Arial" w:cs="Arial" w:eastAsia="Arial" w:hAnsi="Arial"/>
          <w:sz w:val="15"/>
          <w:szCs w:val="15"/>
          <w:color w:val="auto"/>
        </w:rPr>
        <w:t>market on which the Common Stock is then traded. If the Common Stock is not so listed or traded, then “Scheduled Trading day” means a Business Day.</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Note or Conversion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Cash Settlement, Physical Settlement or Combination Settlement.</w:t>
      </w:r>
    </w:p>
    <w:p>
      <w:pPr>
        <w:spacing w:after="0" w:line="225"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with respect to any Person, any Subsidiary of such Person that constitutes, or any group of Subsidiaries of such Person that, in the aggregate, would constitute, a “significant subsidiary” (as defined in Rule 1-02(w) of Regulation S-X under the Exchange Act) of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with respect to the conversion of a Note to which Combination Settlement applies, the maximum cash amount per $1,000 principal amount of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 deliverable upon such conversion (excluding cash in lieu of any fractional share of Common Stock).</w:t>
      </w:r>
    </w:p>
    <w:p>
      <w:pPr>
        <w:spacing w:after="0" w:line="22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Price</w:t>
      </w:r>
      <w:r>
        <w:rPr>
          <w:rFonts w:ascii="Arial" w:cs="Arial" w:eastAsia="Arial" w:hAnsi="Arial"/>
          <w:sz w:val="16"/>
          <w:szCs w:val="16"/>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Arial" w:cs="Arial" w:eastAsia="Arial" w:hAnsi="Arial"/>
          <w:sz w:val="16"/>
          <w:szCs w:val="16"/>
          <w:b w:val="1"/>
          <w:bCs w:val="1"/>
          <w:color w:val="auto"/>
        </w:rPr>
        <w:t>clause</w:t>
      </w:r>
    </w:p>
    <w:p>
      <w:pPr>
        <w:spacing w:after="0" w:line="1" w:lineRule="exact"/>
        <w:rPr>
          <w:sz w:val="20"/>
          <w:szCs w:val="20"/>
          <w:color w:val="auto"/>
        </w:rPr>
      </w:pPr>
    </w:p>
    <w:p>
      <w:pPr>
        <w:ind w:right="480" w:firstLine="8"/>
        <w:spacing w:after="0" w:line="281" w:lineRule="auto"/>
        <w:tabs>
          <w:tab w:leader="none" w:pos="285"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of the definition of “Fundamental Change,” then the Stock Price is the amount of cash paid per share of Common Stock in such Make-Whole Fundamental Change; and (B) in all other cases, the Stock Price is the average of the Last Reported Sale Prices per share of Common Stock for the five</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(5) consecutive Trading Days ending on, and including, the Trading Day immediately before the effective date of such Make-Whole Fundamental Change.</w:t>
      </w:r>
    </w:p>
    <w:p>
      <w:pPr>
        <w:spacing w:after="0" w:line="23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60" w:lineRule="exact"/>
        <w:rPr>
          <w:sz w:val="20"/>
          <w:szCs w:val="20"/>
          <w:color w:val="auto"/>
        </w:rPr>
      </w:pPr>
    </w:p>
    <w:p>
      <w:pPr>
        <w:jc w:val="both"/>
        <w:ind w:right="3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w:t>
      </w:r>
      <w:r>
        <w:rPr>
          <w:rFonts w:ascii="Arial" w:cs="Arial" w:eastAsia="Arial" w:hAnsi="Arial"/>
          <w:sz w:val="17"/>
          <w:szCs w:val="17"/>
          <w:color w:val="auto"/>
        </w:rPr>
        <w:t>means any day on which (A)</w:t>
      </w:r>
      <w:r>
        <w:rPr>
          <w:rFonts w:ascii="Arial" w:cs="Arial" w:eastAsia="Arial" w:hAnsi="Arial"/>
          <w:sz w:val="18"/>
          <w:szCs w:val="18"/>
          <w:color w:val="auto"/>
        </w:rPr>
        <w:t xml:space="preserve">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Price</w:t>
      </w:r>
      <w:r>
        <w:rPr>
          <w:rFonts w:ascii="Arial" w:cs="Arial" w:eastAsia="Arial" w:hAnsi="Arial"/>
          <w:sz w:val="17"/>
          <w:szCs w:val="17"/>
          <w:color w:val="auto"/>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t xml:space="preserve">as may then be outstanding) in principal amount of Notes from a nationally recognized independent securities dealer; (B) </w:t>
      </w:r>
      <w:r>
        <w:rPr>
          <w:rFonts w:ascii="Arial" w:cs="Arial" w:eastAsia="Arial" w:hAnsi="Arial"/>
          <w:sz w:val="17"/>
          <w:szCs w:val="17"/>
          <w:color w:val="auto"/>
        </w:rPr>
        <w:t>the Company is not acting as the Bid</w:t>
      </w:r>
      <w:r>
        <w:rPr>
          <w:rFonts w:ascii="Arial" w:cs="Arial" w:eastAsia="Arial" w:hAnsi="Arial"/>
          <w:sz w:val="18"/>
          <w:szCs w:val="18"/>
          <w:color w:val="auto"/>
        </w:rPr>
        <w:t xml:space="preserve"> </w:t>
      </w:r>
      <w:r>
        <w:rPr>
          <w:rFonts w:ascii="Arial" w:cs="Arial" w:eastAsia="Arial" w:hAnsi="Arial"/>
          <w:sz w:val="17"/>
          <w:szCs w:val="17"/>
          <w:color w:val="auto"/>
        </w:rPr>
        <w:t xml:space="preserve">Solicitation Agent and the Company fails to instruct the Bid Solicitation Agent to obtain bids when required; or (C) the Bid Solicitation Agent fails to solicit bids when required, then, in each case, </w:t>
      </w:r>
      <w:r>
        <w:rPr>
          <w:rFonts w:ascii="Arial" w:cs="Arial" w:eastAsia="Arial" w:hAnsi="Arial"/>
          <w:sz w:val="18"/>
          <w:szCs w:val="18"/>
          <w:color w:val="auto"/>
        </w:rPr>
        <w:t>the Trading Price per $1,000 principal amount of Notes on such Trading Day will be deemed to be less than ninety eight</w:t>
      </w:r>
      <w:r>
        <w:rPr>
          <w:rFonts w:ascii="Arial" w:cs="Arial" w:eastAsia="Arial" w:hAnsi="Arial"/>
          <w:sz w:val="17"/>
          <w:szCs w:val="17"/>
          <w:color w:val="auto"/>
        </w:rPr>
        <w:t xml:space="preserve"> </w:t>
      </w:r>
      <w:r>
        <w:rPr>
          <w:rFonts w:ascii="Arial" w:cs="Arial" w:eastAsia="Arial" w:hAnsi="Arial"/>
          <w:sz w:val="18"/>
          <w:szCs w:val="18"/>
          <w:color w:val="auto"/>
        </w:rPr>
        <w:t>percent (98%) of the product of the Last Reported Sale Price per share of Common Stock on such Trading Day and the Conversion Rate on such Trading Day .</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Transfer-Restricted Security</w:t>
      </w:r>
      <w:r>
        <w:rPr>
          <w:rFonts w:ascii="Arial" w:cs="Arial" w:eastAsia="Arial" w:hAnsi="Arial"/>
          <w:sz w:val="16"/>
          <w:szCs w:val="16"/>
          <w:color w:val="auto"/>
        </w:rPr>
        <w:t xml:space="preserve">” means any Security that constitutes a “restricted security” (as defined in Rule 144);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Security will cease to be a Transfer-Restricted Security upon the earliest to occur of the following events:</w:t>
      </w:r>
    </w:p>
    <w:p>
      <w:pPr>
        <w:spacing w:after="0" w:line="211" w:lineRule="exact"/>
        <w:rPr>
          <w:sz w:val="20"/>
          <w:szCs w:val="20"/>
          <w:color w:val="auto"/>
        </w:rPr>
      </w:pPr>
    </w:p>
    <w:p>
      <w:pPr>
        <w:ind w:right="800" w:firstLine="656"/>
        <w:spacing w:after="0" w:line="277" w:lineRule="auto"/>
        <w:tabs>
          <w:tab w:leader="none" w:pos="1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70" w:lineRule="exact"/>
        <w:rPr>
          <w:rFonts w:ascii="Arial" w:cs="Arial" w:eastAsia="Arial" w:hAnsi="Arial"/>
          <w:sz w:val="18"/>
          <w:szCs w:val="18"/>
          <w:color w:val="auto"/>
        </w:rPr>
      </w:pPr>
    </w:p>
    <w:p>
      <w:pPr>
        <w:ind w:right="20" w:firstLine="656"/>
        <w:spacing w:after="0" w:line="286" w:lineRule="auto"/>
        <w:tabs>
          <w:tab w:leader="none" w:pos="1307" w:val="left"/>
        </w:tabs>
        <w:numPr>
          <w:ilvl w:val="0"/>
          <w:numId w:val="5"/>
        </w:numPr>
        <w:rPr>
          <w:rFonts w:ascii="Arial" w:cs="Arial" w:eastAsia="Arial" w:hAnsi="Arial"/>
          <w:sz w:val="17"/>
          <w:szCs w:val="17"/>
          <w:color w:val="auto"/>
        </w:rPr>
      </w:pPr>
      <w:r>
        <w:rPr>
          <w:rFonts w:ascii="Arial" w:cs="Arial" w:eastAsia="Arial" w:hAnsi="Arial"/>
          <w:sz w:val="17"/>
          <w:szCs w:val="17"/>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65" w:lineRule="exact"/>
        <w:rPr>
          <w:rFonts w:ascii="Arial" w:cs="Arial" w:eastAsia="Arial" w:hAnsi="Arial"/>
          <w:sz w:val="17"/>
          <w:szCs w:val="17"/>
          <w:color w:val="auto"/>
        </w:rPr>
      </w:pPr>
    </w:p>
    <w:p>
      <w:pPr>
        <w:ind w:right="200" w:firstLine="656"/>
        <w:spacing w:after="0" w:line="264" w:lineRule="auto"/>
        <w:tabs>
          <w:tab w:leader="none" w:pos="1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Trustee is under no obligation to determine whether any Security is a Transfer-Restricted Security and may conclusively rely on an Officer’s Certificate with respect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U.S. Trust Indenture Act of 1939, as amended.</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such in the first paragraph of this Indenture until a successor replaces it in accordance with the provisions of this Indenture and, thereafter, means such successor.</w:t>
      </w:r>
    </w:p>
    <w:p>
      <w:pPr>
        <w:spacing w:after="0" w:line="162"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 Market Disruption Event</w:t>
      </w:r>
      <w:r>
        <w:rPr>
          <w:rFonts w:ascii="Arial" w:cs="Arial" w:eastAsia="Arial" w:hAnsi="Arial"/>
          <w:sz w:val="17"/>
          <w:szCs w:val="17"/>
          <w:color w:val="auto"/>
        </w:rPr>
        <w:t xml:space="preserve">” means, with respect to any date, (A) the failure by the </w:t>
      </w:r>
      <w:r>
        <w:rPr>
          <w:rFonts w:ascii="Arial" w:cs="Arial" w:eastAsia="Arial" w:hAnsi="Arial"/>
          <w:sz w:val="16"/>
          <w:szCs w:val="16"/>
          <w:color w:val="auto"/>
        </w:rPr>
        <w:t>principal U.S. national or regional securities exchange on</w:t>
      </w:r>
      <w:r>
        <w:rPr>
          <w:rFonts w:ascii="Arial" w:cs="Arial" w:eastAsia="Arial" w:hAnsi="Arial"/>
          <w:sz w:val="17"/>
          <w:szCs w:val="17"/>
          <w:color w:val="auto"/>
        </w:rPr>
        <w:t xml:space="preserve"> </w:t>
      </w:r>
      <w:r>
        <w:rPr>
          <w:rFonts w:ascii="Arial" w:cs="Arial" w:eastAsia="Arial" w:hAnsi="Arial"/>
          <w:sz w:val="16"/>
          <w:szCs w:val="16"/>
          <w:color w:val="auto"/>
        </w:rPr>
        <w:t xml:space="preserve">which the Common Stock is then listed, or, if the Common Stock is not then listed on a U.S. national or regional securities exchange, the principal other market on which the Common Stock is then traded, </w:t>
      </w:r>
      <w:r>
        <w:rPr>
          <w:rFonts w:ascii="Arial" w:cs="Arial" w:eastAsia="Arial" w:hAnsi="Arial"/>
          <w:sz w:val="17"/>
          <w:szCs w:val="17"/>
          <w:color w:val="auto"/>
        </w:rPr>
        <w:t>to open for trading during its regular trading session on such date; or (B) the occurrence or existence, for more</w:t>
      </w:r>
      <w:r>
        <w:rPr>
          <w:rFonts w:ascii="Arial" w:cs="Arial" w:eastAsia="Arial" w:hAnsi="Arial"/>
          <w:sz w:val="16"/>
          <w:szCs w:val="16"/>
          <w:color w:val="auto"/>
        </w:rPr>
        <w:t xml:space="preserve"> </w:t>
      </w:r>
      <w:r>
        <w:rPr>
          <w:rFonts w:ascii="Arial" w:cs="Arial" w:eastAsia="Arial" w:hAnsi="Arial"/>
          <w:sz w:val="17"/>
          <w:szCs w:val="17"/>
          <w:color w:val="auto"/>
        </w:rPr>
        <w:t>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 w:name="page21"/>
    <w:bookmarkEnd w:id="20"/>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Trading Day</w:t>
      </w:r>
      <w:r>
        <w:rPr>
          <w:rFonts w:ascii="Arial" w:cs="Arial" w:eastAsia="Arial" w:hAnsi="Arial"/>
          <w:sz w:val="18"/>
          <w:szCs w:val="18"/>
          <w:color w:val="auto"/>
        </w:rPr>
        <w:t xml:space="preserve">” means a day on which (A) there is no VWAP Market Disruption Event; and (B) trading in the Common Stock generally occurs on </w:t>
      </w:r>
      <w:r>
        <w:rPr>
          <w:rFonts w:ascii="Arial" w:cs="Arial" w:eastAsia="Arial" w:hAnsi="Arial"/>
          <w:sz w:val="17"/>
          <w:szCs w:val="17"/>
          <w:color w:val="auto"/>
        </w:rPr>
        <w:t>the principal U.S. national or regional securities exchange on which the Common Stock is then listed or, if the Common Stock is not then listed on a</w:t>
      </w:r>
      <w:r>
        <w:rPr>
          <w:rFonts w:ascii="Arial" w:cs="Arial" w:eastAsia="Arial" w:hAnsi="Arial"/>
          <w:sz w:val="18"/>
          <w:szCs w:val="18"/>
          <w:color w:val="auto"/>
        </w:rPr>
        <w:t xml:space="preserve"> </w:t>
      </w:r>
      <w:r>
        <w:rPr>
          <w:rFonts w:ascii="Arial" w:cs="Arial" w:eastAsia="Arial" w:hAnsi="Arial"/>
          <w:sz w:val="17"/>
          <w:szCs w:val="17"/>
          <w:color w:val="auto"/>
        </w:rPr>
        <w:t>U.S. national or regional securities exchange, on the principal other market on which the Common Stock is then traded</w:t>
      </w:r>
      <w:r>
        <w:rPr>
          <w:rFonts w:ascii="Arial" w:cs="Arial" w:eastAsia="Arial" w:hAnsi="Arial"/>
          <w:sz w:val="18"/>
          <w:szCs w:val="18"/>
          <w:color w:val="auto"/>
        </w:rPr>
        <w:t>. If the Common Stock is not so listed or</w:t>
      </w:r>
      <w:r>
        <w:rPr>
          <w:rFonts w:ascii="Arial" w:cs="Arial" w:eastAsia="Arial" w:hAnsi="Arial"/>
          <w:sz w:val="17"/>
          <w:szCs w:val="17"/>
          <w:color w:val="auto"/>
        </w:rPr>
        <w:t xml:space="preserve"> </w:t>
      </w:r>
      <w:r>
        <w:rPr>
          <w:rFonts w:ascii="Arial" w:cs="Arial" w:eastAsia="Arial" w:hAnsi="Arial"/>
          <w:sz w:val="18"/>
          <w:szCs w:val="18"/>
          <w:color w:val="auto"/>
        </w:rPr>
        <w:t>traded, then “VWAP Trading Day” means a Business Day.</w:t>
      </w:r>
    </w:p>
    <w:p>
      <w:pPr>
        <w:spacing w:after="0" w:line="180"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Section 1.02.</w:t>
            </w:r>
          </w:p>
        </w:tc>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OTHER DEFINITIONS.</w:t>
            </w:r>
          </w:p>
        </w:tc>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Term</w:t>
            </w:r>
          </w:p>
        </w:tc>
        <w:tc>
          <w:tcPr>
            <w:tcW w:w="3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1"/>
        </w:trPr>
        <w:tc>
          <w:tcPr>
            <w:tcW w:w="1300" w:type="dxa"/>
            <w:vAlign w:val="bottom"/>
            <w:vMerge w:val="continue"/>
          </w:tcPr>
          <w:p>
            <w:pPr>
              <w:spacing w:after="0"/>
              <w:rPr>
                <w:sz w:val="14"/>
                <w:szCs w:val="14"/>
                <w:color w:val="auto"/>
              </w:rPr>
            </w:pPr>
          </w:p>
        </w:tc>
        <w:tc>
          <w:tcPr>
            <w:tcW w:w="3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w:t>
            </w:r>
          </w:p>
        </w:tc>
        <w:tc>
          <w:tcPr>
            <w:tcW w:w="4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w:t>
            </w:r>
          </w:p>
        </w:tc>
        <w:tc>
          <w:tcPr>
            <w:tcW w:w="6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Event</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w:t>
            </w:r>
          </w:p>
        </w:tc>
        <w:tc>
          <w:tcPr>
            <w:tcW w:w="3180" w:type="dxa"/>
            <w:vAlign w:val="bottom"/>
            <w:shd w:val="clear" w:color="auto" w:fill="CCEEFF"/>
          </w:tcPr>
          <w:p>
            <w:pPr>
              <w:spacing w:after="0"/>
              <w:rPr>
                <w:sz w:val="18"/>
                <w:szCs w:val="18"/>
                <w:color w:val="auto"/>
              </w:rPr>
            </w:pPr>
          </w:p>
        </w:tc>
        <w:tc>
          <w:tcPr>
            <w:tcW w:w="6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Settlement</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Change Event</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2.06(A)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Consideration</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Threshold</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5.05(A)(iv)</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2.05(B)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5.05(A)(v)</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Time</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5.05(A)(v)</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Notice</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4.02(E)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Right</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Notes</w:t>
            </w:r>
            <w:r>
              <w:rPr>
                <w:rFonts w:ascii="Arial" w:cs="Arial" w:eastAsia="Arial" w:hAnsi="Arial"/>
                <w:sz w:val="18"/>
                <w:szCs w:val="18"/>
                <w:color w:val="auto"/>
              </w:rPr>
              <w:t>”</w:t>
            </w:r>
          </w:p>
        </w:tc>
        <w:tc>
          <w:tcPr>
            <w:tcW w:w="31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5.01(C)(i)(2)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w:t>
            </w:r>
          </w:p>
        </w:tc>
        <w:tc>
          <w:tcPr>
            <w:tcW w:w="31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2.06(A)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5.08(A)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 Unit</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w:t>
            </w:r>
          </w:p>
        </w:tc>
        <w:tc>
          <w:tcPr>
            <w:tcW w:w="31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2.06(B)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w:t>
            </w:r>
          </w:p>
        </w:tc>
        <w:tc>
          <w:tcPr>
            <w:tcW w:w="31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Event of Default</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7.03(A)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Courts</w:t>
            </w:r>
            <w:r>
              <w:rPr>
                <w:rFonts w:ascii="Arial" w:cs="Arial" w:eastAsia="Arial" w:hAnsi="Arial"/>
                <w:sz w:val="18"/>
                <w:szCs w:val="18"/>
                <w:color w:val="auto"/>
              </w:rPr>
              <w:t>”</w:t>
            </w:r>
          </w:p>
        </w:tc>
        <w:tc>
          <w:tcPr>
            <w:tcW w:w="6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w:t>
            </w:r>
          </w:p>
        </w:tc>
        <w:tc>
          <w:tcPr>
            <w:tcW w:w="31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5.05(A)(iii)(2)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 Valuation Period</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5.05(A)(iii)(2)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Stated Interest</w:t>
            </w:r>
            <w:r>
              <w:rPr>
                <w:rFonts w:ascii="Arial" w:cs="Arial" w:eastAsia="Arial" w:hAnsi="Arial"/>
                <w:sz w:val="18"/>
                <w:szCs w:val="18"/>
                <w:color w:val="auto"/>
                <w:w w:val="93"/>
              </w:rPr>
              <w:t>”</w:t>
            </w:r>
          </w:p>
        </w:tc>
        <w:tc>
          <w:tcPr>
            <w:tcW w:w="31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2.05(A)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Corporation</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Person</w:t>
            </w:r>
            <w:r>
              <w:rPr>
                <w:rFonts w:ascii="Arial" w:cs="Arial" w:eastAsia="Arial" w:hAnsi="Arial"/>
                <w:sz w:val="18"/>
                <w:szCs w:val="18"/>
                <w:color w:val="auto"/>
              </w:rPr>
              <w: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5.08(A)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Tender/Exchange Offer Valuation Period</w:t>
            </w:r>
            <w:r>
              <w:rPr>
                <w:rFonts w:ascii="Arial" w:cs="Arial" w:eastAsia="Arial" w:hAnsi="Arial"/>
                <w:sz w:val="18"/>
                <w:szCs w:val="18"/>
                <w:color w:val="auto"/>
              </w:rPr>
              <w: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5.05(A)(v)</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 Condition</w:t>
            </w:r>
            <w:r>
              <w:rPr>
                <w:rFonts w:ascii="Arial" w:cs="Arial" w:eastAsia="Arial" w:hAnsi="Arial"/>
                <w:sz w:val="18"/>
                <w:szCs w:val="18"/>
                <w:color w:val="auto"/>
              </w:rPr>
              <w:t>”</w:t>
            </w:r>
          </w:p>
        </w:tc>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5.01(C)(i)(2)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520" w:type="dxa"/>
            <w:vAlign w:val="bottom"/>
          </w:tcPr>
          <w:p>
            <w:pPr>
              <w:jc w:val="right"/>
              <w:ind w:right="311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1" w:name="page22"/>
    <w:bookmarkEnd w:id="21"/>
    <w:p>
      <w:pPr>
        <w:spacing w:after="0"/>
        <w:tabs>
          <w:tab w:leader="none" w:pos="130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7"/>
          <w:szCs w:val="17"/>
          <w:b w:val="1"/>
          <w:bCs w:val="1"/>
          <w:color w:val="auto"/>
        </w:rPr>
        <w:t>RULES OF CONSTRUCTION.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Indenture:</w:t>
      </w:r>
    </w:p>
    <w:p>
      <w:pPr>
        <w:spacing w:after="0" w:line="225" w:lineRule="exact"/>
        <w:rPr>
          <w:sz w:val="20"/>
          <w:szCs w:val="20"/>
          <w:color w:val="auto"/>
        </w:rPr>
      </w:pPr>
    </w:p>
    <w:p>
      <w:pPr>
        <w:ind w:left="1320" w:hanging="66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expresses a command;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“average” of a set of numerical values refers to the arithmetic average of such numerical values;</w:t>
      </w:r>
    </w:p>
    <w:p>
      <w:pPr>
        <w:spacing w:after="0" w:line="225" w:lineRule="exact"/>
        <w:rPr>
          <w:rFonts w:ascii="Arial" w:cs="Arial" w:eastAsia="Arial" w:hAnsi="Arial"/>
          <w:sz w:val="18"/>
          <w:szCs w:val="18"/>
          <w:color w:val="auto"/>
        </w:rPr>
      </w:pPr>
    </w:p>
    <w:p>
      <w:pPr>
        <w:ind w:firstLine="656"/>
        <w:spacing w:after="0" w:line="264" w:lineRule="auto"/>
        <w:tabs>
          <w:tab w:leader="none" w:pos="1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unless the context requires otherwise;</w:t>
      </w:r>
    </w:p>
    <w:p>
      <w:pPr>
        <w:spacing w:after="0" w:line="225" w:lineRule="exact"/>
        <w:rPr>
          <w:rFonts w:ascii="Arial" w:cs="Arial" w:eastAsia="Arial" w:hAnsi="Arial"/>
          <w:sz w:val="18"/>
          <w:szCs w:val="18"/>
          <w:color w:val="auto"/>
        </w:rPr>
      </w:pPr>
    </w:p>
    <w:p>
      <w:pPr>
        <w:ind w:right="260" w:firstLine="656"/>
        <w:spacing w:after="0" w:line="277" w:lineRule="auto"/>
        <w:tabs>
          <w:tab w:leader="none" w:pos="1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currency mean the lawful currency of the United States of America, unless the context requires otherwise;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exhibits, schedules and other attachments to this Indenture are deemed to form part of this Indenture; and</w:t>
      </w:r>
    </w:p>
    <w:p>
      <w:pPr>
        <w:spacing w:after="0" w:line="221" w:lineRule="exact"/>
        <w:rPr>
          <w:rFonts w:ascii="Arial" w:cs="Arial" w:eastAsia="Arial" w:hAnsi="Arial"/>
          <w:sz w:val="18"/>
          <w:szCs w:val="18"/>
          <w:color w:val="auto"/>
        </w:rPr>
      </w:pPr>
    </w:p>
    <w:p>
      <w:pPr>
        <w:ind w:left="1320" w:hanging="664"/>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interest</w:t>
      </w:r>
      <w:r>
        <w:rPr>
          <w:rFonts w:ascii="Arial" w:cs="Arial" w:eastAsia="Arial" w:hAnsi="Arial"/>
          <w:sz w:val="16"/>
          <w:szCs w:val="16"/>
          <w:color w:val="auto"/>
        </w:rPr>
        <w:t>,” when used with respect to a Note, includes any Additional Interest and Special Interest, unless the context requires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otherwise.</w:t>
      </w:r>
    </w:p>
    <w:p>
      <w:pPr>
        <w:spacing w:after="0" w:line="207"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Article 2.</w:t>
        <w:tab/>
        <w:t>THE NOTES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8"/>
          <w:szCs w:val="18"/>
          <w:b w:val="1"/>
          <w:bCs w:val="1"/>
          <w:color w:val="auto"/>
        </w:rPr>
        <w:t>FORM, DATING AND DENOMINATIONS.</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 xml:space="preserve">The Notes and the Trustee’s certificate of authentication will be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Notes will bear the legends required by </w:t>
      </w:r>
      <w:r>
        <w:rPr>
          <w:rFonts w:ascii="Arial" w:cs="Arial" w:eastAsia="Arial" w:hAnsi="Arial"/>
          <w:sz w:val="18"/>
          <w:szCs w:val="18"/>
          <w:b w:val="1"/>
          <w:bCs w:val="1"/>
          <w:color w:val="auto"/>
        </w:rPr>
        <w:t>Section 2.09</w:t>
      </w:r>
      <w:r>
        <w:rPr>
          <w:rFonts w:ascii="Arial" w:cs="Arial" w:eastAsia="Arial" w:hAnsi="Arial"/>
          <w:sz w:val="18"/>
          <w:szCs w:val="18"/>
          <w:color w:val="auto"/>
        </w:rPr>
        <w:t xml:space="preserve"> and may bear notations, legends or endorsements required by law, stock exchange rule or usage or the Depositary. Each Note will be dated as of the date of its authentication.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to the extent otherwise provided in a Company Order delivered to the Trustee in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ind w:right="380"/>
        <w:spacing w:after="0" w:line="277" w:lineRule="auto"/>
        <w:rPr>
          <w:sz w:val="20"/>
          <w:szCs w:val="20"/>
          <w:color w:val="auto"/>
        </w:rPr>
      </w:pPr>
      <w:r>
        <w:rPr>
          <w:rFonts w:ascii="Arial" w:cs="Arial" w:eastAsia="Arial" w:hAnsi="Arial"/>
          <w:sz w:val="18"/>
          <w:szCs w:val="18"/>
          <w:color w:val="auto"/>
        </w:rPr>
        <w:t xml:space="preserve">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Arial" w:cs="Arial" w:eastAsia="Arial" w:hAnsi="Arial"/>
          <w:sz w:val="18"/>
          <w:szCs w:val="18"/>
          <w:b w:val="1"/>
          <w:bCs w:val="1"/>
          <w:color w:val="auto"/>
        </w:rPr>
        <w:t>Section 2.10</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certificate representing a Note will bear a unique registration number that is not affixed to any other certificate representing another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that any provision of any Note conflicts with the provisions of this Indenture, the provisions of this Indenture will control for purposes of this Indenture and such Note.</w:t>
      </w:r>
    </w:p>
    <w:p>
      <w:pPr>
        <w:spacing w:after="0" w:line="16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8"/>
          <w:szCs w:val="18"/>
          <w:b w:val="1"/>
          <w:bCs w:val="1"/>
          <w:color w:val="auto"/>
        </w:rPr>
        <w:t>EXECUTION, AUTHENTICATION AND DELIVERY.</w:t>
      </w:r>
    </w:p>
    <w:p>
      <w:pPr>
        <w:spacing w:after="0" w:line="229" w:lineRule="exact"/>
        <w:rPr>
          <w:sz w:val="20"/>
          <w:szCs w:val="20"/>
          <w:color w:val="auto"/>
        </w:rPr>
      </w:pPr>
    </w:p>
    <w:p>
      <w:pPr>
        <w:jc w:val="both"/>
        <w:ind w:right="520" w:firstLine="656"/>
        <w:spacing w:after="0" w:line="264" w:lineRule="auto"/>
        <w:tabs>
          <w:tab w:leader="none" w:pos="1317"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Due Execution by the Company</w:t>
      </w:r>
      <w:r>
        <w:rPr>
          <w:rFonts w:ascii="Arial" w:cs="Arial" w:eastAsia="Arial" w:hAnsi="Arial"/>
          <w:sz w:val="18"/>
          <w:szCs w:val="18"/>
          <w:color w:val="auto"/>
        </w:rPr>
        <w:t>. At least one (1) duly authorized Officer will sign the Notes on behalf of the Company by manual or</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signature. A Note’s validity will not be affected by the failure of any Officer whose signature is on any Note to hold, at the time such Note is authenticated, the same or any other office at the Company.</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Authentication by the Trustee and Delivery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540" w:firstLine="645"/>
        <w:spacing w:after="0" w:line="342" w:lineRule="auto"/>
        <w:tabs>
          <w:tab w:leader="none" w:pos="1978" w:val="left"/>
        </w:tabs>
        <w:numPr>
          <w:ilvl w:val="1"/>
          <w:numId w:val="7"/>
        </w:numPr>
        <w:rPr>
          <w:rFonts w:ascii="Arial" w:cs="Arial" w:eastAsia="Arial" w:hAnsi="Arial"/>
          <w:sz w:val="16"/>
          <w:szCs w:val="16"/>
          <w:color w:val="auto"/>
        </w:rPr>
      </w:pPr>
      <w:r>
        <w:rPr>
          <w:rFonts w:ascii="Arial" w:cs="Arial" w:eastAsia="Arial" w:hAnsi="Arial"/>
          <w:sz w:val="16"/>
          <w:szCs w:val="16"/>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23" w:lineRule="exact"/>
        <w:rPr>
          <w:rFonts w:ascii="Arial" w:cs="Arial" w:eastAsia="Arial" w:hAnsi="Arial"/>
          <w:sz w:val="16"/>
          <w:szCs w:val="16"/>
          <w:color w:val="auto"/>
        </w:rPr>
      </w:pPr>
    </w:p>
    <w:p>
      <w:pPr>
        <w:ind w:left="660" w:right="160" w:firstLine="645"/>
        <w:spacing w:after="0" w:line="273" w:lineRule="auto"/>
        <w:tabs>
          <w:tab w:leader="none" w:pos="1987"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Arial" w:cs="Arial" w:eastAsia="Arial" w:hAnsi="Arial"/>
          <w:sz w:val="17"/>
          <w:szCs w:val="17"/>
          <w:b w:val="1"/>
          <w:bCs w:val="1"/>
          <w:color w:val="auto"/>
        </w:rPr>
        <w:t>Section 2.02(A)</w:t>
      </w:r>
      <w:r>
        <w:rPr>
          <w:rFonts w:ascii="Arial" w:cs="Arial" w:eastAsia="Arial" w:hAnsi="Arial"/>
          <w:sz w:val="17"/>
          <w:szCs w:val="17"/>
          <w:color w:val="auto"/>
        </w:rPr>
        <w:t xml:space="preserve">; and (3) the Company delivers a Company Order to the Trustee that (a) requests the Trustee to authenticate such Note; and (b) sets forth the name of the Holder of such Note and the date as of which such Note is to be authenticated, together with the documents contemplated by </w:t>
      </w:r>
      <w:r>
        <w:rPr>
          <w:rFonts w:ascii="Arial" w:cs="Arial" w:eastAsia="Arial" w:hAnsi="Arial"/>
          <w:sz w:val="17"/>
          <w:szCs w:val="17"/>
          <w:b w:val="1"/>
          <w:bCs w:val="1"/>
          <w:color w:val="auto"/>
        </w:rPr>
        <w:t>Section 11.02</w:t>
      </w:r>
      <w:r>
        <w:rPr>
          <w:rFonts w:ascii="Arial" w:cs="Arial" w:eastAsia="Arial" w:hAnsi="Arial"/>
          <w:sz w:val="17"/>
          <w:szCs w:val="17"/>
          <w:color w:val="auto"/>
        </w:rPr>
        <w:t>. If such Company Order also requests the Trustee to deliver such Note to any Holder or to the Depositary, then the Trustee will promptly deliver such Note in accordance with such Company Order.</w:t>
      </w:r>
    </w:p>
    <w:p>
      <w:pPr>
        <w:spacing w:after="0" w:line="178" w:lineRule="exact"/>
        <w:rPr>
          <w:rFonts w:ascii="Arial" w:cs="Arial" w:eastAsia="Arial" w:hAnsi="Arial"/>
          <w:sz w:val="17"/>
          <w:szCs w:val="17"/>
          <w:color w:val="auto"/>
        </w:rPr>
      </w:pPr>
    </w:p>
    <w:p>
      <w:pPr>
        <w:ind w:left="660" w:right="260" w:firstLine="645"/>
        <w:spacing w:after="0" w:line="279" w:lineRule="auto"/>
        <w:tabs>
          <w:tab w:leader="none" w:pos="1997"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performing the duties that the authentication agent was validly appointed to undertake.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8"/>
          <w:szCs w:val="18"/>
          <w:b w:val="1"/>
          <w:bCs w:val="1"/>
          <w:color w:val="auto"/>
        </w:rPr>
        <w:t>INITIAL NOTES AND ADDITIONAL NOTES.</w:t>
      </w:r>
    </w:p>
    <w:p>
      <w:pPr>
        <w:spacing w:after="0" w:line="229" w:lineRule="exact"/>
        <w:rPr>
          <w:sz w:val="20"/>
          <w:szCs w:val="20"/>
          <w:color w:val="auto"/>
        </w:rPr>
      </w:pPr>
    </w:p>
    <w:p>
      <w:pPr>
        <w:ind w:right="40" w:firstLine="656"/>
        <w:spacing w:after="0" w:line="264" w:lineRule="auto"/>
        <w:tabs>
          <w:tab w:leader="none" w:pos="1317"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Initial Notes</w:t>
      </w:r>
      <w:r>
        <w:rPr>
          <w:rFonts w:ascii="Arial" w:cs="Arial" w:eastAsia="Arial" w:hAnsi="Arial"/>
          <w:sz w:val="18"/>
          <w:szCs w:val="18"/>
          <w:color w:val="auto"/>
        </w:rPr>
        <w:t>. On the Issue Date, there will be originally issued three hundred million dollars ($300,000,000) aggregate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Notes, subject to the provisions of this Indenture (including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Notes issued pursuant to this </w:t>
      </w:r>
      <w:r>
        <w:rPr>
          <w:rFonts w:ascii="Arial" w:cs="Arial" w:eastAsia="Arial" w:hAnsi="Arial"/>
          <w:sz w:val="18"/>
          <w:szCs w:val="18"/>
          <w:b w:val="1"/>
          <w:bCs w:val="1"/>
          <w:color w:val="auto"/>
        </w:rPr>
        <w:t>Section 2.03(A)</w:t>
      </w:r>
      <w:r>
        <w:rPr>
          <w:rFonts w:ascii="Arial" w:cs="Arial" w:eastAsia="Arial" w:hAnsi="Arial"/>
          <w:sz w:val="18"/>
          <w:szCs w:val="18"/>
          <w:color w:val="auto"/>
        </w:rPr>
        <w:t>, and any Notes issued in exchange therefor or in substitution thereof, are referred to in this Indenture as the “</w:t>
      </w:r>
      <w:r>
        <w:rPr>
          <w:rFonts w:ascii="Arial" w:cs="Arial" w:eastAsia="Arial" w:hAnsi="Arial"/>
          <w:sz w:val="18"/>
          <w:szCs w:val="18"/>
          <w:b w:val="1"/>
          <w:bCs w:val="1"/>
          <w:color w:val="auto"/>
        </w:rPr>
        <w:t>Initial Notes</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80" w:firstLine="656"/>
        <w:spacing w:after="0" w:line="274" w:lineRule="auto"/>
        <w:tabs>
          <w:tab w:leader="none" w:pos="1307"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Additional Notes</w:t>
      </w:r>
      <w:r>
        <w:rPr>
          <w:rFonts w:ascii="Arial" w:cs="Arial" w:eastAsia="Arial" w:hAnsi="Arial"/>
          <w:sz w:val="17"/>
          <w:szCs w:val="17"/>
          <w:color w:val="auto"/>
        </w:rPr>
        <w:t>. The Company may, subject to the provisions of this Indenture (including</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2.02</w:t>
      </w:r>
      <w:r>
        <w:rPr>
          <w:rFonts w:ascii="Arial" w:cs="Arial" w:eastAsia="Arial" w:hAnsi="Arial"/>
          <w:sz w:val="17"/>
          <w:szCs w:val="17"/>
          <w:color w:val="auto"/>
        </w:rPr>
        <w:t>), originally issue additional Notes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the same terms as the initial Notes (except, to the extent applicable, with respect to the date as of which interest begins to accrue on such additional Notes and the first Interest Payment Date and the Last Original Issue Date of such additional Notes), which additional Notes will, subject to the foregoing, be considered to be part of the same series of, and rank equally and ratably with all other, Notes issued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additional Notes are not fungible with other Notes issued under this Indenture for federal income tax or federal securities laws purposes, then such additional Notes will be identified by a separate CUSIP number or by no CUSIP number.</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7"/>
          <w:szCs w:val="17"/>
          <w:b w:val="1"/>
          <w:bCs w:val="1"/>
          <w:color w:val="auto"/>
        </w:rPr>
        <w:t>METHOD OF PAYMENT.</w:t>
      </w:r>
    </w:p>
    <w:p>
      <w:pPr>
        <w:spacing w:after="0" w:line="229" w:lineRule="exact"/>
        <w:rPr>
          <w:sz w:val="20"/>
          <w:szCs w:val="20"/>
          <w:color w:val="auto"/>
        </w:rPr>
      </w:pPr>
    </w:p>
    <w:p>
      <w:pPr>
        <w:ind w:right="120" w:firstLine="656"/>
        <w:spacing w:after="0" w:line="286" w:lineRule="auto"/>
        <w:tabs>
          <w:tab w:leader="none" w:pos="1317"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Global Notes</w:t>
      </w:r>
      <w:r>
        <w:rPr>
          <w:rFonts w:ascii="Arial" w:cs="Arial" w:eastAsia="Arial" w:hAnsi="Arial"/>
          <w:sz w:val="17"/>
          <w:szCs w:val="17"/>
          <w:color w:val="auto"/>
        </w:rPr>
        <w:t>. The Company will pay, or cause the Paying Agent to pay, the principal (whether due upon maturity on the Maturity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65" w:lineRule="exact"/>
        <w:rPr>
          <w:rFonts w:ascii="Arial" w:cs="Arial" w:eastAsia="Arial" w:hAnsi="Arial"/>
          <w:sz w:val="17"/>
          <w:szCs w:val="17"/>
          <w:color w:val="auto"/>
        </w:rPr>
      </w:pPr>
    </w:p>
    <w:p>
      <w:pPr>
        <w:ind w:firstLine="656"/>
        <w:spacing w:after="0" w:line="288" w:lineRule="auto"/>
        <w:tabs>
          <w:tab w:leader="none" w:pos="1307"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Physical Notes</w:t>
      </w:r>
      <w:r>
        <w:rPr>
          <w:rFonts w:ascii="Arial" w:cs="Arial" w:eastAsia="Arial" w:hAnsi="Arial"/>
          <w:sz w:val="16"/>
          <w:szCs w:val="16"/>
          <w:color w:val="auto"/>
        </w:rPr>
        <w:t>. The Company will pay, or cause the Paying Agent to pay, the principal (whether due upon maturity on the Maturity Date or</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tabs>
          <w:tab w:leader="none" w:pos="130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7"/>
          <w:szCs w:val="17"/>
          <w:b w:val="1"/>
          <w:bCs w:val="1"/>
          <w:color w:val="auto"/>
        </w:rPr>
        <w:t>ACCRUAL OF INTEREST; DEFAULTED AMOUNTS; WHEN PAYMENT DATE IS NOT A BUSINESS DAY.</w:t>
      </w:r>
    </w:p>
    <w:p>
      <w:pPr>
        <w:spacing w:after="0" w:line="225" w:lineRule="exact"/>
        <w:rPr>
          <w:sz w:val="20"/>
          <w:szCs w:val="20"/>
          <w:color w:val="auto"/>
        </w:rPr>
      </w:pPr>
    </w:p>
    <w:p>
      <w:pPr>
        <w:ind w:right="40" w:firstLine="656"/>
        <w:spacing w:after="0" w:line="291" w:lineRule="auto"/>
        <w:tabs>
          <w:tab w:leader="none" w:pos="1317"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Accrual of Interest</w:t>
      </w:r>
      <w:r>
        <w:rPr>
          <w:rFonts w:ascii="Arial" w:cs="Arial" w:eastAsia="Arial" w:hAnsi="Arial"/>
          <w:sz w:val="16"/>
          <w:szCs w:val="16"/>
          <w:color w:val="auto"/>
        </w:rPr>
        <w:t>. Each Note will accrue interest at a rate per annum equal to 1.50% (the “</w:t>
      </w:r>
      <w:r>
        <w:rPr>
          <w:rFonts w:ascii="Arial" w:cs="Arial" w:eastAsia="Arial" w:hAnsi="Arial"/>
          <w:sz w:val="16"/>
          <w:szCs w:val="16"/>
          <w:b w:val="1"/>
          <w:bCs w:val="1"/>
          <w:color w:val="auto"/>
        </w:rPr>
        <w:t>Stated Interest</w:t>
      </w:r>
      <w:r>
        <w:rPr>
          <w:rFonts w:ascii="Arial" w:cs="Arial" w:eastAsia="Arial" w:hAnsi="Arial"/>
          <w:sz w:val="16"/>
          <w:szCs w:val="16"/>
          <w:color w:val="auto"/>
        </w:rPr>
        <w:t>”), plus any Additional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Special Interest that may accrue pursuant to </w:t>
      </w:r>
      <w:r>
        <w:rPr>
          <w:rFonts w:ascii="Arial" w:cs="Arial" w:eastAsia="Arial" w:hAnsi="Arial"/>
          <w:sz w:val="16"/>
          <w:szCs w:val="16"/>
          <w:b w:val="1"/>
          <w:bCs w:val="1"/>
          <w:color w:val="auto"/>
        </w:rPr>
        <w:t>Sections 3.04</w:t>
      </w:r>
      <w:r>
        <w:rPr>
          <w:rFonts w:ascii="Arial" w:cs="Arial" w:eastAsia="Arial" w:hAnsi="Arial"/>
          <w:sz w:val="16"/>
          <w:szCs w:val="16"/>
          <w:color w:val="auto"/>
        </w:rPr>
        <w:t xml:space="preserve"> and </w:t>
      </w:r>
      <w:r>
        <w:rPr>
          <w:rFonts w:ascii="Arial" w:cs="Arial" w:eastAsia="Arial" w:hAnsi="Arial"/>
          <w:sz w:val="16"/>
          <w:szCs w:val="16"/>
          <w:b w:val="1"/>
          <w:bCs w:val="1"/>
          <w:color w:val="auto"/>
        </w:rPr>
        <w:t>7.03</w:t>
      </w:r>
      <w:r>
        <w:rPr>
          <w:rFonts w:ascii="Arial" w:cs="Arial" w:eastAsia="Arial" w:hAnsi="Arial"/>
          <w:sz w:val="16"/>
          <w:szCs w:val="16"/>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Arial" w:cs="Arial" w:eastAsia="Arial" w:hAnsi="Arial"/>
          <w:sz w:val="16"/>
          <w:szCs w:val="16"/>
          <w:b w:val="1"/>
          <w:bCs w:val="1"/>
          <w:color w:val="auto"/>
        </w:rPr>
        <w:t>Sections 4.02(D)</w:t>
      </w:r>
      <w:r>
        <w:rPr>
          <w:rFonts w:ascii="Arial" w:cs="Arial" w:eastAsia="Arial" w:hAnsi="Arial"/>
          <w:sz w:val="16"/>
          <w:szCs w:val="16"/>
          <w:color w:val="auto"/>
        </w:rPr>
        <w:t xml:space="preserve"> and </w:t>
      </w:r>
      <w:r>
        <w:rPr>
          <w:rFonts w:ascii="Arial" w:cs="Arial" w:eastAsia="Arial" w:hAnsi="Arial"/>
          <w:sz w:val="16"/>
          <w:szCs w:val="16"/>
          <w:b w:val="1"/>
          <w:bCs w:val="1"/>
          <w:color w:val="auto"/>
        </w:rPr>
        <w:t>5.02(D)</w:t>
      </w:r>
      <w:r>
        <w:rPr>
          <w:rFonts w:ascii="Arial" w:cs="Arial" w:eastAsia="Arial" w:hAnsi="Arial"/>
          <w:sz w:val="16"/>
          <w:szCs w:val="16"/>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160" w:lineRule="exact"/>
        <w:rPr>
          <w:rFonts w:ascii="Arial" w:cs="Arial" w:eastAsia="Arial" w:hAnsi="Arial"/>
          <w:sz w:val="16"/>
          <w:szCs w:val="16"/>
          <w:color w:val="auto"/>
        </w:rPr>
      </w:pPr>
    </w:p>
    <w:p>
      <w:pPr>
        <w:ind w:firstLine="656"/>
        <w:spacing w:after="0" w:line="271" w:lineRule="auto"/>
        <w:tabs>
          <w:tab w:leader="none" w:pos="1307"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Defaulted Amounts</w:t>
      </w:r>
      <w:r>
        <w:rPr>
          <w:rFonts w:ascii="Arial" w:cs="Arial" w:eastAsia="Arial" w:hAnsi="Arial"/>
          <w:sz w:val="17"/>
          <w:szCs w:val="17"/>
          <w:color w:val="auto"/>
        </w:rPr>
        <w:t>. If the Company fails to pay any amount (a “</w:t>
      </w:r>
      <w:r>
        <w:rPr>
          <w:rFonts w:ascii="Arial" w:cs="Arial" w:eastAsia="Arial" w:hAnsi="Arial"/>
          <w:sz w:val="17"/>
          <w:szCs w:val="17"/>
          <w:b w:val="1"/>
          <w:bCs w:val="1"/>
          <w:color w:val="auto"/>
        </w:rPr>
        <w:t>Defaulted Amount</w:t>
      </w:r>
      <w:r>
        <w:rPr>
          <w:rFonts w:ascii="Arial" w:cs="Arial" w:eastAsia="Arial" w:hAnsi="Arial"/>
          <w:sz w:val="17"/>
          <w:szCs w:val="17"/>
          <w:color w:val="auto"/>
        </w:rPr>
        <w:t>”) payable on a Note on or before the due date therefor</w:t>
      </w:r>
      <w:r>
        <w:rPr>
          <w:rFonts w:ascii="Arial" w:cs="Arial" w:eastAsia="Arial" w:hAnsi="Arial"/>
          <w:sz w:val="17"/>
          <w:szCs w:val="17"/>
          <w:i w:val="1"/>
          <w:iCs w:val="1"/>
          <w:color w:val="auto"/>
        </w:rPr>
        <w:t xml:space="preserve"> </w:t>
      </w:r>
      <w:r>
        <w:rPr>
          <w:rFonts w:ascii="Arial" w:cs="Arial" w:eastAsia="Arial" w:hAnsi="Arial"/>
          <w:sz w:val="17"/>
          <w:szCs w:val="17"/>
          <w:color w:val="auto"/>
        </w:rPr>
        <w:t>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Arial" w:cs="Arial" w:eastAsia="Arial" w:hAnsi="Arial"/>
          <w:sz w:val="17"/>
          <w:szCs w:val="17"/>
          <w:b w:val="1"/>
          <w:bCs w:val="1"/>
          <w:color w:val="auto"/>
        </w:rPr>
        <w:t>Default Interest</w:t>
      </w:r>
      <w:r>
        <w:rPr>
          <w:rFonts w:ascii="Arial" w:cs="Arial" w:eastAsia="Arial" w:hAnsi="Arial"/>
          <w:sz w:val="17"/>
          <w:szCs w:val="17"/>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78" w:lineRule="exact"/>
        <w:rPr>
          <w:rFonts w:ascii="Arial" w:cs="Arial" w:eastAsia="Arial" w:hAnsi="Arial"/>
          <w:sz w:val="17"/>
          <w:szCs w:val="17"/>
          <w:color w:val="auto"/>
        </w:rPr>
      </w:pPr>
    </w:p>
    <w:p>
      <w:pPr>
        <w:ind w:firstLine="656"/>
        <w:spacing w:after="0" w:line="302" w:lineRule="auto"/>
        <w:tabs>
          <w:tab w:leader="none" w:pos="1307"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Delay of Payment when Payment Date is Not a Business Day</w:t>
      </w:r>
      <w:r>
        <w:rPr>
          <w:rFonts w:ascii="Arial" w:cs="Arial" w:eastAsia="Arial" w:hAnsi="Arial"/>
          <w:sz w:val="16"/>
          <w:szCs w:val="16"/>
          <w:color w:val="auto"/>
        </w:rPr>
        <w:t>. If the due date for a payment on a Note as provided in this Indenture is not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5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2.06.</w:t>
      </w:r>
      <w:r>
        <w:rPr>
          <w:sz w:val="20"/>
          <w:szCs w:val="20"/>
          <w:color w:val="auto"/>
        </w:rPr>
        <w:tab/>
      </w:r>
      <w:r>
        <w:rPr>
          <w:rFonts w:ascii="Arial" w:cs="Arial" w:eastAsia="Arial" w:hAnsi="Arial"/>
          <w:sz w:val="17"/>
          <w:szCs w:val="17"/>
          <w:b w:val="1"/>
          <w:bCs w:val="1"/>
          <w:color w:val="auto"/>
        </w:rPr>
        <w:t>REGISTRAR, PAYING AGENT AND CONVERSION AGENT.</w:t>
      </w:r>
    </w:p>
    <w:p>
      <w:pPr>
        <w:spacing w:after="0" w:line="229" w:lineRule="exact"/>
        <w:rPr>
          <w:sz w:val="20"/>
          <w:szCs w:val="20"/>
          <w:color w:val="auto"/>
        </w:rPr>
      </w:pPr>
    </w:p>
    <w:p>
      <w:pPr>
        <w:ind w:right="20" w:firstLine="656"/>
        <w:spacing w:after="0" w:line="259" w:lineRule="auto"/>
        <w:tabs>
          <w:tab w:leader="none" w:pos="1317"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Company will maintain (i) an office or agency in the continental United States where Notes may be presented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 or for exchange (the “</w:t>
      </w:r>
      <w:r>
        <w:rPr>
          <w:rFonts w:ascii="Arial" w:cs="Arial" w:eastAsia="Arial" w:hAnsi="Arial"/>
          <w:sz w:val="18"/>
          <w:szCs w:val="18"/>
          <w:b w:val="1"/>
          <w:bCs w:val="1"/>
          <w:color w:val="auto"/>
        </w:rPr>
        <w:t>Registrar</w:t>
      </w:r>
      <w:r>
        <w:rPr>
          <w:rFonts w:ascii="Arial" w:cs="Arial" w:eastAsia="Arial" w:hAnsi="Arial"/>
          <w:sz w:val="18"/>
          <w:szCs w:val="18"/>
          <w:color w:val="auto"/>
        </w:rPr>
        <w:t>”); (ii) an office or agency in the continental United States where Notes may be presented for payment (the “</w:t>
      </w:r>
      <w:r>
        <w:rPr>
          <w:rFonts w:ascii="Arial" w:cs="Arial" w:eastAsia="Arial" w:hAnsi="Arial"/>
          <w:sz w:val="18"/>
          <w:szCs w:val="18"/>
          <w:b w:val="1"/>
          <w:bCs w:val="1"/>
          <w:color w:val="auto"/>
        </w:rPr>
        <w:t>Paying Agent</w:t>
      </w:r>
      <w:r>
        <w:rPr>
          <w:rFonts w:ascii="Arial" w:cs="Arial" w:eastAsia="Arial" w:hAnsi="Arial"/>
          <w:sz w:val="18"/>
          <w:szCs w:val="18"/>
          <w:color w:val="auto"/>
        </w:rPr>
        <w:t>”); and (iii) an office or agency in the continental United States where Notes may be presented for conversion (the “</w:t>
      </w:r>
      <w:r>
        <w:rPr>
          <w:rFonts w:ascii="Arial" w:cs="Arial" w:eastAsia="Arial" w:hAnsi="Arial"/>
          <w:sz w:val="18"/>
          <w:szCs w:val="18"/>
          <w:b w:val="1"/>
          <w:bCs w:val="1"/>
          <w:color w:val="auto"/>
        </w:rPr>
        <w:t>Conversion Agent</w:t>
      </w:r>
      <w:r>
        <w:rPr>
          <w:rFonts w:ascii="Arial" w:cs="Arial" w:eastAsia="Arial" w:hAnsi="Arial"/>
          <w:sz w:val="18"/>
          <w:szCs w:val="18"/>
          <w:color w:val="auto"/>
        </w:rPr>
        <w:t>”). If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Company fails to maintain a Registrar, Paying Agent or Conversion Agent, then the Trustee will act as such. For the avoidance of doubt, the Company or any of its Subsidiaries may act as Registrar, Paying Agent or Conversion Agent.</w:t>
      </w:r>
    </w:p>
    <w:p>
      <w:pPr>
        <w:spacing w:after="0" w:line="166" w:lineRule="exact"/>
        <w:rPr>
          <w:sz w:val="20"/>
          <w:szCs w:val="20"/>
          <w:color w:val="auto"/>
        </w:rPr>
      </w:pPr>
    </w:p>
    <w:p>
      <w:pPr>
        <w:jc w:val="both"/>
        <w:ind w:right="320" w:firstLine="656"/>
        <w:spacing w:after="0" w:line="281" w:lineRule="auto"/>
        <w:tabs>
          <w:tab w:leader="none" w:pos="1307"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Duties of the Registrar</w:t>
      </w:r>
      <w:r>
        <w:rPr>
          <w:rFonts w:ascii="Arial" w:cs="Arial" w:eastAsia="Arial" w:hAnsi="Arial"/>
          <w:sz w:val="17"/>
          <w:szCs w:val="17"/>
          <w:color w:val="auto"/>
        </w:rPr>
        <w:t>. The Registrar will keep a record (the “</w:t>
      </w:r>
      <w:r>
        <w:rPr>
          <w:rFonts w:ascii="Arial" w:cs="Arial" w:eastAsia="Arial" w:hAnsi="Arial"/>
          <w:sz w:val="17"/>
          <w:szCs w:val="17"/>
          <w:b w:val="1"/>
          <w:bCs w:val="1"/>
          <w:color w:val="auto"/>
        </w:rPr>
        <w:t>Register</w:t>
      </w:r>
      <w:r>
        <w:rPr>
          <w:rFonts w:ascii="Arial" w:cs="Arial" w:eastAsia="Arial" w:hAnsi="Arial"/>
          <w:sz w:val="17"/>
          <w:szCs w:val="17"/>
          <w:color w:val="auto"/>
        </w:rPr>
        <w:t>”) of the names and addresses of the Holders, the Notes held by</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and the transfer, exchange, repurchase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68" w:lineRule="exact"/>
        <w:rPr>
          <w:rFonts w:ascii="Arial" w:cs="Arial" w:eastAsia="Arial" w:hAnsi="Arial"/>
          <w:sz w:val="17"/>
          <w:szCs w:val="17"/>
          <w:color w:val="auto"/>
        </w:rPr>
      </w:pPr>
    </w:p>
    <w:p>
      <w:pPr>
        <w:ind w:right="40" w:firstLine="656"/>
        <w:spacing w:after="0" w:line="273" w:lineRule="auto"/>
        <w:tabs>
          <w:tab w:leader="none" w:pos="1307"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Co-Agents; Company’s Right to Appoint Successor Registrars, Paying Agents and Conversion Agents</w:t>
      </w:r>
      <w:r>
        <w:rPr>
          <w:rFonts w:ascii="Arial" w:cs="Arial" w:eastAsia="Arial" w:hAnsi="Arial"/>
          <w:sz w:val="17"/>
          <w:szCs w:val="17"/>
          <w:color w:val="auto"/>
        </w:rPr>
        <w:t>. The Company may appoint one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more co-Registrars, co-Paying Agents and co-Conversion Agents, each of whom will be deemed to be a Registrar, Paying Agent or Conversion Agent, as applicable, under this Indenture. Subject to </w:t>
      </w:r>
      <w:r>
        <w:rPr>
          <w:rFonts w:ascii="Arial" w:cs="Arial" w:eastAsia="Arial" w:hAnsi="Arial"/>
          <w:sz w:val="17"/>
          <w:szCs w:val="17"/>
          <w:b w:val="1"/>
          <w:bCs w:val="1"/>
          <w:color w:val="auto"/>
        </w:rPr>
        <w:t>Section 2.06(A)</w:t>
      </w:r>
      <w:r>
        <w:rPr>
          <w:rFonts w:ascii="Arial" w:cs="Arial" w:eastAsia="Arial" w:hAnsi="Arial"/>
          <w:sz w:val="17"/>
          <w:szCs w:val="17"/>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Initial Appointments</w:t>
      </w:r>
      <w:r>
        <w:rPr>
          <w:rFonts w:ascii="Arial" w:cs="Arial" w:eastAsia="Arial" w:hAnsi="Arial"/>
          <w:sz w:val="16"/>
          <w:szCs w:val="16"/>
          <w:color w:val="auto"/>
        </w:rPr>
        <w:t>. The Company appoints the Trustee as the initial Paying Agent, the initial Registrar and the initial Conversion Agent.</w:t>
      </w:r>
    </w:p>
    <w:p>
      <w:pPr>
        <w:spacing w:after="0" w:line="24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2.07.</w:t>
      </w:r>
      <w:r>
        <w:rPr>
          <w:sz w:val="20"/>
          <w:szCs w:val="20"/>
          <w:color w:val="auto"/>
        </w:rPr>
        <w:tab/>
      </w:r>
      <w:r>
        <w:rPr>
          <w:rFonts w:ascii="Arial" w:cs="Arial" w:eastAsia="Arial" w:hAnsi="Arial"/>
          <w:sz w:val="17"/>
          <w:szCs w:val="17"/>
          <w:b w:val="1"/>
          <w:bCs w:val="1"/>
          <w:color w:val="auto"/>
        </w:rPr>
        <w:t>PAYING AGENT AND CONVERSION AGENT TO HOLD PROPERTY IN TRUST.</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in </w:t>
      </w:r>
      <w:r>
        <w:rPr>
          <w:rFonts w:ascii="Arial" w:cs="Arial" w:eastAsia="Arial" w:hAnsi="Arial"/>
          <w:sz w:val="16"/>
          <w:szCs w:val="16"/>
          <w:b w:val="1"/>
          <w:bCs w:val="1"/>
          <w:color w:val="auto"/>
        </w:rPr>
        <w:t>clause (ix)</w:t>
      </w:r>
      <w:r>
        <w:rPr>
          <w:rFonts w:ascii="Arial" w:cs="Arial" w:eastAsia="Arial" w:hAnsi="Arial"/>
          <w:sz w:val="16"/>
          <w:szCs w:val="16"/>
          <w:color w:val="auto"/>
        </w:rPr>
        <w:t xml:space="preserve"> or </w:t>
      </w:r>
      <w:r>
        <w:rPr>
          <w:rFonts w:ascii="Arial" w:cs="Arial" w:eastAsia="Arial" w:hAnsi="Arial"/>
          <w:sz w:val="16"/>
          <w:szCs w:val="16"/>
          <w:b w:val="1"/>
          <w:bCs w:val="1"/>
          <w:color w:val="auto"/>
        </w:rPr>
        <w:t>(x)</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7.01(A)</w:t>
      </w:r>
      <w:r>
        <w:rPr>
          <w:rFonts w:ascii="Arial" w:cs="Arial" w:eastAsia="Arial" w:hAnsi="Arial"/>
          <w:sz w:val="16"/>
          <w:szCs w:val="16"/>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tabs>
          <w:tab w:leader="none" w:pos="130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8"/>
          <w:szCs w:val="18"/>
          <w:b w:val="1"/>
          <w:bCs w:val="1"/>
          <w:color w:val="auto"/>
        </w:rPr>
        <w:t>HOLDER LISTS.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If the Trustee is not the Registrar, the Company will furnish to the Trustee, no later than seven (7) Business Days before each Interest Payment Date, </w:t>
      </w:r>
      <w:r>
        <w:rPr>
          <w:rFonts w:ascii="Arial" w:cs="Arial" w:eastAsia="Arial" w:hAnsi="Arial"/>
          <w:sz w:val="17"/>
          <w:szCs w:val="17"/>
          <w:color w:val="auto"/>
        </w:rPr>
        <w:t xml:space="preserve">and at such other times as the Trustee may request, </w:t>
      </w:r>
      <w:r>
        <w:rPr>
          <w:rFonts w:ascii="Arial" w:cs="Arial" w:eastAsia="Arial" w:hAnsi="Arial"/>
          <w:sz w:val="18"/>
          <w:szCs w:val="18"/>
          <w:color w:val="auto"/>
        </w:rPr>
        <w:t>a list, in such form and as of such date or time as the Trustee may reasonably require, of the names and</w:t>
      </w:r>
      <w:r>
        <w:rPr>
          <w:rFonts w:ascii="Arial" w:cs="Arial" w:eastAsia="Arial" w:hAnsi="Arial"/>
          <w:sz w:val="17"/>
          <w:szCs w:val="17"/>
          <w:color w:val="auto"/>
        </w:rPr>
        <w:t xml:space="preserve"> </w:t>
      </w:r>
      <w:r>
        <w:rPr>
          <w:rFonts w:ascii="Arial" w:cs="Arial" w:eastAsia="Arial" w:hAnsi="Arial"/>
          <w:sz w:val="18"/>
          <w:szCs w:val="18"/>
          <w:color w:val="auto"/>
        </w:rPr>
        <w:t>addresses of the Holders.</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7"/>
          <w:szCs w:val="17"/>
          <w:b w:val="1"/>
          <w:bCs w:val="1"/>
          <w:color w:val="auto"/>
        </w:rPr>
        <w:t>LEGENDS.</w:t>
      </w:r>
    </w:p>
    <w:p>
      <w:pPr>
        <w:spacing w:after="0" w:line="229" w:lineRule="exact"/>
        <w:rPr>
          <w:sz w:val="20"/>
          <w:szCs w:val="20"/>
          <w:color w:val="auto"/>
        </w:rPr>
      </w:pPr>
    </w:p>
    <w:p>
      <w:pPr>
        <w:ind w:right="440" w:firstLine="656"/>
        <w:spacing w:after="0" w:line="277" w:lineRule="auto"/>
        <w:tabs>
          <w:tab w:leader="none" w:pos="1317"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the Global Note Legend (or any similar legend, not inconsistent with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the Depositary for such Global Note).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Non-Affiliate Legend</w:t>
      </w:r>
      <w:r>
        <w:rPr>
          <w:rFonts w:ascii="Arial" w:cs="Arial" w:eastAsia="Arial" w:hAnsi="Arial"/>
          <w:sz w:val="18"/>
          <w:szCs w:val="18"/>
          <w:color w:val="auto"/>
        </w:rPr>
        <w:t>. Each Note will bear the Non-Affiliate Legend.</w:t>
      </w:r>
    </w:p>
    <w:p>
      <w:pPr>
        <w:spacing w:after="0" w:line="221" w:lineRule="exact"/>
        <w:rPr>
          <w:rFonts w:ascii="Arial" w:cs="Arial" w:eastAsia="Arial" w:hAnsi="Arial"/>
          <w:sz w:val="18"/>
          <w:szCs w:val="18"/>
          <w:color w:val="auto"/>
        </w:rPr>
      </w:pPr>
    </w:p>
    <w:p>
      <w:pPr>
        <w:ind w:left="1320" w:hanging="66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Restricted Note Legend</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2.12</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80" w:hanging="675"/>
        <w:spacing w:after="0"/>
        <w:tabs>
          <w:tab w:leader="none" w:pos="1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Note that is a Transfer-Restricted Security will bear the Restricted Note Legend; and</w:t>
      </w:r>
    </w:p>
    <w:p>
      <w:pPr>
        <w:spacing w:after="0" w:line="225" w:lineRule="exact"/>
        <w:rPr>
          <w:rFonts w:ascii="Arial" w:cs="Arial" w:eastAsia="Arial" w:hAnsi="Arial"/>
          <w:sz w:val="18"/>
          <w:szCs w:val="18"/>
          <w:color w:val="auto"/>
        </w:rPr>
      </w:pPr>
    </w:p>
    <w:p>
      <w:pPr>
        <w:ind w:left="660" w:right="80" w:firstLine="645"/>
        <w:spacing w:after="0" w:line="255" w:lineRule="auto"/>
        <w:tabs>
          <w:tab w:leader="none" w:pos="1987"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if a Note is issued in exchange for, in substitution of, or to effect a partial conversion of, another Note (such other Note being referred to as the “old Note” for purposes of this </w:t>
      </w:r>
      <w:r>
        <w:rPr>
          <w:rFonts w:ascii="Arial" w:cs="Arial" w:eastAsia="Arial" w:hAnsi="Arial"/>
          <w:sz w:val="18"/>
          <w:szCs w:val="18"/>
          <w:b w:val="1"/>
          <w:bCs w:val="1"/>
          <w:color w:val="auto"/>
        </w:rPr>
        <w:t>Section 2.09(C)(ii)</w:t>
      </w:r>
      <w:r>
        <w:rPr>
          <w:rFonts w:ascii="Arial" w:cs="Arial" w:eastAsia="Arial" w:hAnsi="Arial"/>
          <w:sz w:val="18"/>
          <w:szCs w:val="18"/>
          <w:color w:val="auto"/>
        </w:rPr>
        <w:t xml:space="preserve">), including pursuant to Section </w:t>
      </w:r>
      <w:r>
        <w:rPr>
          <w:rFonts w:ascii="Arial" w:cs="Arial" w:eastAsia="Arial" w:hAnsi="Arial"/>
          <w:sz w:val="18"/>
          <w:szCs w:val="18"/>
          <w:b w:val="1"/>
          <w:bCs w:val="1"/>
          <w:color w:val="auto"/>
        </w:rPr>
        <w:t>2.10(B)</w:t>
      </w:r>
      <w:r>
        <w:rPr>
          <w:rFonts w:ascii="Arial" w:cs="Arial" w:eastAsia="Arial" w:hAnsi="Arial"/>
          <w:sz w:val="18"/>
          <w:szCs w:val="18"/>
          <w:color w:val="auto"/>
        </w:rPr>
        <w:t xml:space="preserve">, </w:t>
      </w:r>
      <w:r>
        <w:rPr>
          <w:rFonts w:ascii="Arial" w:cs="Arial" w:eastAsia="Arial" w:hAnsi="Arial"/>
          <w:sz w:val="18"/>
          <w:szCs w:val="18"/>
          <w:b w:val="1"/>
          <w:bCs w:val="1"/>
          <w:color w:val="auto"/>
        </w:rPr>
        <w:t>2.10(C)</w:t>
      </w:r>
      <w:r>
        <w:rPr>
          <w:rFonts w:ascii="Arial" w:cs="Arial" w:eastAsia="Arial" w:hAnsi="Arial"/>
          <w:sz w:val="18"/>
          <w:szCs w:val="18"/>
          <w:color w:val="auto"/>
        </w:rPr>
        <w:t xml:space="preserve">, </w:t>
      </w:r>
      <w:r>
        <w:rPr>
          <w:rFonts w:ascii="Arial" w:cs="Arial" w:eastAsia="Arial" w:hAnsi="Arial"/>
          <w:sz w:val="18"/>
          <w:szCs w:val="18"/>
          <w:b w:val="1"/>
          <w:bCs w:val="1"/>
          <w:color w:val="auto"/>
        </w:rPr>
        <w:t>2.11</w:t>
      </w:r>
      <w:r>
        <w:rPr>
          <w:rFonts w:ascii="Arial" w:cs="Arial" w:eastAsia="Arial" w:hAnsi="Arial"/>
          <w:sz w:val="18"/>
          <w:szCs w:val="18"/>
          <w:color w:val="auto"/>
        </w:rPr>
        <w:t xml:space="preserve"> or </w:t>
      </w:r>
      <w:r>
        <w:rPr>
          <w:rFonts w:ascii="Arial" w:cs="Arial" w:eastAsia="Arial" w:hAnsi="Arial"/>
          <w:sz w:val="18"/>
          <w:szCs w:val="18"/>
          <w:b w:val="1"/>
          <w:bCs w:val="1"/>
          <w:color w:val="auto"/>
        </w:rPr>
        <w:t>2.13</w:t>
      </w:r>
      <w:r>
        <w:rPr>
          <w:rFonts w:ascii="Arial" w:cs="Arial" w:eastAsia="Arial" w:hAnsi="Arial"/>
          <w:sz w:val="18"/>
          <w:szCs w:val="18"/>
          <w:color w:val="auto"/>
        </w:rPr>
        <w:t xml:space="preserve">, such Note will bear the Restricted Note Legend if such old Note bore the Restricted Note Legend at the time of such exchange or substitution, or on the related Conversion Date with respect to such conversion,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93" w:lineRule="exact"/>
        <w:rPr>
          <w:rFonts w:ascii="Arial" w:cs="Arial" w:eastAsia="Arial" w:hAnsi="Arial"/>
          <w:sz w:val="18"/>
          <w:szCs w:val="18"/>
          <w:color w:val="auto"/>
        </w:rPr>
      </w:pPr>
    </w:p>
    <w:p>
      <w:pPr>
        <w:ind w:right="80" w:firstLine="656"/>
        <w:spacing w:after="0" w:line="277" w:lineRule="auto"/>
        <w:tabs>
          <w:tab w:leader="none" w:pos="1317"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Other Legends</w:t>
      </w:r>
      <w:r>
        <w:rPr>
          <w:rFonts w:ascii="Arial" w:cs="Arial" w:eastAsia="Arial" w:hAnsi="Arial"/>
          <w:sz w:val="18"/>
          <w:szCs w:val="18"/>
          <w:color w:val="auto"/>
        </w:rPr>
        <w:t>. A Note may bear any other legend or text, not inconsistent with this Indenture, as may be required by applicable law or by</w:t>
      </w:r>
      <w:r>
        <w:rPr>
          <w:rFonts w:ascii="Arial" w:cs="Arial" w:eastAsia="Arial" w:hAnsi="Arial"/>
          <w:sz w:val="18"/>
          <w:szCs w:val="18"/>
          <w:i w:val="1"/>
          <w:iCs w:val="1"/>
          <w:color w:val="auto"/>
        </w:rPr>
        <w:t xml:space="preserve"> </w:t>
      </w:r>
      <w:r>
        <w:rPr>
          <w:rFonts w:ascii="Arial" w:cs="Arial" w:eastAsia="Arial" w:hAnsi="Arial"/>
          <w:sz w:val="18"/>
          <w:szCs w:val="18"/>
          <w:color w:val="auto"/>
        </w:rPr>
        <w:t>any securities exchange or automated quotation system on which such Note is traded or quoted.</w:t>
      </w:r>
    </w:p>
    <w:p>
      <w:pPr>
        <w:spacing w:after="0" w:line="166" w:lineRule="exact"/>
        <w:rPr>
          <w:rFonts w:ascii="Arial" w:cs="Arial" w:eastAsia="Arial" w:hAnsi="Arial"/>
          <w:sz w:val="18"/>
          <w:szCs w:val="18"/>
          <w:color w:val="auto"/>
        </w:rPr>
      </w:pPr>
    </w:p>
    <w:p>
      <w:pPr>
        <w:ind w:firstLine="656"/>
        <w:spacing w:after="0" w:line="282" w:lineRule="auto"/>
        <w:tabs>
          <w:tab w:leader="none" w:pos="131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Acknowledgement and Agreement by the Holders</w:t>
      </w:r>
      <w:r>
        <w:rPr>
          <w:rFonts w:ascii="Arial" w:cs="Arial" w:eastAsia="Arial" w:hAnsi="Arial"/>
          <w:sz w:val="18"/>
          <w:szCs w:val="18"/>
          <w:color w:val="auto"/>
        </w:rPr>
        <w:t>. A Holder’s acceptance of any Note bearing any legend required by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2.09</w:t>
      </w:r>
      <w:r>
        <w:rPr>
          <w:rFonts w:ascii="Arial" w:cs="Arial" w:eastAsia="Arial" w:hAnsi="Arial"/>
          <w:sz w:val="18"/>
          <w:szCs w:val="18"/>
          <w:i w:val="1"/>
          <w:iCs w:val="1"/>
          <w:color w:val="auto"/>
        </w:rPr>
        <w:t xml:space="preserve"> </w:t>
      </w:r>
      <w:r>
        <w:rPr>
          <w:rFonts w:ascii="Arial" w:cs="Arial" w:eastAsia="Arial" w:hAnsi="Arial"/>
          <w:sz w:val="18"/>
          <w:szCs w:val="18"/>
          <w:color w:val="auto"/>
        </w:rPr>
        <w:t>will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such Holder’s acknowledgement of, and agreement to comply with, the restrictions set forth in such legend.</w:t>
      </w:r>
    </w:p>
    <w:p>
      <w:pPr>
        <w:spacing w:after="0" w:line="165" w:lineRule="exact"/>
        <w:rPr>
          <w:rFonts w:ascii="Arial" w:cs="Arial" w:eastAsia="Arial" w:hAnsi="Arial"/>
          <w:sz w:val="18"/>
          <w:szCs w:val="18"/>
          <w:color w:val="auto"/>
        </w:rPr>
      </w:pPr>
    </w:p>
    <w:p>
      <w:pPr>
        <w:ind w:left="1320" w:hanging="66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Restricted Stock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20" w:firstLine="645"/>
        <w:spacing w:after="0" w:line="259" w:lineRule="auto"/>
        <w:tabs>
          <w:tab w:leader="none" w:pos="19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Conversion Share need not bear the Restricted Stock Legend if the Company determines, in its reasonable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such Conversion Share need not bear the Restricted Stock Legend.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left="660" w:firstLine="645"/>
        <w:spacing w:after="0" w:line="261" w:lineRule="auto"/>
        <w:tabs>
          <w:tab w:leader="none" w:pos="19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b w:val="1"/>
          <w:bCs w:val="1"/>
          <w:color w:val="auto"/>
        </w:rPr>
        <w:t>Section 2.09(F)</w:t>
      </w:r>
      <w:r>
        <w:rPr>
          <w:rFonts w:ascii="Arial" w:cs="Arial" w:eastAsia="Arial" w:hAnsi="Arial"/>
          <w:sz w:val="18"/>
          <w:szCs w:val="18"/>
          <w:color w:val="auto"/>
        </w:rPr>
        <w:t xml:space="preserve">, a Conversion Share need not bear a Restricted Stock Legend if such Conversion Share is issued in an uncertificated form that does not permit affixing legends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7"/>
          <w:szCs w:val="17"/>
          <w:b w:val="1"/>
          <w:bCs w:val="1"/>
          <w:color w:val="auto"/>
        </w:rPr>
        <w:t>TRANSFERS AND EXCHANGES; CERTAIN TRANSFER RESTRICTIONS.</w:t>
      </w:r>
    </w:p>
    <w:p>
      <w:pPr>
        <w:spacing w:after="0" w:line="229" w:lineRule="exact"/>
        <w:rPr>
          <w:sz w:val="20"/>
          <w:szCs w:val="20"/>
          <w:color w:val="auto"/>
        </w:rPr>
      </w:pPr>
    </w:p>
    <w:p>
      <w:pPr>
        <w:ind w:left="1320" w:hanging="66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Provisions Applicable to All Transfers and Exchanges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right="20" w:firstLine="645"/>
        <w:spacing w:after="0" w:line="282" w:lineRule="auto"/>
        <w:tabs>
          <w:tab w:leader="none" w:pos="19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b w:val="1"/>
          <w:bCs w:val="1"/>
          <w:color w:val="auto"/>
        </w:rPr>
        <w:t>Section 2.10</w:t>
      </w:r>
      <w:r>
        <w:rPr>
          <w:rFonts w:ascii="Arial" w:cs="Arial" w:eastAsia="Arial" w:hAnsi="Arial"/>
          <w:sz w:val="18"/>
          <w:szCs w:val="18"/>
          <w:color w:val="auto"/>
        </w:rPr>
        <w:t>, Physical Notes and beneficial interests in Global Notes may be transferred or exchanged from time to time and the Registrar will record each such transfer or exchange in the Register.</w:t>
      </w:r>
    </w:p>
    <w:p>
      <w:pPr>
        <w:spacing w:after="0" w:line="165" w:lineRule="exact"/>
        <w:rPr>
          <w:rFonts w:ascii="Arial" w:cs="Arial" w:eastAsia="Arial" w:hAnsi="Arial"/>
          <w:sz w:val="18"/>
          <w:szCs w:val="18"/>
          <w:color w:val="auto"/>
        </w:rPr>
      </w:pPr>
    </w:p>
    <w:p>
      <w:pPr>
        <w:ind w:left="660" w:right="20" w:firstLine="645"/>
        <w:spacing w:after="0" w:line="286" w:lineRule="auto"/>
        <w:tabs>
          <w:tab w:leader="none" w:pos="1987"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Each Note issued upon transfer or exchange of any other Note (such other Note being referred to as the “old Note” for purposes of this </w:t>
      </w:r>
      <w:r>
        <w:rPr>
          <w:rFonts w:ascii="Arial" w:cs="Arial" w:eastAsia="Arial" w:hAnsi="Arial"/>
          <w:sz w:val="17"/>
          <w:szCs w:val="17"/>
          <w:b w:val="1"/>
          <w:bCs w:val="1"/>
          <w:color w:val="auto"/>
        </w:rPr>
        <w:t>Section 2.10(A)(ii)</w:t>
      </w:r>
      <w:r>
        <w:rPr>
          <w:rFonts w:ascii="Arial" w:cs="Arial" w:eastAsia="Arial" w:hAnsi="Arial"/>
          <w:sz w:val="17"/>
          <w:szCs w:val="17"/>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65" w:lineRule="exact"/>
        <w:rPr>
          <w:rFonts w:ascii="Arial" w:cs="Arial" w:eastAsia="Arial" w:hAnsi="Arial"/>
          <w:sz w:val="17"/>
          <w:szCs w:val="17"/>
          <w:color w:val="auto"/>
        </w:rPr>
      </w:pPr>
    </w:p>
    <w:p>
      <w:pPr>
        <w:jc w:val="both"/>
        <w:ind w:left="660" w:right="240" w:firstLine="645"/>
        <w:spacing w:after="0" w:line="259" w:lineRule="auto"/>
        <w:tabs>
          <w:tab w:leader="none" w:pos="19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Arial" w:cs="Arial" w:eastAsia="Arial" w:hAnsi="Arial"/>
          <w:sz w:val="18"/>
          <w:szCs w:val="18"/>
          <w:b w:val="1"/>
          <w:bCs w:val="1"/>
          <w:color w:val="auto"/>
        </w:rPr>
        <w:t>Sections 2.11</w:t>
      </w:r>
      <w:r>
        <w:rPr>
          <w:rFonts w:ascii="Arial" w:cs="Arial" w:eastAsia="Arial" w:hAnsi="Arial"/>
          <w:sz w:val="18"/>
          <w:szCs w:val="18"/>
          <w:color w:val="auto"/>
        </w:rPr>
        <w:t xml:space="preserve">, </w:t>
      </w:r>
      <w:r>
        <w:rPr>
          <w:rFonts w:ascii="Arial" w:cs="Arial" w:eastAsia="Arial" w:hAnsi="Arial"/>
          <w:sz w:val="18"/>
          <w:szCs w:val="18"/>
          <w:b w:val="1"/>
          <w:bCs w:val="1"/>
          <w:color w:val="auto"/>
        </w:rPr>
        <w:t>2.17</w:t>
      </w:r>
      <w:r>
        <w:rPr>
          <w:rFonts w:ascii="Arial" w:cs="Arial" w:eastAsia="Arial" w:hAnsi="Arial"/>
          <w:sz w:val="18"/>
          <w:szCs w:val="18"/>
          <w:color w:val="auto"/>
        </w:rPr>
        <w:t xml:space="preserve"> or </w:t>
      </w:r>
      <w:r>
        <w:rPr>
          <w:rFonts w:ascii="Arial" w:cs="Arial" w:eastAsia="Arial" w:hAnsi="Arial"/>
          <w:sz w:val="18"/>
          <w:szCs w:val="18"/>
          <w:b w:val="1"/>
          <w:bCs w:val="1"/>
          <w:color w:val="auto"/>
        </w:rPr>
        <w:t>8.05</w:t>
      </w:r>
      <w:r>
        <w:rPr>
          <w:rFonts w:ascii="Arial" w:cs="Arial" w:eastAsia="Arial" w:hAnsi="Arial"/>
          <w:sz w:val="18"/>
          <w:szCs w:val="18"/>
          <w:color w:val="auto"/>
        </w:rPr>
        <w:t xml:space="preserve"> not involving any transfer.</w:t>
      </w:r>
    </w:p>
    <w:p>
      <w:pPr>
        <w:spacing w:after="0" w:line="186" w:lineRule="exact"/>
        <w:rPr>
          <w:rFonts w:ascii="Arial" w:cs="Arial" w:eastAsia="Arial" w:hAnsi="Arial"/>
          <w:sz w:val="18"/>
          <w:szCs w:val="18"/>
          <w:color w:val="auto"/>
        </w:rPr>
      </w:pPr>
    </w:p>
    <w:p>
      <w:pPr>
        <w:ind w:left="660" w:right="60" w:firstLine="645"/>
        <w:spacing w:after="0" w:line="277" w:lineRule="auto"/>
        <w:tabs>
          <w:tab w:leader="none" w:pos="197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the Notes, a Note may not be transferred or exchanged in part unless the portion to be so transferred or exchanged is in an Authorized Denomination.</w:t>
      </w:r>
    </w:p>
    <w:p>
      <w:pPr>
        <w:spacing w:after="0" w:line="170" w:lineRule="exact"/>
        <w:rPr>
          <w:rFonts w:ascii="Arial" w:cs="Arial" w:eastAsia="Arial" w:hAnsi="Arial"/>
          <w:sz w:val="18"/>
          <w:szCs w:val="18"/>
          <w:color w:val="auto"/>
        </w:rPr>
      </w:pPr>
    </w:p>
    <w:p>
      <w:pPr>
        <w:ind w:left="660" w:right="100" w:firstLine="645"/>
        <w:spacing w:after="0" w:line="259" w:lineRule="auto"/>
        <w:tabs>
          <w:tab w:leader="none" w:pos="1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82" w:lineRule="exact"/>
        <w:rPr>
          <w:rFonts w:ascii="Arial" w:cs="Arial" w:eastAsia="Arial" w:hAnsi="Arial"/>
          <w:sz w:val="18"/>
          <w:szCs w:val="18"/>
          <w:color w:val="auto"/>
        </w:rPr>
      </w:pPr>
    </w:p>
    <w:p>
      <w:pPr>
        <w:ind w:left="1960" w:hanging="655"/>
        <w:spacing w:after="0"/>
        <w:tabs>
          <w:tab w:leader="none" w:pos="1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Each Note issued upon transfer of, or in exchange for, another Note will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jc w:val="both"/>
        <w:ind w:left="660" w:right="100" w:firstLine="645"/>
        <w:spacing w:after="0" w:line="264" w:lineRule="auto"/>
        <w:tabs>
          <w:tab w:leader="none" w:pos="19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the avoidance of doubt, and subject to the terms of this Indenture, as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left="4"/>
        <w:spacing w:after="0" w:line="261" w:lineRule="auto"/>
        <w:rPr>
          <w:sz w:val="20"/>
          <w:szCs w:val="20"/>
          <w:color w:val="auto"/>
        </w:rPr>
      </w:pPr>
      <w:r>
        <w:rPr>
          <w:rFonts w:ascii="Arial" w:cs="Arial" w:eastAsia="Arial" w:hAnsi="Arial"/>
          <w:sz w:val="18"/>
          <w:szCs w:val="18"/>
          <w:color w:val="auto"/>
        </w:rPr>
        <w:t xml:space="preserve">used in this </w:t>
      </w:r>
      <w:r>
        <w:rPr>
          <w:rFonts w:ascii="Arial" w:cs="Arial" w:eastAsia="Arial" w:hAnsi="Arial"/>
          <w:sz w:val="18"/>
          <w:szCs w:val="18"/>
          <w:b w:val="1"/>
          <w:bCs w:val="1"/>
          <w:color w:val="auto"/>
        </w:rPr>
        <w:t>Section 2.10</w:t>
      </w:r>
      <w:r>
        <w:rPr>
          <w:rFonts w:ascii="Arial" w:cs="Arial" w:eastAsia="Arial" w:hAnsi="Arial"/>
          <w:sz w:val="18"/>
          <w:szCs w:val="18"/>
          <w:color w:val="auto"/>
        </w:rPr>
        <w:t>, an “exchange” of a Global Note or a Physical Note includes (x) an exchange effected for the sole purpose of removing any Restricted Note Legend affixed to such Global Note or Physical Note; and (y) if such Global Note or a Physical Note is identified by a “restricted” CUSIP number, an exchange effected for the sole purpose of causing such Global Note or a Physical Note to be identified by an “unrestricted” CUSIP number.</w:t>
      </w:r>
    </w:p>
    <w:p>
      <w:pPr>
        <w:spacing w:after="0" w:line="184" w:lineRule="exact"/>
        <w:rPr>
          <w:sz w:val="20"/>
          <w:szCs w:val="20"/>
          <w:color w:val="auto"/>
        </w:rPr>
      </w:pPr>
    </w:p>
    <w:p>
      <w:pPr>
        <w:ind w:left="664" w:hanging="664"/>
        <w:spacing w:after="0"/>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Transfers and Exchanges of Global Notes.</w:t>
      </w:r>
    </w:p>
    <w:p>
      <w:pPr>
        <w:spacing w:after="0" w:line="225" w:lineRule="exact"/>
        <w:rPr>
          <w:rFonts w:ascii="Arial" w:cs="Arial" w:eastAsia="Arial" w:hAnsi="Arial"/>
          <w:sz w:val="18"/>
          <w:szCs w:val="18"/>
          <w:color w:val="auto"/>
        </w:rPr>
      </w:pPr>
    </w:p>
    <w:p>
      <w:pPr>
        <w:ind w:left="4" w:right="100" w:firstLine="645"/>
        <w:spacing w:after="0" w:line="257" w:lineRule="auto"/>
        <w:tabs>
          <w:tab w:leader="none" w:pos="13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Global Note will be exchanged, pursuant to customary procedures, for one or more Physical Notes if:</w:t>
      </w:r>
    </w:p>
    <w:p>
      <w:pPr>
        <w:spacing w:after="0" w:line="188" w:lineRule="exact"/>
        <w:rPr>
          <w:rFonts w:ascii="Arial" w:cs="Arial" w:eastAsia="Arial" w:hAnsi="Arial"/>
          <w:sz w:val="18"/>
          <w:szCs w:val="18"/>
          <w:color w:val="auto"/>
        </w:rPr>
      </w:pPr>
    </w:p>
    <w:p>
      <w:pPr>
        <w:ind w:left="644" w:right="160" w:firstLine="653"/>
        <w:spacing w:after="0" w:line="312" w:lineRule="auto"/>
        <w:tabs>
          <w:tab w:leader="none" w:pos="1947" w:val="left"/>
        </w:tabs>
        <w:numPr>
          <w:ilvl w:val="2"/>
          <w:numId w:val="16"/>
        </w:numPr>
        <w:rPr>
          <w:rFonts w:ascii="Arial" w:cs="Arial" w:eastAsia="Arial" w:hAnsi="Arial"/>
          <w:sz w:val="16"/>
          <w:szCs w:val="16"/>
          <w:color w:val="auto"/>
        </w:rPr>
      </w:pPr>
      <w:r>
        <w:rPr>
          <w:rFonts w:ascii="Arial" w:cs="Arial" w:eastAsia="Arial" w:hAnsi="Arial"/>
          <w:sz w:val="16"/>
          <w:szCs w:val="16"/>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46" w:lineRule="exact"/>
        <w:rPr>
          <w:rFonts w:ascii="Arial" w:cs="Arial" w:eastAsia="Arial" w:hAnsi="Arial"/>
          <w:sz w:val="16"/>
          <w:szCs w:val="16"/>
          <w:color w:val="auto"/>
        </w:rPr>
      </w:pPr>
    </w:p>
    <w:p>
      <w:pPr>
        <w:ind w:left="644" w:right="120" w:firstLine="653"/>
        <w:spacing w:after="0" w:line="264" w:lineRule="auto"/>
        <w:tabs>
          <w:tab w:leader="none" w:pos="1947"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81" w:lineRule="exact"/>
        <w:rPr>
          <w:rFonts w:ascii="Arial" w:cs="Arial" w:eastAsia="Arial" w:hAnsi="Arial"/>
          <w:sz w:val="18"/>
          <w:szCs w:val="18"/>
          <w:color w:val="auto"/>
        </w:rPr>
      </w:pPr>
    </w:p>
    <w:p>
      <w:pPr>
        <w:ind w:left="644" w:right="160" w:firstLine="653"/>
        <w:spacing w:after="0" w:line="277" w:lineRule="auto"/>
        <w:tabs>
          <w:tab w:leader="none" w:pos="1947"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Company, in its sole discretion, permits the exchange of any beneficial interest in such Global Note for one or more Physical Notes at the request of the owner of such beneficial interest.</w:t>
      </w:r>
    </w:p>
    <w:p>
      <w:pPr>
        <w:spacing w:after="0" w:line="170" w:lineRule="exact"/>
        <w:rPr>
          <w:rFonts w:ascii="Arial" w:cs="Arial" w:eastAsia="Arial" w:hAnsi="Arial"/>
          <w:sz w:val="18"/>
          <w:szCs w:val="18"/>
          <w:color w:val="auto"/>
        </w:rPr>
      </w:pPr>
    </w:p>
    <w:p>
      <w:pPr>
        <w:ind w:left="1324" w:hanging="675"/>
        <w:spacing w:after="0"/>
        <w:tabs>
          <w:tab w:leader="none" w:pos="1324" w:val="left"/>
        </w:tabs>
        <w:numPr>
          <w:ilvl w:val="1"/>
          <w:numId w:val="16"/>
        </w:numPr>
        <w:rPr>
          <w:rFonts w:ascii="Arial" w:cs="Arial" w:eastAsia="Arial" w:hAnsi="Arial"/>
          <w:sz w:val="17"/>
          <w:szCs w:val="17"/>
          <w:color w:val="auto"/>
        </w:rPr>
      </w:pPr>
      <w:r>
        <w:rPr>
          <w:rFonts w:ascii="Arial" w:cs="Arial" w:eastAsia="Arial" w:hAnsi="Arial"/>
          <w:sz w:val="17"/>
          <w:szCs w:val="17"/>
          <w:color w:val="auto"/>
        </w:rPr>
        <w:t>Upon satisfaction of the requirements of this Indenture to effect a transfer or exchange of any Global Note (or any portion</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jc w:val="both"/>
        <w:ind w:left="644" w:right="80" w:firstLine="653"/>
        <w:spacing w:after="0" w:line="288" w:lineRule="auto"/>
        <w:tabs>
          <w:tab w:leader="none" w:pos="1947"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to cancel such Global Note pursuant to</w:t>
      </w:r>
    </w:p>
    <w:p>
      <w:pPr>
        <w:ind w:left="644"/>
        <w:spacing w:after="0"/>
        <w:rPr>
          <w:rFonts w:ascii="Arial" w:cs="Arial" w:eastAsia="Arial" w:hAnsi="Arial"/>
          <w:sz w:val="16"/>
          <w:szCs w:val="16"/>
          <w:color w:val="auto"/>
        </w:rPr>
      </w:pP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44" w:right="60" w:firstLine="653"/>
        <w:spacing w:after="0" w:line="264" w:lineRule="auto"/>
        <w:tabs>
          <w:tab w:leader="none" w:pos="1947" w:val="left"/>
        </w:tabs>
        <w:numPr>
          <w:ilvl w:val="2"/>
          <w:numId w:val="16"/>
        </w:numPr>
        <w:rPr>
          <w:rFonts w:ascii="Arial" w:cs="Arial" w:eastAsia="Arial" w:hAnsi="Arial"/>
          <w:sz w:val="18"/>
          <w:szCs w:val="18"/>
          <w:color w:val="auto"/>
        </w:rPr>
      </w:pPr>
      <w:r>
        <w:rPr>
          <w:rFonts w:ascii="Arial" w:cs="Arial" w:eastAsia="Arial" w:hAnsi="Arial"/>
          <w:sz w:val="18"/>
          <w:szCs w:val="18"/>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4"/>
          </w:cols>
          <w:pgMar w:left="896" w:top="337" w:right="299" w:bottom="1440" w:gutter="0" w:footer="0" w:header="0"/>
        </w:sectPr>
      </w:pPr>
    </w:p>
    <w:bookmarkStart w:id="29" w:name="page30"/>
    <w:bookmarkEnd w:id="29"/>
    <w:p>
      <w:pPr>
        <w:ind w:left="644" w:right="260" w:firstLine="653"/>
        <w:spacing w:after="0" w:line="342" w:lineRule="auto"/>
        <w:tabs>
          <w:tab w:leader="none" w:pos="1947" w:val="left"/>
        </w:tabs>
        <w:numPr>
          <w:ilvl w:val="2"/>
          <w:numId w:val="17"/>
        </w:numPr>
        <w:rPr>
          <w:rFonts w:ascii="Arial" w:cs="Arial" w:eastAsia="Arial" w:hAnsi="Arial"/>
          <w:sz w:val="16"/>
          <w:szCs w:val="16"/>
          <w:color w:val="auto"/>
        </w:rPr>
      </w:pPr>
      <w:r>
        <w:rPr>
          <w:rFonts w:ascii="Arial" w:cs="Arial" w:eastAsia="Arial" w:hAnsi="Arial"/>
          <w:sz w:val="16"/>
          <w:szCs w:val="16"/>
          <w:color w:val="auto"/>
        </w:rPr>
        <w:t xml:space="preserve">if required to effect such transfer or exchange, then the Company will issue, execute and deliver,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a new Global Note bearing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jc w:val="both"/>
        <w:ind w:left="644" w:right="260" w:firstLine="653"/>
        <w:spacing w:after="0" w:line="276" w:lineRule="auto"/>
        <w:tabs>
          <w:tab w:leader="none" w:pos="1947" w:val="left"/>
        </w:tabs>
        <w:numPr>
          <w:ilvl w:val="2"/>
          <w:numId w:val="17"/>
        </w:numPr>
        <w:rPr>
          <w:rFonts w:ascii="Arial" w:cs="Arial" w:eastAsia="Arial" w:hAnsi="Arial"/>
          <w:sz w:val="17"/>
          <w:szCs w:val="17"/>
          <w:color w:val="auto"/>
        </w:rPr>
      </w:pPr>
      <w:r>
        <w:rPr>
          <w:rFonts w:ascii="Arial" w:cs="Arial" w:eastAsia="Arial" w:hAnsi="Arial"/>
          <w:sz w:val="17"/>
          <w:szCs w:val="17"/>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one or more Physical Notes that are in Authorized Denominations (not to exceed, in the aggregate, the principal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Global Note to be so exchanged), are registered in such name(s) as the Depositary specifies (or as otherwise determined pursuant to customary procedures) and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1344" w:hanging="695"/>
        <w:spacing w:after="0"/>
        <w:tabs>
          <w:tab w:leader="none" w:pos="1344"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transfer or exchange of a beneficial interest in any Global Note will be made in accordance with the Depositary Procedures.</w:t>
      </w:r>
    </w:p>
    <w:p>
      <w:pPr>
        <w:spacing w:after="0" w:line="248" w:lineRule="exact"/>
        <w:rPr>
          <w:rFonts w:ascii="Arial" w:cs="Arial" w:eastAsia="Arial" w:hAnsi="Arial"/>
          <w:sz w:val="16"/>
          <w:szCs w:val="16"/>
          <w:color w:val="auto"/>
        </w:rPr>
      </w:pPr>
    </w:p>
    <w:p>
      <w:pPr>
        <w:ind w:left="664" w:hanging="664"/>
        <w:spacing w:after="0"/>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Transfers and Exchanges of Physical Notes.</w:t>
      </w:r>
    </w:p>
    <w:p>
      <w:pPr>
        <w:spacing w:after="0" w:line="221" w:lineRule="exact"/>
        <w:rPr>
          <w:rFonts w:ascii="Arial" w:cs="Arial" w:eastAsia="Arial" w:hAnsi="Arial"/>
          <w:sz w:val="18"/>
          <w:szCs w:val="18"/>
          <w:color w:val="auto"/>
        </w:rPr>
      </w:pPr>
    </w:p>
    <w:p>
      <w:pPr>
        <w:ind w:left="4" w:firstLine="645"/>
        <w:spacing w:after="0" w:line="256" w:lineRule="auto"/>
        <w:tabs>
          <w:tab w:leader="none" w:pos="1322"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b w:val="1"/>
          <w:bCs w:val="1"/>
          <w:color w:val="auto"/>
        </w:rPr>
        <w:t>Section 2.10</w:t>
      </w:r>
      <w:r>
        <w:rPr>
          <w:rFonts w:ascii="Arial" w:cs="Arial" w:eastAsia="Arial" w:hAnsi="Arial"/>
          <w:sz w:val="18"/>
          <w:szCs w:val="18"/>
          <w:color w:val="auto"/>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effect any such transfer or exchange, such Holder must:</w:t>
      </w:r>
    </w:p>
    <w:p>
      <w:pPr>
        <w:spacing w:after="0" w:line="191" w:lineRule="exact"/>
        <w:rPr>
          <w:rFonts w:ascii="Arial" w:cs="Arial" w:eastAsia="Arial" w:hAnsi="Arial"/>
          <w:sz w:val="18"/>
          <w:szCs w:val="18"/>
          <w:color w:val="auto"/>
        </w:rPr>
      </w:pPr>
    </w:p>
    <w:p>
      <w:pPr>
        <w:ind w:left="644" w:right="20" w:firstLine="653"/>
        <w:spacing w:after="0" w:line="277" w:lineRule="auto"/>
        <w:tabs>
          <w:tab w:leader="none" w:pos="1947" w:val="left"/>
        </w:tabs>
        <w:numPr>
          <w:ilvl w:val="2"/>
          <w:numId w:val="19"/>
        </w:numPr>
        <w:rPr>
          <w:rFonts w:ascii="Arial" w:cs="Arial" w:eastAsia="Arial" w:hAnsi="Arial"/>
          <w:sz w:val="18"/>
          <w:szCs w:val="18"/>
          <w:color w:val="auto"/>
        </w:rPr>
      </w:pPr>
      <w:r>
        <w:rPr>
          <w:rFonts w:ascii="Arial" w:cs="Arial" w:eastAsia="Arial" w:hAnsi="Arial"/>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166" w:lineRule="exact"/>
        <w:rPr>
          <w:rFonts w:ascii="Arial" w:cs="Arial" w:eastAsia="Arial" w:hAnsi="Arial"/>
          <w:sz w:val="18"/>
          <w:szCs w:val="18"/>
          <w:color w:val="auto"/>
        </w:rPr>
      </w:pPr>
    </w:p>
    <w:p>
      <w:pPr>
        <w:ind w:left="1944" w:hanging="647"/>
        <w:spacing w:after="0"/>
        <w:tabs>
          <w:tab w:leader="none" w:pos="1944"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deliver such certificates, documentation or evidence as may be required pursuant to </w:t>
      </w:r>
      <w:r>
        <w:rPr>
          <w:rFonts w:ascii="Arial" w:cs="Arial" w:eastAsia="Arial" w:hAnsi="Arial"/>
          <w:sz w:val="18"/>
          <w:szCs w:val="18"/>
          <w:b w:val="1"/>
          <w:bCs w:val="1"/>
          <w:color w:val="auto"/>
        </w:rPr>
        <w:t>Section 2.10(D)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 w:firstLine="645"/>
        <w:spacing w:after="0" w:line="264" w:lineRule="auto"/>
        <w:tabs>
          <w:tab w:leader="none" w:pos="13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Upon the satisfaction of the requirements of this Indenture to effect a transfer or exchange of any Physical Note (such Physical Note being referred to as the “old Physical Note” for purposes of this </w:t>
      </w:r>
      <w:r>
        <w:rPr>
          <w:rFonts w:ascii="Arial" w:cs="Arial" w:eastAsia="Arial" w:hAnsi="Arial"/>
          <w:sz w:val="18"/>
          <w:szCs w:val="18"/>
          <w:b w:val="1"/>
          <w:bCs w:val="1"/>
          <w:color w:val="auto"/>
        </w:rPr>
        <w:t>Section 2.10(C)(ii)</w:t>
      </w:r>
      <w:r>
        <w:rPr>
          <w:rFonts w:ascii="Arial" w:cs="Arial" w:eastAsia="Arial" w:hAnsi="Arial"/>
          <w:sz w:val="18"/>
          <w:szCs w:val="18"/>
          <w:color w:val="auto"/>
        </w:rPr>
        <w:t>) of a Holder (or any portion of such old Physical Note in an Authorized Denomination):</w:t>
      </w:r>
    </w:p>
    <w:p>
      <w:pPr>
        <w:spacing w:after="0" w:line="177" w:lineRule="exact"/>
        <w:rPr>
          <w:rFonts w:ascii="Arial" w:cs="Arial" w:eastAsia="Arial" w:hAnsi="Arial"/>
          <w:sz w:val="18"/>
          <w:szCs w:val="18"/>
          <w:color w:val="auto"/>
        </w:rPr>
      </w:pPr>
    </w:p>
    <w:p>
      <w:pPr>
        <w:ind w:left="1944" w:hanging="647"/>
        <w:spacing w:after="0"/>
        <w:tabs>
          <w:tab w:leader="none" w:pos="1944"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such old Physical Note will be promptly cancelled pursuant to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4" w:right="60" w:firstLine="653"/>
        <w:spacing w:after="0" w:line="277" w:lineRule="auto"/>
        <w:tabs>
          <w:tab w:leader="none" w:pos="1947"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if such old Physical Note is to be transferred or exchanged only in part, then the Company will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one or more Physical</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30" w:name="page31"/>
    <w:bookmarkEnd w:id="30"/>
    <w:p>
      <w:pPr>
        <w:ind w:right="80"/>
        <w:spacing w:after="0" w:line="342" w:lineRule="auto"/>
        <w:rPr>
          <w:sz w:val="20"/>
          <w:szCs w:val="20"/>
          <w:color w:val="auto"/>
        </w:rPr>
      </w:pPr>
      <w:r>
        <w:rPr>
          <w:rFonts w:ascii="Arial" w:cs="Arial" w:eastAsia="Arial" w:hAnsi="Arial"/>
          <w:sz w:val="16"/>
          <w:szCs w:val="16"/>
          <w:color w:val="auto"/>
        </w:rPr>
        <w:t xml:space="preserve">Notes that (x) are in Authorized Denominations and have an aggregate principal amount equal to the principal amount of such old Physical Note not to be transferred or exchanged; (y) are registered in the name of such Holder; and (z)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w:t>
      </w:r>
    </w:p>
    <w:p>
      <w:pPr>
        <w:spacing w:after="0" w:line="124" w:lineRule="exact"/>
        <w:rPr>
          <w:sz w:val="20"/>
          <w:szCs w:val="20"/>
          <w:color w:val="auto"/>
        </w:rPr>
      </w:pPr>
    </w:p>
    <w:p>
      <w:pPr>
        <w:ind w:left="1940" w:hanging="647"/>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 transfer:</w:t>
      </w:r>
    </w:p>
    <w:p>
      <w:pPr>
        <w:spacing w:after="0" w:line="225" w:lineRule="exact"/>
        <w:rPr>
          <w:rFonts w:ascii="Arial" w:cs="Arial" w:eastAsia="Arial" w:hAnsi="Arial"/>
          <w:sz w:val="18"/>
          <w:szCs w:val="18"/>
          <w:color w:val="auto"/>
        </w:rPr>
      </w:pPr>
    </w:p>
    <w:p>
      <w:pPr>
        <w:ind w:left="1300" w:firstLine="641"/>
        <w:spacing w:after="0" w:line="283" w:lineRule="auto"/>
        <w:tabs>
          <w:tab w:leader="none" w:pos="25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transfer cannot be so effected by notation on one or more existing Global Notes (whether because no Global Notes bearing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one or more Global Notes that</w:t>
      </w:r>
    </w:p>
    <w:p>
      <w:pPr>
        <w:spacing w:after="0" w:line="6" w:lineRule="exact"/>
        <w:rPr>
          <w:rFonts w:ascii="Arial" w:cs="Arial" w:eastAsia="Arial" w:hAnsi="Arial"/>
          <w:sz w:val="16"/>
          <w:szCs w:val="16"/>
          <w:color w:val="auto"/>
        </w:rPr>
      </w:pPr>
    </w:p>
    <w:p>
      <w:pPr>
        <w:ind w:left="1300" w:right="2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(x) are in Authorized Denominations and have an aggregate principal amount equal to the principal amount to be so transferred; and (y) bear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 and</w:t>
      </w:r>
    </w:p>
    <w:p>
      <w:pPr>
        <w:spacing w:after="0" w:line="183" w:lineRule="exact"/>
        <w:rPr>
          <w:rFonts w:ascii="Arial" w:cs="Arial" w:eastAsia="Arial" w:hAnsi="Arial"/>
          <w:sz w:val="16"/>
          <w:szCs w:val="16"/>
          <w:color w:val="auto"/>
        </w:rPr>
      </w:pPr>
    </w:p>
    <w:p>
      <w:pPr>
        <w:ind w:left="1300" w:right="40" w:firstLine="641"/>
        <w:spacing w:after="0" w:line="257" w:lineRule="auto"/>
        <w:tabs>
          <w:tab w:leader="none" w:pos="26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 and</w:t>
      </w:r>
    </w:p>
    <w:p>
      <w:pPr>
        <w:spacing w:after="0" w:line="188" w:lineRule="exact"/>
        <w:rPr>
          <w:rFonts w:ascii="Arial" w:cs="Arial" w:eastAsia="Arial" w:hAnsi="Arial"/>
          <w:sz w:val="18"/>
          <w:szCs w:val="18"/>
          <w:color w:val="auto"/>
        </w:rPr>
      </w:pPr>
    </w:p>
    <w:p>
      <w:pPr>
        <w:ind w:right="60" w:firstLine="1293"/>
        <w:spacing w:after="0" w:line="259" w:lineRule="auto"/>
        <w:tabs>
          <w:tab w:leader="none" w:pos="19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the case of an exchange, the Company will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1" w:name="page32"/>
    <w:bookmarkEnd w:id="31"/>
    <w:p>
      <w:pPr>
        <w:ind w:right="160" w:firstLine="656"/>
        <w:spacing w:after="0" w:line="277" w:lineRule="auto"/>
        <w:tabs>
          <w:tab w:leader="none" w:pos="131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Requirement to Deliver Documentation and Other Evidence. </w:t>
      </w:r>
      <w:r>
        <w:rPr>
          <w:rFonts w:ascii="Arial" w:cs="Arial" w:eastAsia="Arial" w:hAnsi="Arial"/>
          <w:sz w:val="18"/>
          <w:szCs w:val="18"/>
          <w:color w:val="auto"/>
        </w:rPr>
        <w:t>If a Holder of any Note that is identified by a “restricted” CUSIP number or</w:t>
      </w:r>
      <w:r>
        <w:rPr>
          <w:rFonts w:ascii="Arial" w:cs="Arial" w:eastAsia="Arial" w:hAnsi="Arial"/>
          <w:sz w:val="18"/>
          <w:szCs w:val="18"/>
          <w:i w:val="1"/>
          <w:iCs w:val="1"/>
          <w:color w:val="auto"/>
        </w:rPr>
        <w:t xml:space="preserve"> </w:t>
      </w:r>
      <w:r>
        <w:rPr>
          <w:rFonts w:ascii="Arial" w:cs="Arial" w:eastAsia="Arial" w:hAnsi="Arial"/>
          <w:sz w:val="18"/>
          <w:szCs w:val="18"/>
          <w:color w:val="auto"/>
        </w:rPr>
        <w:t>that bears a Restricted Note Legend or is a Transfer-Restricted Security requests to:</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cause such Note to be identified by an “unrestricted” CUSIP number;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remove such Restricted Note Legend; or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register the transfer of such Note to the name of another Person,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may reasonably require to determine that such identification, removal or transfer, as applicable, complies with the Securities Act and other applicable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certificates, documentation or evidence need be so delivered on and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 Neither the Trustee nor the Registrar will have any responsibility to determine whether any transfer complies with the Securities Act and other applicable securities laws.</w:t>
      </w:r>
    </w:p>
    <w:p>
      <w:pPr>
        <w:spacing w:after="0" w:line="167" w:lineRule="exact"/>
        <w:rPr>
          <w:sz w:val="20"/>
          <w:szCs w:val="20"/>
          <w:color w:val="auto"/>
        </w:rPr>
      </w:pPr>
    </w:p>
    <w:p>
      <w:pPr>
        <w:ind w:firstLine="656"/>
        <w:spacing w:after="0" w:line="257" w:lineRule="auto"/>
        <w:tabs>
          <w:tab w:leader="none" w:pos="131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Transfers of Notes Subject to Repurchase or Conversion</w:t>
      </w:r>
      <w:r>
        <w:rPr>
          <w:rFonts w:ascii="Arial" w:cs="Arial" w:eastAsia="Arial" w:hAnsi="Arial"/>
          <w:sz w:val="18"/>
          <w:szCs w:val="18"/>
          <w:color w:val="auto"/>
        </w:rPr>
        <w:t>. Notwithstanding anything to the contrary in this Indenture or the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the Trustee and the Registrar will not be required to register the transfer of or exchange any Note that (i) has been surrendered for conversion, except to the extent that any portion of such Note is not subject to conversion; or (ii) is subject to a Fundamental Change Repurchase Notice validly delivered, and not withdrawn, pursuant to </w:t>
      </w:r>
      <w:r>
        <w:rPr>
          <w:rFonts w:ascii="Arial" w:cs="Arial" w:eastAsia="Arial" w:hAnsi="Arial"/>
          <w:sz w:val="18"/>
          <w:szCs w:val="18"/>
          <w:b w:val="1"/>
          <w:bCs w:val="1"/>
          <w:color w:val="auto"/>
        </w:rPr>
        <w:t>Section 4.02(F)</w:t>
      </w:r>
      <w:r>
        <w:rPr>
          <w:rFonts w:ascii="Arial" w:cs="Arial" w:eastAsia="Arial" w:hAnsi="Arial"/>
          <w:sz w:val="18"/>
          <w:szCs w:val="18"/>
          <w:color w:val="auto"/>
        </w:rPr>
        <w:t>, except to the extent that any portion of such Note is not subject to such notice or the Company fails to pay the applicable Fundamental Change Repurchase Price when due.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7"/>
          <w:szCs w:val="17"/>
          <w:b w:val="1"/>
          <w:bCs w:val="1"/>
          <w:color w:val="auto"/>
        </w:rPr>
        <w:t>EXCHANGE AND CANCELLATION OF NOTES TO BE CONVERTED OR REPURCHASED.</w:t>
      </w:r>
    </w:p>
    <w:p>
      <w:pPr>
        <w:spacing w:after="0" w:line="229" w:lineRule="exact"/>
        <w:rPr>
          <w:sz w:val="20"/>
          <w:szCs w:val="20"/>
          <w:color w:val="auto"/>
        </w:rPr>
      </w:pPr>
    </w:p>
    <w:p>
      <w:pPr>
        <w:ind w:firstLine="656"/>
        <w:spacing w:after="0" w:line="271" w:lineRule="auto"/>
        <w:tabs>
          <w:tab w:leader="none" w:pos="1317"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Partial Conversions and Repurchases of Physical Notes</w:t>
      </w:r>
      <w:r>
        <w:rPr>
          <w:rFonts w:ascii="Arial" w:cs="Arial" w:eastAsia="Arial" w:hAnsi="Arial"/>
          <w:sz w:val="17"/>
          <w:szCs w:val="17"/>
          <w:color w:val="auto"/>
        </w:rPr>
        <w:t>. If only a portion of a Physical Note of a Holder is to be converted pursuant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 xml:space="preserve">Article 5 </w:t>
      </w:r>
      <w:r>
        <w:rPr>
          <w:rFonts w:ascii="Arial" w:cs="Arial" w:eastAsia="Arial" w:hAnsi="Arial"/>
          <w:sz w:val="17"/>
          <w:szCs w:val="17"/>
          <w:color w:val="auto"/>
        </w:rPr>
        <w:t>or repurchased pursuant to a Repurchase Upon Fundamental Change, then, as soon as reasonably practicable after such Physical Note is surrendered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such conversion or repurchase, the Company will cause such Physical Note to be exchanged, pursuant and subject to </w:t>
      </w:r>
      <w:r>
        <w:rPr>
          <w:rFonts w:ascii="Arial" w:cs="Arial" w:eastAsia="Arial" w:hAnsi="Arial"/>
          <w:sz w:val="17"/>
          <w:szCs w:val="17"/>
          <w:b w:val="1"/>
          <w:bCs w:val="1"/>
          <w:color w:val="auto"/>
        </w:rPr>
        <w:t>Section 2.10(C)</w:t>
      </w:r>
      <w:r>
        <w:rPr>
          <w:rFonts w:ascii="Arial" w:cs="Arial" w:eastAsia="Arial" w:hAnsi="Arial"/>
          <w:sz w:val="17"/>
          <w:szCs w:val="17"/>
          <w:color w:val="auto"/>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Physical Note referred to in this clause (ii) need not be issued at any time after which such principal amount subject to such conversion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repurchase, as applicable, is deemed to cease to be outstanding pursuant to </w:t>
      </w:r>
      <w:r>
        <w:rPr>
          <w:rFonts w:ascii="Arial" w:cs="Arial" w:eastAsia="Arial" w:hAnsi="Arial"/>
          <w:sz w:val="18"/>
          <w:szCs w:val="18"/>
          <w:b w:val="1"/>
          <w:bCs w:val="1"/>
          <w:color w:val="auto"/>
        </w:rPr>
        <w:t>Section 2.18</w:t>
      </w:r>
      <w:r>
        <w:rPr>
          <w:rFonts w:ascii="Arial" w:cs="Arial" w:eastAsia="Arial" w:hAnsi="Arial"/>
          <w:sz w:val="18"/>
          <w:szCs w:val="18"/>
          <w:color w:val="auto"/>
        </w:rPr>
        <w:t>.</w:t>
      </w:r>
    </w:p>
    <w:p>
      <w:pPr>
        <w:spacing w:after="0" w:line="229" w:lineRule="exact"/>
        <w:rPr>
          <w:sz w:val="20"/>
          <w:szCs w:val="20"/>
          <w:color w:val="auto"/>
        </w:rPr>
      </w:pPr>
    </w:p>
    <w:p>
      <w:pPr>
        <w:ind w:left="1320" w:hanging="66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Cancellation of Converted and Repurchased Notes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right="20" w:firstLine="645"/>
        <w:spacing w:after="0" w:line="285" w:lineRule="auto"/>
        <w:tabs>
          <w:tab w:leader="none" w:pos="1978"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Physical Notes</w:t>
      </w:r>
      <w:r>
        <w:rPr>
          <w:rFonts w:ascii="Arial" w:cs="Arial" w:eastAsia="Arial" w:hAnsi="Arial"/>
          <w:sz w:val="16"/>
          <w:szCs w:val="16"/>
          <w:color w:val="auto"/>
        </w:rPr>
        <w:t>. If a Physical Note (or any portion thereof that has not theretofore been exchanged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2.11(A)</w:t>
      </w:r>
      <w:r>
        <w:rPr>
          <w:rFonts w:ascii="Arial" w:cs="Arial" w:eastAsia="Arial" w:hAnsi="Arial"/>
          <w:sz w:val="16"/>
          <w:szCs w:val="16"/>
          <w:color w:val="auto"/>
        </w:rPr>
        <w: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Holder is to be converted pursuant to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repurchased pursuant to a Repurchase Upon Fundamental Change, then, promptly after the later of the time such Physical Note (or such portion) is deemed to cease to be outstanding pursuant to </w:t>
      </w:r>
      <w:r>
        <w:rPr>
          <w:rFonts w:ascii="Arial" w:cs="Arial" w:eastAsia="Arial" w:hAnsi="Arial"/>
          <w:sz w:val="16"/>
          <w:szCs w:val="16"/>
          <w:b w:val="1"/>
          <w:bCs w:val="1"/>
          <w:color w:val="auto"/>
        </w:rPr>
        <w:t>Section 2.18</w:t>
      </w:r>
      <w:r>
        <w:rPr>
          <w:rFonts w:ascii="Arial" w:cs="Arial" w:eastAsia="Arial" w:hAnsi="Arial"/>
          <w:sz w:val="16"/>
          <w:szCs w:val="16"/>
          <w:color w:val="auto"/>
        </w:rPr>
        <w:t xml:space="preserve"> and the time such Physical Note is surrendered for such conversion or repurchase, as applicable, (1) such Physical Note will be cancelled pursuant to </w:t>
      </w:r>
      <w:r>
        <w:rPr>
          <w:rFonts w:ascii="Arial" w:cs="Arial" w:eastAsia="Arial" w:hAnsi="Arial"/>
          <w:sz w:val="16"/>
          <w:szCs w:val="16"/>
          <w:b w:val="1"/>
          <w:bCs w:val="1"/>
          <w:color w:val="auto"/>
        </w:rPr>
        <w:t>Section 2.15</w:t>
      </w:r>
      <w:r>
        <w:rPr>
          <w:rFonts w:ascii="Arial" w:cs="Arial" w:eastAsia="Arial" w:hAnsi="Arial"/>
          <w:sz w:val="16"/>
          <w:szCs w:val="16"/>
          <w:color w:val="auto"/>
        </w:rPr>
        <w:t xml:space="preserve">; and (2) in the case of a partial conversion or repurchase, the Company will issue, execute and deliver to such Holder,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one or more Physical Notes that (x) are in Authorized Denominations and have an aggregate principal amount equal to the principal amount of such Physical Note that is not to be so converted or repurchased; (y) are registered in the name of such Holder;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(z) bear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w:t>
      </w:r>
    </w:p>
    <w:p>
      <w:pPr>
        <w:spacing w:after="0" w:line="207" w:lineRule="exact"/>
        <w:rPr>
          <w:sz w:val="20"/>
          <w:szCs w:val="20"/>
          <w:color w:val="auto"/>
        </w:rPr>
      </w:pPr>
    </w:p>
    <w:p>
      <w:pPr>
        <w:ind w:left="660" w:right="180" w:firstLine="645"/>
        <w:spacing w:after="0" w:line="256" w:lineRule="auto"/>
        <w:tabs>
          <w:tab w:leader="none" w:pos="1987"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If a Global Note (or any portion thereof) is to be converted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5</w:t>
      </w:r>
      <w:r>
        <w:rPr>
          <w:rFonts w:ascii="Arial" w:cs="Arial" w:eastAsia="Arial" w:hAnsi="Arial"/>
          <w:sz w:val="18"/>
          <w:szCs w:val="18"/>
          <w:i w:val="1"/>
          <w:iCs w:val="1"/>
          <w:color w:val="auto"/>
        </w:rPr>
        <w:t xml:space="preserve"> </w:t>
      </w:r>
      <w:r>
        <w:rPr>
          <w:rFonts w:ascii="Arial" w:cs="Arial" w:eastAsia="Arial" w:hAnsi="Arial"/>
          <w:sz w:val="18"/>
          <w:szCs w:val="18"/>
          <w:color w:val="auto"/>
        </w:rPr>
        <w:t>or repurchased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Repurchase Upon Fundamental Change, then, promptly after the time such Note (or such portion) is deemed to cease to be outstanding pursuant to </w:t>
      </w:r>
      <w:r>
        <w:rPr>
          <w:rFonts w:ascii="Arial" w:cs="Arial" w:eastAsia="Arial" w:hAnsi="Arial"/>
          <w:sz w:val="18"/>
          <w:szCs w:val="18"/>
          <w:b w:val="1"/>
          <w:bCs w:val="1"/>
          <w:color w:val="auto"/>
        </w:rPr>
        <w:t>Section 2.18</w:t>
      </w:r>
      <w:r>
        <w:rPr>
          <w:rFonts w:ascii="Arial" w:cs="Arial" w:eastAsia="Arial" w:hAnsi="Arial"/>
          <w:sz w:val="18"/>
          <w:szCs w:val="18"/>
          <w:color w:val="auto"/>
        </w:rPr>
        <w:t>, the Trustee will reflect a decrease of the principal amount of such Global Note in an amount equal to the principal amount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18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7"/>
          <w:szCs w:val="17"/>
          <w:b w:val="1"/>
          <w:bCs w:val="1"/>
          <w:color w:val="auto"/>
        </w:rPr>
        <w:t>REMOVAL OF TRANSFER RESTRICTIONS.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Without limiting the generality of any other provision of this Indenture (including </w:t>
      </w:r>
      <w:r>
        <w:rPr>
          <w:rFonts w:ascii="Arial" w:cs="Arial" w:eastAsia="Arial" w:hAnsi="Arial"/>
          <w:sz w:val="17"/>
          <w:szCs w:val="17"/>
          <w:b w:val="1"/>
          <w:bCs w:val="1"/>
          <w:color w:val="auto"/>
        </w:rPr>
        <w:t>Section 3.04</w:t>
      </w:r>
      <w:r>
        <w:rPr>
          <w:rFonts w:ascii="Arial" w:cs="Arial" w:eastAsia="Arial" w:hAnsi="Arial"/>
          <w:sz w:val="17"/>
          <w:szCs w:val="17"/>
          <w:color w:val="auto"/>
        </w:rPr>
        <w:t xml:space="preserve">), the Restricted Note Legend affixed to any Note will be deemed, pursuant to this </w:t>
      </w:r>
      <w:r>
        <w:rPr>
          <w:rFonts w:ascii="Arial" w:cs="Arial" w:eastAsia="Arial" w:hAnsi="Arial"/>
          <w:sz w:val="17"/>
          <w:szCs w:val="17"/>
          <w:b w:val="1"/>
          <w:bCs w:val="1"/>
          <w:color w:val="auto"/>
        </w:rPr>
        <w:t>Section 2.12</w:t>
      </w:r>
      <w:r>
        <w:rPr>
          <w:rFonts w:ascii="Arial" w:cs="Arial" w:eastAsia="Arial" w:hAnsi="Arial"/>
          <w:sz w:val="17"/>
          <w:szCs w:val="17"/>
          <w:color w:val="auto"/>
        </w:rPr>
        <w:t xml:space="preserve"> and the footnote to such Restricted Note Legend, to be removed therefrom upon the Company’s delivery to the Trustee of notice and an Officer’s Certificate, signed on behalf of the Company by one (1) of its Officers, to such effect (and, for the avoidance of doubt, such notice need not be accompanied by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Arial" w:cs="Arial" w:eastAsia="Arial" w:hAnsi="Arial"/>
          <w:sz w:val="17"/>
          <w:szCs w:val="17"/>
          <w:b w:val="1"/>
          <w:bCs w:val="1"/>
          <w:color w:val="auto"/>
        </w:rPr>
        <w:t>Section 2.12</w:t>
      </w:r>
      <w:r>
        <w:rPr>
          <w:rFonts w:ascii="Arial" w:cs="Arial" w:eastAsia="Arial" w:hAnsi="Arial"/>
          <w:sz w:val="17"/>
          <w:szCs w:val="17"/>
          <w:color w:val="auto"/>
        </w:rPr>
        <w:t xml:space="preserve"> and the footnotes to the CUSIP and ISIN numbers set forth on the face of the certificate representing such Note, to thereafter bear the “unrestricted” CUSIP and ISIN numbers identified in such footnotes;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Arial" w:cs="Arial" w:eastAsia="Arial" w:hAnsi="Arial"/>
          <w:sz w:val="17"/>
          <w:szCs w:val="17"/>
          <w:b w:val="1"/>
          <w:bCs w:val="1"/>
          <w:color w:val="auto"/>
        </w:rPr>
        <w:t xml:space="preserve">Section 3.04 </w:t>
      </w:r>
      <w:r>
        <w:rPr>
          <w:rFonts w:ascii="Arial" w:cs="Arial" w:eastAsia="Arial" w:hAnsi="Arial"/>
          <w:sz w:val="17"/>
          <w:szCs w:val="17"/>
          <w:color w:val="auto"/>
        </w:rPr>
        <w:t>and the definition of Freely Tradable, such Global Note will not be deemed to be identified by “unrestricted” CUSIP and ISIN numbers until</w:t>
      </w:r>
      <w:r>
        <w:rPr>
          <w:rFonts w:ascii="Arial" w:cs="Arial" w:eastAsia="Arial" w:hAnsi="Arial"/>
          <w:sz w:val="17"/>
          <w:szCs w:val="17"/>
          <w:b w:val="1"/>
          <w:bCs w:val="1"/>
          <w:color w:val="auto"/>
        </w:rPr>
        <w:t xml:space="preserve"> </w:t>
      </w:r>
      <w:r>
        <w:rPr>
          <w:rFonts w:ascii="Arial" w:cs="Arial" w:eastAsia="Arial" w:hAnsi="Arial"/>
          <w:sz w:val="17"/>
          <w:szCs w:val="17"/>
          <w:color w:val="auto"/>
        </w:rPr>
        <w:t>such time as such exchange or procedure is effected.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spacing w:after="0"/>
        <w:tabs>
          <w:tab w:leader="none" w:pos="130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8"/>
          <w:szCs w:val="18"/>
          <w:b w:val="1"/>
          <w:bCs w:val="1"/>
          <w:color w:val="auto"/>
        </w:rPr>
        <w:t>REPLACEMENT NOTES.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reasonably satisfactory to the Company and the Trustee to protect the Company and the Trustee from any loss that any of them may suffer if such Note is replaced.</w:t>
      </w:r>
    </w:p>
    <w:p>
      <w:pPr>
        <w:spacing w:after="0" w:line="189"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 xml:space="preserve">Every replacement Note issued pursuant to this </w:t>
      </w:r>
      <w:r>
        <w:rPr>
          <w:rFonts w:ascii="Arial" w:cs="Arial" w:eastAsia="Arial" w:hAnsi="Arial"/>
          <w:sz w:val="18"/>
          <w:szCs w:val="18"/>
          <w:b w:val="1"/>
          <w:bCs w:val="1"/>
          <w:color w:val="auto"/>
        </w:rPr>
        <w:t>Section 2.13</w:t>
      </w:r>
      <w:r>
        <w:rPr>
          <w:rFonts w:ascii="Arial" w:cs="Arial" w:eastAsia="Arial" w:hAnsi="Arial"/>
          <w:sz w:val="18"/>
          <w:szCs w:val="18"/>
          <w:color w:val="auto"/>
        </w:rPr>
        <w:t xml:space="preserve"> will be an additional obligation of the Company and will be entitled to all of the benefits of this Indenture equally and ratably with all other Notes issued under this Indenture.</w:t>
      </w:r>
    </w:p>
    <w:p>
      <w:pPr>
        <w:spacing w:after="0" w:line="16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8"/>
          <w:szCs w:val="18"/>
          <w:b w:val="1"/>
          <w:bCs w:val="1"/>
          <w:color w:val="auto"/>
        </w:rPr>
        <w:t>REGISTERED HOLDERS; CERTAIN RIGHTS WITH RESPECT TO GLOBAL NOTES.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8"/>
          <w:szCs w:val="18"/>
          <w:b w:val="1"/>
          <w:bCs w:val="1"/>
          <w:color w:val="auto"/>
        </w:rPr>
        <w:t>CANCELLATION.</w:t>
      </w:r>
    </w:p>
    <w:p>
      <w:pPr>
        <w:spacing w:after="0" w:line="225"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 3.08</w:t>
      </w:r>
      <w:r>
        <w:rPr>
          <w:rFonts w:ascii="Arial" w:cs="Arial" w:eastAsia="Arial" w:hAnsi="Arial"/>
          <w:sz w:val="18"/>
          <w:szCs w:val="18"/>
          <w:color w:val="auto"/>
        </w:rPr>
        <w:t xml:space="preserve">, 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Arial" w:cs="Arial" w:eastAsia="Arial" w:hAnsi="Arial"/>
          <w:sz w:val="18"/>
          <w:szCs w:val="18"/>
          <w:b w:val="1"/>
          <w:bCs w:val="1"/>
          <w:color w:val="auto"/>
        </w:rPr>
        <w:t>Section 2.03(B)</w:t>
      </w:r>
      <w:r>
        <w:rPr>
          <w:rFonts w:ascii="Arial" w:cs="Arial" w:eastAsia="Arial" w:hAnsi="Arial"/>
          <w:sz w:val="18"/>
          <w:szCs w:val="18"/>
          <w:color w:val="auto"/>
        </w:rPr>
        <w:t>, the Company may not originally issue new Notes to replace Notes that it has paid or that have been cancelled upon transfer, exchange, payment or conversion.</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8"/>
          <w:szCs w:val="18"/>
          <w:b w:val="1"/>
          <w:bCs w:val="1"/>
          <w:color w:val="auto"/>
        </w:rPr>
        <w:t>NOTES HELD BY THE COMPANY OR ITS AFFILIATES.</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 3.08</w:t>
      </w:r>
      <w:r>
        <w:rPr>
          <w:rFonts w:ascii="Arial" w:cs="Arial" w:eastAsia="Arial" w:hAnsi="Arial"/>
          <w:sz w:val="18"/>
          <w:szCs w:val="18"/>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determining whether the Trustee 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protected in relying on any such direction, waiver or consent, only Notes that the Trustee knows are so owned will be so disregarded.</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2.17.</w:t>
      </w:r>
      <w:r>
        <w:rPr>
          <w:sz w:val="20"/>
          <w:szCs w:val="20"/>
          <w:color w:val="auto"/>
        </w:rPr>
        <w:tab/>
      </w:r>
      <w:r>
        <w:rPr>
          <w:rFonts w:ascii="Arial" w:cs="Arial" w:eastAsia="Arial" w:hAnsi="Arial"/>
          <w:sz w:val="17"/>
          <w:szCs w:val="17"/>
          <w:b w:val="1"/>
          <w:bCs w:val="1"/>
          <w:color w:val="auto"/>
        </w:rPr>
        <w:t>TEMPORARY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Until definitive Notes are ready for delivery, the Company may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definitive Notes in exchange for temporary Notes. Until so exchanged, each temporary Note will in all respects be entitled to the same benefits under this Indenture as definitive Notes.</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2.18.</w:t>
      </w:r>
      <w:r>
        <w:rPr>
          <w:sz w:val="20"/>
          <w:szCs w:val="20"/>
          <w:color w:val="auto"/>
        </w:rPr>
        <w:tab/>
      </w:r>
      <w:r>
        <w:rPr>
          <w:rFonts w:ascii="Arial" w:cs="Arial" w:eastAsia="Arial" w:hAnsi="Arial"/>
          <w:sz w:val="17"/>
          <w:szCs w:val="17"/>
          <w:b w:val="1"/>
          <w:bCs w:val="1"/>
          <w:color w:val="auto"/>
        </w:rPr>
        <w:t>OUTSTANDING NOTES.</w:t>
      </w:r>
    </w:p>
    <w:p>
      <w:pPr>
        <w:spacing w:after="0" w:line="229" w:lineRule="exact"/>
        <w:rPr>
          <w:sz w:val="20"/>
          <w:szCs w:val="20"/>
          <w:color w:val="auto"/>
        </w:rPr>
      </w:pPr>
    </w:p>
    <w:p>
      <w:pPr>
        <w:ind w:right="40" w:firstLine="656"/>
        <w:spacing w:after="0" w:line="257" w:lineRule="auto"/>
        <w:tabs>
          <w:tab w:leader="none" w:pos="131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Notes that are outstanding at any time will be deemed to be those Notes that, at such time, have been duly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authenticated, excluding those Notes (or portions thereof) that have theretofore been (i) cancelled by the Trustee or delivered to the Trustee for cancellation in accordance with </w:t>
      </w:r>
      <w:r>
        <w:rPr>
          <w:rFonts w:ascii="Arial" w:cs="Arial" w:eastAsia="Arial" w:hAnsi="Arial"/>
          <w:sz w:val="18"/>
          <w:szCs w:val="18"/>
          <w:b w:val="1"/>
          <w:bCs w:val="1"/>
          <w:color w:val="auto"/>
        </w:rPr>
        <w:t>Section 2.15</w:t>
      </w:r>
      <w:r>
        <w:rPr>
          <w:rFonts w:ascii="Arial" w:cs="Arial" w:eastAsia="Arial" w:hAnsi="Arial"/>
          <w:sz w:val="18"/>
          <w:szCs w:val="18"/>
          <w:color w:val="auto"/>
        </w:rPr>
        <w:t xml:space="preserve">; (ii) assigned a principal amount of zero by notation on the “Schedule of Exchanges of Interests in the Global Note” forming part of any a Global Note representing such Note; (iii) paid in full in accordance with this Indenture; or (iv) deemed to cease to be outstanding to the extent provided in, and subject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8"/>
          <w:szCs w:val="18"/>
          <w:color w:val="auto"/>
        </w:rPr>
        <w:t xml:space="preserve"> or </w:t>
      </w:r>
      <w:r>
        <w:rPr>
          <w:rFonts w:ascii="Arial" w:cs="Arial" w:eastAsia="Arial" w:hAnsi="Arial"/>
          <w:sz w:val="18"/>
          <w:szCs w:val="18"/>
          <w:b w:val="1"/>
          <w:bCs w:val="1"/>
          <w:color w:val="auto"/>
        </w:rPr>
        <w:t>(D)</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2.18</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80" w:firstLine="656"/>
        <w:spacing w:after="0" w:line="347" w:lineRule="auto"/>
        <w:tabs>
          <w:tab w:leader="none" w:pos="1307"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Replaced Notes</w:t>
      </w:r>
      <w:r>
        <w:rPr>
          <w:rFonts w:ascii="Arial" w:cs="Arial" w:eastAsia="Arial" w:hAnsi="Arial"/>
          <w:sz w:val="16"/>
          <w:szCs w:val="16"/>
          <w:color w:val="auto"/>
        </w:rPr>
        <w:t>. If a Note is replaced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2.13</w:t>
      </w:r>
      <w:r>
        <w:rPr>
          <w:rFonts w:ascii="Arial" w:cs="Arial" w:eastAsia="Arial" w:hAnsi="Arial"/>
          <w:sz w:val="16"/>
          <w:szCs w:val="16"/>
          <w:color w:val="auto"/>
        </w:rPr>
        <w:t>, then such Note will cease to be outstanding at the time of its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Trustee and the Company receive proof reasonably satisfactory to them that such Note is held by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purchaser” under applicable law.</w:t>
      </w:r>
    </w:p>
    <w:p>
      <w:pPr>
        <w:spacing w:after="0" w:line="120" w:lineRule="exact"/>
        <w:rPr>
          <w:rFonts w:ascii="Arial" w:cs="Arial" w:eastAsia="Arial" w:hAnsi="Arial"/>
          <w:sz w:val="16"/>
          <w:szCs w:val="16"/>
          <w:color w:val="auto"/>
        </w:rPr>
      </w:pPr>
    </w:p>
    <w:p>
      <w:pPr>
        <w:ind w:right="80" w:firstLine="656"/>
        <w:spacing w:after="0" w:line="272" w:lineRule="auto"/>
        <w:tabs>
          <w:tab w:leader="none" w:pos="1307"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Maturing Notes and Notes Subject to Repurchase</w:t>
      </w:r>
      <w:r>
        <w:rPr>
          <w:rFonts w:ascii="Arial" w:cs="Arial" w:eastAsia="Arial" w:hAnsi="Arial"/>
          <w:sz w:val="17"/>
          <w:szCs w:val="17"/>
          <w:color w:val="auto"/>
        </w:rPr>
        <w:t>. If, on a Fundamental Change Repurchase Date or the Maturity Date, the Paying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holds money sufficient to pay the aggregate Fundamental Change Repurchase Price or principal amount, respectively, together, in each case, with the aggregate interest, in each case due on such date, then (unless there occurs a Default in the payment of any such amount) (i) the Notes (or portions thereof) to be repurchased, or that mature, on such date will be deemed, as of such date, to cease to be outstanding, except to the extent provided in </w:t>
      </w:r>
      <w:r>
        <w:rPr>
          <w:rFonts w:ascii="Arial" w:cs="Arial" w:eastAsia="Arial" w:hAnsi="Arial"/>
          <w:sz w:val="17"/>
          <w:szCs w:val="17"/>
          <w:b w:val="1"/>
          <w:bCs w:val="1"/>
          <w:color w:val="auto"/>
        </w:rPr>
        <w:t>Sections 4.02(D)</w:t>
      </w:r>
      <w:r>
        <w:rPr>
          <w:rFonts w:ascii="Arial" w:cs="Arial" w:eastAsia="Arial" w:hAnsi="Arial"/>
          <w:sz w:val="17"/>
          <w:szCs w:val="17"/>
          <w:color w:val="auto"/>
        </w:rPr>
        <w:t xml:space="preserve"> or </w:t>
      </w:r>
      <w:r>
        <w:rPr>
          <w:rFonts w:ascii="Arial" w:cs="Arial" w:eastAsia="Arial" w:hAnsi="Arial"/>
          <w:sz w:val="17"/>
          <w:szCs w:val="17"/>
          <w:b w:val="1"/>
          <w:bCs w:val="1"/>
          <w:color w:val="auto"/>
        </w:rPr>
        <w:t>5.02(D)</w:t>
      </w:r>
      <w:r>
        <w:rPr>
          <w:rFonts w:ascii="Arial" w:cs="Arial" w:eastAsia="Arial" w:hAnsi="Arial"/>
          <w:sz w:val="17"/>
          <w:szCs w:val="17"/>
          <w:color w:val="auto"/>
        </w:rPr>
        <w:t>; and (ii) the rights of the Holders of such Notes (or such portions thereof), as such, will terminate with respect to such Notes (or such portions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other than the right to receive the Fundamental Change Repurchase Price or principal amount, as applicable, of, and accrued and unpaid interest on, such Notes (or such portions thereof), in each case as provided in this Indenture.</w:t>
      </w:r>
    </w:p>
    <w:p>
      <w:pPr>
        <w:spacing w:after="0" w:line="177" w:lineRule="exact"/>
        <w:rPr>
          <w:rFonts w:ascii="Arial" w:cs="Arial" w:eastAsia="Arial" w:hAnsi="Arial"/>
          <w:sz w:val="17"/>
          <w:szCs w:val="17"/>
          <w:color w:val="auto"/>
        </w:rPr>
      </w:pPr>
    </w:p>
    <w:p>
      <w:pPr>
        <w:ind w:right="140" w:firstLine="656"/>
        <w:spacing w:after="0" w:line="286" w:lineRule="auto"/>
        <w:tabs>
          <w:tab w:leader="none" w:pos="1317"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Notes to Be Converted</w:t>
      </w:r>
      <w:r>
        <w:rPr>
          <w:rFonts w:ascii="Arial" w:cs="Arial" w:eastAsia="Arial" w:hAnsi="Arial"/>
          <w:sz w:val="17"/>
          <w:szCs w:val="17"/>
          <w:color w:val="auto"/>
        </w:rPr>
        <w:t>. At the Close of Business on the Conversion Date for any Note (or any portion thereof) to be converted, such Note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such portion) will (unless there occurs a Default in the delivery of the Conversion Consideration or interest due, pursuant to </w:t>
      </w:r>
      <w:r>
        <w:rPr>
          <w:rFonts w:ascii="Arial" w:cs="Arial" w:eastAsia="Arial" w:hAnsi="Arial"/>
          <w:sz w:val="17"/>
          <w:szCs w:val="17"/>
          <w:b w:val="1"/>
          <w:bCs w:val="1"/>
          <w:color w:val="auto"/>
        </w:rPr>
        <w:t>Section 5.03(B)</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5.02(D)</w:t>
      </w:r>
      <w:r>
        <w:rPr>
          <w:rFonts w:ascii="Arial" w:cs="Arial" w:eastAsia="Arial" w:hAnsi="Arial"/>
          <w:sz w:val="17"/>
          <w:szCs w:val="17"/>
          <w:color w:val="auto"/>
        </w:rPr>
        <w:t>, upon such conversion) be deemed to cease to be outstanding, except to the extent provided in</w:t>
      </w:r>
      <w:r>
        <w:rPr>
          <w:rFonts w:ascii="Arial" w:cs="Arial" w:eastAsia="Arial" w:hAnsi="Arial"/>
          <w:sz w:val="17"/>
          <w:szCs w:val="17"/>
          <w:b w:val="1"/>
          <w:bCs w:val="1"/>
          <w:color w:val="auto"/>
        </w:rPr>
        <w:t xml:space="preserve"> Section 5.02(D) </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20" w:firstLine="656"/>
        <w:spacing w:after="0" w:line="266" w:lineRule="auto"/>
        <w:tabs>
          <w:tab w:leader="none" w:pos="131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Cessation of Accrual of Interest</w:t>
      </w:r>
      <w:r>
        <w:rPr>
          <w:rFonts w:ascii="Arial" w:cs="Arial" w:eastAsia="Arial" w:hAnsi="Arial"/>
          <w:sz w:val="18"/>
          <w:szCs w:val="18"/>
          <w:color w:val="auto"/>
        </w:rPr>
        <w:t>. Except as provided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4.02(D)</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5.02(D)</w:t>
      </w:r>
      <w:r>
        <w:rPr>
          <w:rFonts w:ascii="Arial" w:cs="Arial" w:eastAsia="Arial" w:hAnsi="Arial"/>
          <w:sz w:val="18"/>
          <w:szCs w:val="18"/>
          <w:color w:val="auto"/>
        </w:rPr>
        <w:t>, interest will cease to accrue on each Note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the date that such Note is deemed, pursuant to this </w:t>
      </w:r>
      <w:r>
        <w:rPr>
          <w:rFonts w:ascii="Arial" w:cs="Arial" w:eastAsia="Arial" w:hAnsi="Arial"/>
          <w:sz w:val="18"/>
          <w:szCs w:val="18"/>
          <w:b w:val="1"/>
          <w:bCs w:val="1"/>
          <w:color w:val="auto"/>
        </w:rPr>
        <w:t>Section 2.18</w:t>
      </w:r>
      <w:r>
        <w:rPr>
          <w:rFonts w:ascii="Arial" w:cs="Arial" w:eastAsia="Arial" w:hAnsi="Arial"/>
          <w:sz w:val="18"/>
          <w:szCs w:val="18"/>
          <w:color w:val="auto"/>
        </w:rPr>
        <w:t>, to cease to be outstanding, unless there occurs a default in the payment or delivery of any cash or other property due on such Note.</w:t>
      </w:r>
    </w:p>
    <w:p>
      <w:pPr>
        <w:spacing w:after="0" w:line="17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2.19.</w:t>
      </w:r>
      <w:r>
        <w:rPr>
          <w:sz w:val="20"/>
          <w:szCs w:val="20"/>
          <w:color w:val="auto"/>
        </w:rPr>
        <w:tab/>
      </w:r>
      <w:r>
        <w:rPr>
          <w:rFonts w:ascii="Arial" w:cs="Arial" w:eastAsia="Arial" w:hAnsi="Arial"/>
          <w:sz w:val="17"/>
          <w:szCs w:val="17"/>
          <w:b w:val="1"/>
          <w:bCs w:val="1"/>
          <w:color w:val="auto"/>
        </w:rPr>
        <w:t>REPURCHASES BY THE COMPANY.</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 2.15</w:t>
      </w:r>
      <w:r>
        <w:rPr>
          <w:rFonts w:ascii="Arial" w:cs="Arial" w:eastAsia="Arial" w:hAnsi="Arial"/>
          <w:sz w:val="18"/>
          <w:szCs w:val="18"/>
          <w:color w:val="auto"/>
        </w:rPr>
        <w:t>, the Company may, from time to time, repurchase Notes in open market purchases or in negotiated transactions without delivering prior notice to Holders.</w:t>
      </w:r>
    </w:p>
    <w:p>
      <w:pPr>
        <w:spacing w:after="0" w:line="16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2.20.</w:t>
      </w:r>
      <w:r>
        <w:rPr>
          <w:sz w:val="20"/>
          <w:szCs w:val="20"/>
          <w:color w:val="auto"/>
        </w:rPr>
        <w:tab/>
      </w:r>
      <w:r>
        <w:rPr>
          <w:rFonts w:ascii="Arial" w:cs="Arial" w:eastAsia="Arial" w:hAnsi="Arial"/>
          <w:sz w:val="17"/>
          <w:szCs w:val="17"/>
          <w:b w:val="1"/>
          <w:bCs w:val="1"/>
          <w:color w:val="auto"/>
        </w:rPr>
        <w:t>CUSIP AND ISIN NUMBERS.</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the Company may use one or more CUSIP or ISIN numbers to identify any of the Notes, and, if so, the Company and the Trustee will use such CUSIP or ISIN number(s) in notices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such notices state that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8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COVENANTS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7"/>
          <w:szCs w:val="17"/>
          <w:b w:val="1"/>
          <w:bCs w:val="1"/>
          <w:color w:val="auto"/>
        </w:rPr>
        <w:t>PAYMENT ON NOTES.</w:t>
      </w:r>
    </w:p>
    <w:p>
      <w:pPr>
        <w:spacing w:after="0" w:line="229" w:lineRule="exact"/>
        <w:rPr>
          <w:sz w:val="20"/>
          <w:szCs w:val="20"/>
          <w:color w:val="auto"/>
        </w:rPr>
      </w:pPr>
    </w:p>
    <w:p>
      <w:pPr>
        <w:ind w:right="180" w:firstLine="656"/>
        <w:spacing w:after="0" w:line="277" w:lineRule="auto"/>
        <w:tabs>
          <w:tab w:leader="none" w:pos="131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Company will pay or cause to be paid all the principal of, the Fundamental Change Repurchase Price for, interest on,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amounts due with respect to, the Notes on the dates and in the manner set forth in this Indenture.</w:t>
      </w:r>
    </w:p>
    <w:p>
      <w:pPr>
        <w:spacing w:after="0" w:line="170" w:lineRule="exact"/>
        <w:rPr>
          <w:rFonts w:ascii="Arial" w:cs="Arial" w:eastAsia="Arial" w:hAnsi="Arial"/>
          <w:sz w:val="18"/>
          <w:szCs w:val="18"/>
          <w:color w:val="auto"/>
        </w:rPr>
      </w:pPr>
    </w:p>
    <w:p>
      <w:pPr>
        <w:jc w:val="both"/>
        <w:ind w:right="60" w:firstLine="656"/>
        <w:spacing w:after="0" w:line="279" w:lineRule="auto"/>
        <w:tabs>
          <w:tab w:leader="none" w:pos="1307"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Deposit of Funds</w:t>
      </w:r>
      <w:r>
        <w:rPr>
          <w:rFonts w:ascii="Arial" w:cs="Arial" w:eastAsia="Arial" w:hAnsi="Arial"/>
          <w:sz w:val="17"/>
          <w:szCs w:val="17"/>
          <w:color w:val="auto"/>
        </w:rPr>
        <w:t>. Before 10:00 A.M., New York City time, on each Fundamental Change Repurchase Date or Interest Payment Date, and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upon written request, any money not required for such purpose.</w:t>
      </w:r>
    </w:p>
    <w:p>
      <w:pPr>
        <w:spacing w:after="0" w:line="16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7"/>
          <w:szCs w:val="17"/>
          <w:b w:val="1"/>
          <w:bCs w:val="1"/>
          <w:color w:val="auto"/>
        </w:rPr>
        <w:t>EXCHANGE ACT REPORTS.</w:t>
      </w:r>
    </w:p>
    <w:p>
      <w:pPr>
        <w:spacing w:after="0" w:line="229" w:lineRule="exact"/>
        <w:rPr>
          <w:sz w:val="20"/>
          <w:szCs w:val="20"/>
          <w:color w:val="auto"/>
        </w:rPr>
      </w:pPr>
    </w:p>
    <w:p>
      <w:pPr>
        <w:ind w:firstLine="656"/>
        <w:spacing w:after="0" w:line="273" w:lineRule="auto"/>
        <w:tabs>
          <w:tab w:leader="none" w:pos="1317"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The Company will send to the Trustee copies of all reports that the Company is required to file with the SEC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13(a) or 15(d) of the Exchange Act within fifteen (15) calendar days after the date that the Company is required to file the same (after giving effect to all applicable grace periods under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Trustee will provide to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right="140"/>
        <w:spacing w:after="0" w:line="282" w:lineRule="auto"/>
        <w:rPr>
          <w:sz w:val="20"/>
          <w:szCs w:val="20"/>
          <w:color w:val="auto"/>
        </w:rPr>
      </w:pPr>
      <w:r>
        <w:rPr>
          <w:rFonts w:ascii="Arial" w:cs="Arial" w:eastAsia="Arial" w:hAnsi="Arial"/>
          <w:sz w:val="18"/>
          <w:szCs w:val="18"/>
          <w:color w:val="auto"/>
        </w:rPr>
        <w:t xml:space="preserve">such Holder a copy of any report that the Company has sent the Trustee pursuant to this </w:t>
      </w:r>
      <w:r>
        <w:rPr>
          <w:rFonts w:ascii="Arial" w:cs="Arial" w:eastAsia="Arial" w:hAnsi="Arial"/>
          <w:sz w:val="18"/>
          <w:szCs w:val="18"/>
          <w:b w:val="1"/>
          <w:bCs w:val="1"/>
          <w:color w:val="auto"/>
        </w:rPr>
        <w:t>Section 3.02(A)</w:t>
      </w:r>
      <w:r>
        <w:rPr>
          <w:rFonts w:ascii="Arial" w:cs="Arial" w:eastAsia="Arial" w:hAnsi="Arial"/>
          <w:sz w:val="18"/>
          <w:szCs w:val="18"/>
          <w:color w:val="auto"/>
        </w:rPr>
        <w:t>, other than a report that is deemed to be sent to the Trustee pursuant to the preceding sentence.</w:t>
      </w:r>
    </w:p>
    <w:p>
      <w:pPr>
        <w:spacing w:after="0" w:line="166" w:lineRule="exact"/>
        <w:rPr>
          <w:sz w:val="20"/>
          <w:szCs w:val="20"/>
          <w:color w:val="auto"/>
        </w:rPr>
      </w:pPr>
    </w:p>
    <w:p>
      <w:pPr>
        <w:ind w:right="200" w:firstLine="656"/>
        <w:spacing w:after="0" w:line="302" w:lineRule="auto"/>
        <w:tabs>
          <w:tab w:leader="none" w:pos="130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Trustee’s Disclaimer</w:t>
      </w:r>
      <w:r>
        <w:rPr>
          <w:rFonts w:ascii="Arial" w:cs="Arial" w:eastAsia="Arial" w:hAnsi="Arial"/>
          <w:sz w:val="16"/>
          <w:szCs w:val="16"/>
          <w:color w:val="auto"/>
        </w:rPr>
        <w:t>. The Trustee need not determine whether the Company has filed any material via the EDGAR system (or such</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Delivery of reports, information and documents to the Trustee is for informational purposes only, and the Trustee’s receipt of the same will not constitute constructive or actual notice of any information contained therein or determinable from information contained therein, including the Company’s compliance with any of its covenants under this Indenture (as to which the Trustee is entitled to rely exclusively on Officer’s Certificates).</w:t>
      </w:r>
    </w:p>
    <w:p>
      <w:pPr>
        <w:spacing w:after="0" w:line="15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8"/>
          <w:szCs w:val="18"/>
          <w:b w:val="1"/>
          <w:bCs w:val="1"/>
          <w:color w:val="auto"/>
        </w:rPr>
        <w:t>RULE 144A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8"/>
          <w:szCs w:val="18"/>
          <w:b w:val="1"/>
          <w:bCs w:val="1"/>
          <w:color w:val="auto"/>
        </w:rPr>
        <w:t>ADDITIONAL INTEREST.</w:t>
      </w:r>
    </w:p>
    <w:p>
      <w:pPr>
        <w:spacing w:after="0" w:line="229" w:lineRule="exact"/>
        <w:rPr>
          <w:sz w:val="20"/>
          <w:szCs w:val="20"/>
          <w:color w:val="auto"/>
        </w:rPr>
      </w:pPr>
    </w:p>
    <w:p>
      <w:pPr>
        <w:ind w:left="1320" w:hanging="664"/>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Accrual of Additional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at any time during the six (6) month period beginning on, and including, the date that is six (6) months after the Last Original Issue Date of any Note,</w:t>
      </w:r>
    </w:p>
    <w:p>
      <w:pPr>
        <w:spacing w:after="0" w:line="170" w:lineRule="exact"/>
        <w:rPr>
          <w:rFonts w:ascii="Arial" w:cs="Arial" w:eastAsia="Arial" w:hAnsi="Arial"/>
          <w:sz w:val="18"/>
          <w:szCs w:val="18"/>
          <w:color w:val="auto"/>
        </w:rPr>
      </w:pPr>
    </w:p>
    <w:p>
      <w:pPr>
        <w:ind w:left="1300" w:right="240" w:firstLine="653"/>
        <w:spacing w:after="0" w:line="308" w:lineRule="auto"/>
        <w:tabs>
          <w:tab w:leader="none" w:pos="2604" w:val="left"/>
        </w:tabs>
        <w:numPr>
          <w:ilvl w:val="2"/>
          <w:numId w:val="31"/>
        </w:numPr>
        <w:rPr>
          <w:rFonts w:ascii="Arial" w:cs="Arial" w:eastAsia="Arial" w:hAnsi="Arial"/>
          <w:sz w:val="17"/>
          <w:szCs w:val="17"/>
          <w:color w:val="auto"/>
        </w:rPr>
      </w:pPr>
      <w:r>
        <w:rPr>
          <w:rFonts w:ascii="Arial" w:cs="Arial" w:eastAsia="Arial" w:hAnsi="Arial"/>
          <w:sz w:val="17"/>
          <w:szCs w:val="17"/>
          <w:color w:val="auto"/>
        </w:rPr>
        <w:t>the Company fails to timely file any report (other than Form 8-K reports) that the Company is required to file with the SEC pursuant to Section 13 or 15(d) of the Exchange Act (after giving effect to all applicable grace periods thereunder); or</w:t>
      </w:r>
    </w:p>
    <w:p>
      <w:pPr>
        <w:spacing w:after="0" w:line="146" w:lineRule="exact"/>
        <w:rPr>
          <w:rFonts w:ascii="Arial" w:cs="Arial" w:eastAsia="Arial" w:hAnsi="Arial"/>
          <w:sz w:val="17"/>
          <w:szCs w:val="17"/>
          <w:color w:val="auto"/>
        </w:rPr>
      </w:pPr>
    </w:p>
    <w:p>
      <w:pPr>
        <w:ind w:left="2600" w:hanging="647"/>
        <w:spacing w:after="0"/>
        <w:tabs>
          <w:tab w:leader="none" w:pos="26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such Note is not otherwise Freely Tradable,</w:t>
      </w:r>
    </w:p>
    <w:p>
      <w:pPr>
        <w:spacing w:after="0" w:line="22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then Additional Interest will accrue on such Note for each day during such period on which such failure is continuing or such Note is not Freely Tradable.</w:t>
      </w:r>
    </w:p>
    <w:p>
      <w:pPr>
        <w:spacing w:after="0" w:line="170" w:lineRule="exact"/>
        <w:rPr>
          <w:sz w:val="20"/>
          <w:szCs w:val="20"/>
          <w:color w:val="auto"/>
        </w:rPr>
      </w:pPr>
    </w:p>
    <w:p>
      <w:pPr>
        <w:ind w:left="660" w:right="180" w:firstLine="645"/>
        <w:spacing w:after="0" w:line="277" w:lineRule="auto"/>
        <w:tabs>
          <w:tab w:leader="none" w:pos="19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addition, Additional Interest will accrue on a Note on each day on which such Note is not Freely Tradable on or after the De-Legending Deadline Date for such Note.</w:t>
      </w:r>
    </w:p>
    <w:p>
      <w:pPr>
        <w:spacing w:after="0" w:line="166" w:lineRule="exact"/>
        <w:rPr>
          <w:rFonts w:ascii="Arial" w:cs="Arial" w:eastAsia="Arial" w:hAnsi="Arial"/>
          <w:sz w:val="18"/>
          <w:szCs w:val="18"/>
          <w:color w:val="auto"/>
        </w:rPr>
      </w:pPr>
    </w:p>
    <w:p>
      <w:pPr>
        <w:ind w:firstLine="656"/>
        <w:spacing w:after="0" w:line="313" w:lineRule="auto"/>
        <w:tabs>
          <w:tab w:leader="none" w:pos="1307"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Amount and Payment of Additional Interest</w:t>
      </w:r>
      <w:r>
        <w:rPr>
          <w:rFonts w:ascii="Arial" w:cs="Arial" w:eastAsia="Arial" w:hAnsi="Arial"/>
          <w:sz w:val="17"/>
          <w:szCs w:val="17"/>
          <w:color w:val="auto"/>
        </w:rPr>
        <w:t>. Any Additional Interest that accrues on a Note pursuant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3.04(A)</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payable on</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dates and in the same manner as the Stated Interest on such Note and will accrue at a rate per annum equal to one quarter of</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7" w:name="page38"/>
    <w:bookmarkEnd w:id="37"/>
    <w:p>
      <w:pPr>
        <w:ind w:right="120"/>
        <w:spacing w:after="0" w:line="255" w:lineRule="auto"/>
        <w:rPr>
          <w:sz w:val="20"/>
          <w:szCs w:val="20"/>
          <w:color w:val="auto"/>
        </w:rPr>
      </w:pPr>
      <w:r>
        <w:rPr>
          <w:rFonts w:ascii="Arial" w:cs="Arial" w:eastAsia="Arial" w:hAnsi="Arial"/>
          <w:sz w:val="18"/>
          <w:szCs w:val="18"/>
          <w:color w:val="auto"/>
        </w:rPr>
        <w:t xml:space="preserve">one percent (0.25%) of the principal amount thereof for the first ninety (90) days on which Additional Interest accrues and, thereafter, at a rate per annum equal to one half of one percent (0.50%) of the principal amount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will Additional Interest, together with any Special Interest, accrue on any day on a Note at a combined rate per annum that exceeds one half of one percent (0.50%), regardless of the number of events or circumstances giving rise to requirements to pay such Additional Interest or Special Interest.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93" w:lineRule="exact"/>
        <w:rPr>
          <w:sz w:val="20"/>
          <w:szCs w:val="20"/>
          <w:color w:val="auto"/>
        </w:rPr>
      </w:pPr>
    </w:p>
    <w:p>
      <w:pPr>
        <w:ind w:firstLine="656"/>
        <w:spacing w:after="0" w:line="286" w:lineRule="auto"/>
        <w:tabs>
          <w:tab w:leader="none" w:pos="1307"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Notice of Accrual of Additional Interest; Trustee’s Disclaimer</w:t>
      </w:r>
      <w:r>
        <w:rPr>
          <w:rFonts w:ascii="Arial" w:cs="Arial" w:eastAsia="Arial" w:hAnsi="Arial"/>
          <w:sz w:val="16"/>
          <w:szCs w:val="16"/>
          <w:color w:val="auto"/>
        </w:rPr>
        <w:t>. The Company will send notice to the Holder of each Note, and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w:t>
      </w:r>
    </w:p>
    <w:p>
      <w:pPr>
        <w:spacing w:after="0" w:line="1" w:lineRule="exact"/>
        <w:rPr>
          <w:rFonts w:ascii="Arial" w:cs="Arial" w:eastAsia="Arial" w:hAnsi="Arial"/>
          <w:sz w:val="16"/>
          <w:szCs w:val="16"/>
          <w:color w:val="auto"/>
        </w:rPr>
      </w:pPr>
    </w:p>
    <w:p>
      <w:pPr>
        <w:ind w:right="480" w:firstLine="8"/>
        <w:spacing w:after="0" w:line="261"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such Additional Interest that is payable on such date of payment. The Trustee will have no duty to determine whether any Additional Interest is payable or the amount thereof.</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8"/>
          <w:szCs w:val="18"/>
          <w:b w:val="1"/>
          <w:bCs w:val="1"/>
          <w:color w:val="auto"/>
        </w:rPr>
        <w:t>COMPLIANCE AND DEFAULT CERTIFICATES.</w:t>
      </w:r>
    </w:p>
    <w:p>
      <w:pPr>
        <w:spacing w:after="0" w:line="229" w:lineRule="exact"/>
        <w:rPr>
          <w:sz w:val="20"/>
          <w:szCs w:val="20"/>
          <w:color w:val="auto"/>
        </w:rPr>
      </w:pPr>
    </w:p>
    <w:p>
      <w:pPr>
        <w:ind w:right="80" w:firstLine="656"/>
        <w:spacing w:after="0" w:line="257" w:lineRule="auto"/>
        <w:tabs>
          <w:tab w:leader="none" w:pos="1317"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Annual Compliance Certificate</w:t>
      </w:r>
      <w:r>
        <w:rPr>
          <w:rFonts w:ascii="Arial" w:cs="Arial" w:eastAsia="Arial" w:hAnsi="Arial"/>
          <w:sz w:val="18"/>
          <w:szCs w:val="18"/>
          <w:color w:val="auto"/>
        </w:rPr>
        <w:t>. Within ninety (90) days after August 31, 2020, and each fiscal year of the Company ending thereafter,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88"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Default Certificate</w:t>
      </w:r>
      <w:r>
        <w:rPr>
          <w:rFonts w:ascii="Arial" w:cs="Arial" w:eastAsia="Arial" w:hAnsi="Arial"/>
          <w:sz w:val="18"/>
          <w:szCs w:val="18"/>
          <w:color w:val="auto"/>
        </w:rPr>
        <w:t>. If a Default or Event of Default occurs, then the Company will promptly deliver an Officer’s Certificate to the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describing the same and what action the Company is taking or proposes to take with respect thereto.</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7"/>
          <w:szCs w:val="17"/>
          <w:b w:val="1"/>
          <w:bCs w:val="1"/>
          <w:color w:val="auto"/>
        </w:rPr>
        <w:t>STAY, EXTENSION AND USURY LAWS.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spacing w:after="0"/>
        <w:tabs>
          <w:tab w:leader="none" w:pos="1320" w:val="left"/>
        </w:tabs>
        <w:rPr>
          <w:sz w:val="20"/>
          <w:szCs w:val="20"/>
          <w:color w:val="auto"/>
        </w:rPr>
      </w:pPr>
      <w:r>
        <w:rPr>
          <w:rFonts w:ascii="Arial" w:cs="Arial" w:eastAsia="Arial" w:hAnsi="Arial"/>
          <w:sz w:val="18"/>
          <w:szCs w:val="18"/>
          <w:b w:val="1"/>
          <w:bCs w:val="1"/>
          <w:color w:val="auto"/>
        </w:rPr>
        <w:t>Section 3.07.</w:t>
      </w:r>
      <w:r>
        <w:rPr>
          <w:sz w:val="20"/>
          <w:szCs w:val="20"/>
          <w:color w:val="auto"/>
        </w:rPr>
        <w:tab/>
      </w:r>
      <w:r>
        <w:rPr>
          <w:rFonts w:ascii="Arial" w:cs="Arial" w:eastAsia="Arial" w:hAnsi="Arial"/>
          <w:sz w:val="17"/>
          <w:szCs w:val="17"/>
          <w:b w:val="1"/>
          <w:bCs w:val="1"/>
          <w:color w:val="auto"/>
        </w:rPr>
        <w:t>CORPORATE EXISTENCE.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Article 6</w:t>
      </w:r>
      <w:r>
        <w:rPr>
          <w:rFonts w:ascii="Arial" w:cs="Arial" w:eastAsia="Arial" w:hAnsi="Arial"/>
          <w:sz w:val="18"/>
          <w:szCs w:val="18"/>
          <w:color w:val="auto"/>
        </w:rPr>
        <w:t>, the Company will cause to preserve and keep in full force and effect:</w:t>
      </w:r>
    </w:p>
    <w:p>
      <w:pPr>
        <w:spacing w:after="0" w:line="229" w:lineRule="exact"/>
        <w:rPr>
          <w:sz w:val="20"/>
          <w:szCs w:val="20"/>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its corporate existence in accordance with the organizational documents of the Company;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material rights (charter and statutory), licenses and franchises of the Company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Company need not preserve or keep in full force and effect any such license or franchise if the Board of Directors determines that</w:t>
      </w:r>
    </w:p>
    <w:p>
      <w:pPr>
        <w:spacing w:after="0" w:line="46" w:lineRule="exact"/>
        <w:rPr>
          <w:sz w:val="20"/>
          <w:szCs w:val="20"/>
          <w:color w:val="auto"/>
        </w:rPr>
      </w:pPr>
    </w:p>
    <w:p>
      <w:pPr>
        <w:ind w:right="520" w:firstLine="8"/>
        <w:spacing w:after="0" w:line="261"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preservation thereof is no longer desirable in the conduct of the business of the Company and its Subsidiaries, taken as a whole; and (y) the loss thereof is not, individually or in the aggregate, materially adverse to the Holders.</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3.08.</w:t>
      </w:r>
      <w:r>
        <w:rPr>
          <w:sz w:val="20"/>
          <w:szCs w:val="20"/>
          <w:color w:val="auto"/>
        </w:rPr>
        <w:tab/>
      </w:r>
      <w:r>
        <w:rPr>
          <w:rFonts w:ascii="Arial" w:cs="Arial" w:eastAsia="Arial" w:hAnsi="Arial"/>
          <w:sz w:val="18"/>
          <w:szCs w:val="18"/>
          <w:b w:val="1"/>
          <w:bCs w:val="1"/>
          <w:color w:val="auto"/>
        </w:rPr>
        <w:t>RESTRICTION ON ACQUISITION OF NOTES BY THE COMPANY AND ITS AFFILIATES.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will promptly deliver to the Trustee for cancellation all Notes that the Company or any of its Subsidiaries have purchased or otherwise acquired. The Company will use commercially reasonable efforts to prevent any of its controlled Affiliates from acquiring any Note (or any beneficial interest therein).</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3.09.</w:t>
      </w:r>
      <w:r>
        <w:rPr>
          <w:sz w:val="20"/>
          <w:szCs w:val="20"/>
          <w:color w:val="auto"/>
        </w:rPr>
        <w:tab/>
      </w:r>
      <w:r>
        <w:rPr>
          <w:rFonts w:ascii="Arial" w:cs="Arial" w:eastAsia="Arial" w:hAnsi="Arial"/>
          <w:sz w:val="17"/>
          <w:szCs w:val="17"/>
          <w:b w:val="1"/>
          <w:bCs w:val="1"/>
          <w:color w:val="auto"/>
        </w:rPr>
        <w:t>FURTHER INSTRUMENTS AND ACTS.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the Trustee’s request, the Company will execute and deliver such further instruments and do such further acts as may be reasonably necessary or proper to more effectively carry out the purposes of this Indenture.</w:t>
      </w:r>
    </w:p>
    <w:p>
      <w:pPr>
        <w:spacing w:after="0" w:line="166"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7"/>
          <w:szCs w:val="17"/>
          <w:b w:val="1"/>
          <w:bCs w:val="1"/>
          <w:color w:val="auto"/>
        </w:rPr>
        <w:t>REPURCHASE</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8"/>
          <w:szCs w:val="18"/>
          <w:b w:val="1"/>
          <w:bCs w:val="1"/>
          <w:color w:val="auto"/>
        </w:rPr>
        <w:t>NO SINKING FUND.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sinking fund is required to be provided for the Notes.</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4.02.</w:t>
      </w:r>
      <w:r>
        <w:rPr>
          <w:sz w:val="20"/>
          <w:szCs w:val="20"/>
          <w:color w:val="auto"/>
        </w:rPr>
        <w:tab/>
      </w:r>
      <w:r>
        <w:rPr>
          <w:rFonts w:ascii="Arial" w:cs="Arial" w:eastAsia="Arial" w:hAnsi="Arial"/>
          <w:sz w:val="18"/>
          <w:szCs w:val="18"/>
          <w:b w:val="1"/>
          <w:bCs w:val="1"/>
          <w:color w:val="auto"/>
        </w:rPr>
        <w:t>RIGHT OF HOLDERS TO REQUIRE THE COMPANY TO REPURCHASE NOTES UPON A FUNDAMENTAL CHANGE.</w:t>
      </w:r>
    </w:p>
    <w:p>
      <w:pPr>
        <w:spacing w:after="0" w:line="229" w:lineRule="exact"/>
        <w:rPr>
          <w:sz w:val="20"/>
          <w:szCs w:val="20"/>
          <w:color w:val="auto"/>
        </w:rPr>
      </w:pPr>
    </w:p>
    <w:p>
      <w:pPr>
        <w:ind w:right="140" w:firstLine="656"/>
        <w:spacing w:after="0" w:line="259" w:lineRule="auto"/>
        <w:tabs>
          <w:tab w:leader="none" w:pos="131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Right of Holders to Require the Company to Repurchase Notes Upon a Fundamental Change</w:t>
      </w:r>
      <w:r>
        <w:rPr>
          <w:rFonts w:ascii="Arial" w:cs="Arial" w:eastAsia="Arial" w:hAnsi="Arial"/>
          <w:sz w:val="18"/>
          <w:szCs w:val="18"/>
          <w:color w:val="auto"/>
        </w:rPr>
        <w:t>. Subject to the other terms of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4.02</w:t>
      </w:r>
      <w:r>
        <w:rPr>
          <w:rFonts w:ascii="Arial" w:cs="Arial" w:eastAsia="Arial" w:hAnsi="Arial"/>
          <w:sz w:val="18"/>
          <w:szCs w:val="18"/>
          <w:color w:val="auto"/>
        </w:rPr>
        <w:t>, if a Fundamental Change occurs, then each Holder will have the right (the “</w:t>
      </w:r>
      <w:r>
        <w:rPr>
          <w:rFonts w:ascii="Arial" w:cs="Arial" w:eastAsia="Arial" w:hAnsi="Arial"/>
          <w:sz w:val="18"/>
          <w:szCs w:val="18"/>
          <w:b w:val="1"/>
          <w:bCs w:val="1"/>
          <w:color w:val="auto"/>
        </w:rPr>
        <w:t>Fundamental Change Repurchase Right</w:t>
      </w:r>
      <w:r>
        <w:rPr>
          <w:rFonts w:ascii="Arial" w:cs="Arial" w:eastAsia="Arial" w:hAnsi="Arial"/>
          <w:sz w:val="18"/>
          <w:szCs w:val="18"/>
          <w:color w:val="auto"/>
        </w:rPr>
        <w:t>”) to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repurchase such Holder’s Notes (or any portion thereof in an Authorized Denomination) on the Fundamental Change Repurchase Date for such Fundamental Change for a cash purchase price equal to the Fundamental Change Repurchase Price.</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Repurchase Prohibited in Certain Circumstances</w:t>
      </w:r>
      <w:r>
        <w:rPr>
          <w:rFonts w:ascii="Arial" w:cs="Arial" w:eastAsia="Arial" w:hAnsi="Arial"/>
          <w:sz w:val="18"/>
          <w:szCs w:val="18"/>
          <w:color w:val="auto"/>
        </w:rPr>
        <w:t>. If the principal amount of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 w:name="page40"/>
    <w:bookmarkEnd w:id="39"/>
    <w:p>
      <w:pPr>
        <w:ind w:right="420"/>
        <w:spacing w:after="0" w:line="293" w:lineRule="auto"/>
        <w:rPr>
          <w:sz w:val="20"/>
          <w:szCs w:val="20"/>
          <w:color w:val="auto"/>
        </w:rPr>
      </w:pPr>
      <w:r>
        <w:rPr>
          <w:rFonts w:ascii="Arial" w:cs="Arial" w:eastAsia="Arial" w:hAnsi="Arial"/>
          <w:sz w:val="16"/>
          <w:szCs w:val="16"/>
          <w:color w:val="auto"/>
        </w:rPr>
        <w:t xml:space="preserve">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w:t>
      </w:r>
      <w:r>
        <w:rPr>
          <w:rFonts w:ascii="Arial" w:cs="Arial" w:eastAsia="Arial" w:hAnsi="Arial"/>
          <w:sz w:val="16"/>
          <w:szCs w:val="16"/>
          <w:b w:val="1"/>
          <w:bCs w:val="1"/>
          <w:color w:val="auto"/>
        </w:rPr>
        <w:t>Section 4.02(D)</w:t>
      </w:r>
      <w:r>
        <w:rPr>
          <w:rFonts w:ascii="Arial" w:cs="Arial" w:eastAsia="Arial" w:hAnsi="Arial"/>
          <w:sz w:val="16"/>
          <w:szCs w:val="16"/>
          <w:color w:val="auto"/>
        </w:rPr>
        <w:t xml:space="preserve">, on such Fundamental Change Repurchase Date), then (i) the Company may not repurchase any Notes pursuant to this </w:t>
      </w:r>
      <w:r>
        <w:rPr>
          <w:rFonts w:ascii="Arial" w:cs="Arial" w:eastAsia="Arial" w:hAnsi="Arial"/>
          <w:sz w:val="16"/>
          <w:szCs w:val="16"/>
          <w:b w:val="1"/>
          <w:bCs w:val="1"/>
          <w:color w:val="auto"/>
        </w:rPr>
        <w:t>Section 4.02</w:t>
      </w:r>
      <w:r>
        <w:rPr>
          <w:rFonts w:ascii="Arial" w:cs="Arial" w:eastAsia="Arial" w:hAnsi="Arial"/>
          <w:sz w:val="16"/>
          <w:szCs w:val="16"/>
          <w:color w:val="auto"/>
        </w:rPr>
        <w:t>; and (ii) the Company will cause any Notes theretofore surrendered for such Repurchase upon Fundamental Change to be returned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65" w:lineRule="exact"/>
        <w:rPr>
          <w:sz w:val="20"/>
          <w:szCs w:val="20"/>
          <w:color w:val="auto"/>
        </w:rPr>
      </w:pPr>
    </w:p>
    <w:p>
      <w:pPr>
        <w:ind w:right="140" w:firstLine="656"/>
        <w:spacing w:after="0" w:line="264" w:lineRule="auto"/>
        <w:tabs>
          <w:tab w:leader="none" w:pos="1307"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Fundamental Change Repurchase Date</w:t>
      </w:r>
      <w:r>
        <w:rPr>
          <w:rFonts w:ascii="Arial" w:cs="Arial" w:eastAsia="Arial" w:hAnsi="Arial"/>
          <w:sz w:val="18"/>
          <w:szCs w:val="18"/>
          <w:color w:val="auto"/>
        </w:rPr>
        <w:t>. The Fundamental Change Repurchase Date for any Fundamental Change will be a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Company’s choosing that is no more than thirty five (35), nor less than twenty (20), Business Days after the date the Company sends the related Fundamental Change Notice pursuant to </w:t>
      </w:r>
      <w:r>
        <w:rPr>
          <w:rFonts w:ascii="Arial" w:cs="Arial" w:eastAsia="Arial" w:hAnsi="Arial"/>
          <w:sz w:val="18"/>
          <w:szCs w:val="18"/>
          <w:b w:val="1"/>
          <w:bCs w:val="1"/>
          <w:color w:val="auto"/>
        </w:rPr>
        <w:t>Section 4.02(E)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656"/>
        <w:spacing w:after="0" w:line="283" w:lineRule="auto"/>
        <w:tabs>
          <w:tab w:leader="none" w:pos="1317"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Fundamental Change Repurchase Price</w:t>
      </w:r>
      <w:r>
        <w:rPr>
          <w:rFonts w:ascii="Arial" w:cs="Arial" w:eastAsia="Arial" w:hAnsi="Arial"/>
          <w:sz w:val="16"/>
          <w:szCs w:val="16"/>
          <w:color w:val="auto"/>
        </w:rPr>
        <w:t>. The Fundamental Change Repurchase Price for any Note to be repurchased upon a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Fundamental Change following a Fundamental Change is an amount in cash equal to the principal amount of such Note plus accrued and unpaid interest on such Note to, but excluding, the Fundamental Change Repurchase Date for such Fundamental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Arial" w:cs="Arial" w:eastAsia="Arial" w:hAnsi="Arial"/>
          <w:sz w:val="16"/>
          <w:szCs w:val="16"/>
          <w:b w:val="1"/>
          <w:bCs w:val="1"/>
          <w:color w:val="auto"/>
        </w:rPr>
        <w:t>Section 2.05(C)</w:t>
      </w:r>
      <w:r>
        <w:rPr>
          <w:rFonts w:ascii="Arial" w:cs="Arial" w:eastAsia="Arial" w:hAnsi="Arial"/>
          <w:sz w:val="16"/>
          <w:szCs w:val="16"/>
          <w:color w:val="auto"/>
        </w:rPr>
        <w:t xml:space="preserve"> and such Fundamental Change Repurchase Date occurs on the Business Day immediately after such Interest Payment Date, then</w:t>
      </w:r>
    </w:p>
    <w:p>
      <w:pPr>
        <w:spacing w:after="0" w:line="5" w:lineRule="exact"/>
        <w:rPr>
          <w:rFonts w:ascii="Arial" w:cs="Arial" w:eastAsia="Arial" w:hAnsi="Arial"/>
          <w:sz w:val="16"/>
          <w:szCs w:val="16"/>
          <w:color w:val="auto"/>
        </w:rPr>
      </w:pPr>
    </w:p>
    <w:p>
      <w:pPr>
        <w:ind w:right="20"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accrued and unpaid interest on Notes to, but excluding, such Interest Payment Date will be paid, in accordance with </w:t>
      </w:r>
      <w:r>
        <w:rPr>
          <w:rFonts w:ascii="Arial" w:cs="Arial" w:eastAsia="Arial" w:hAnsi="Arial"/>
          <w:sz w:val="18"/>
          <w:szCs w:val="18"/>
          <w:b w:val="1"/>
          <w:bCs w:val="1"/>
          <w:color w:val="auto"/>
        </w:rPr>
        <w:t>Section 2.05(C)</w:t>
      </w:r>
      <w:r>
        <w:rPr>
          <w:rFonts w:ascii="Arial" w:cs="Arial" w:eastAsia="Arial" w:hAnsi="Arial"/>
          <w:sz w:val="18"/>
          <w:szCs w:val="18"/>
          <w:color w:val="auto"/>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spacing w:after="0" w:line="190" w:lineRule="exact"/>
        <w:rPr>
          <w:rFonts w:ascii="Arial" w:cs="Arial" w:eastAsia="Arial" w:hAnsi="Arial"/>
          <w:sz w:val="18"/>
          <w:szCs w:val="18"/>
          <w:color w:val="auto"/>
        </w:rPr>
      </w:pPr>
    </w:p>
    <w:p>
      <w:pPr>
        <w:ind w:firstLine="656"/>
        <w:spacing w:after="0" w:line="302" w:lineRule="auto"/>
        <w:tabs>
          <w:tab w:leader="none" w:pos="131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Fundamental Change Notice</w:t>
      </w:r>
      <w:r>
        <w:rPr>
          <w:rFonts w:ascii="Arial" w:cs="Arial" w:eastAsia="Arial" w:hAnsi="Arial"/>
          <w:sz w:val="16"/>
          <w:szCs w:val="16"/>
          <w:color w:val="auto"/>
        </w:rPr>
        <w:t>. On or before the twentieth (20th) calendar day after the occurrence of a Fundamental Change,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will (x) send to each Holder, the Trustee and the Paying Agent a notice of such Fundamental Change (a “</w:t>
      </w:r>
      <w:r>
        <w:rPr>
          <w:rFonts w:ascii="Arial" w:cs="Arial" w:eastAsia="Arial" w:hAnsi="Arial"/>
          <w:sz w:val="16"/>
          <w:szCs w:val="16"/>
          <w:b w:val="1"/>
          <w:bCs w:val="1"/>
          <w:color w:val="auto"/>
        </w:rPr>
        <w:t>Fundamental Change Notice</w:t>
      </w:r>
      <w:r>
        <w:rPr>
          <w:rFonts w:ascii="Arial" w:cs="Arial" w:eastAsia="Arial" w:hAnsi="Arial"/>
          <w:sz w:val="16"/>
          <w:szCs w:val="16"/>
          <w:color w:val="auto"/>
        </w:rPr>
        <w:t>”) (y) substantially contemporaneously therewith, issue a press release through such national newswire service as the Company then uses (or publish the same through such other widely disseminated public medium as the Company then uses, including its website) containing the information set forth in the Fundamental Change Notice.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Such Fundamental Change Notice must state:</w:t>
      </w:r>
    </w:p>
    <w:p>
      <w:pPr>
        <w:spacing w:after="0" w:line="225" w:lineRule="exact"/>
        <w:rPr>
          <w:sz w:val="20"/>
          <w:szCs w:val="20"/>
          <w:color w:val="auto"/>
        </w:rPr>
      </w:pPr>
    </w:p>
    <w:p>
      <w:pPr>
        <w:ind w:left="1980" w:hanging="675"/>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briefly, the events causing such Fundamental Change;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 date of such Fundamental Change;</w:t>
      </w:r>
    </w:p>
    <w:p>
      <w:pPr>
        <w:spacing w:after="0" w:line="221" w:lineRule="exact"/>
        <w:rPr>
          <w:rFonts w:ascii="Arial" w:cs="Arial" w:eastAsia="Arial" w:hAnsi="Arial"/>
          <w:sz w:val="18"/>
          <w:szCs w:val="18"/>
          <w:color w:val="auto"/>
        </w:rPr>
      </w:pPr>
    </w:p>
    <w:p>
      <w:pPr>
        <w:ind w:left="660" w:right="80" w:firstLine="645"/>
        <w:spacing w:after="0" w:line="266" w:lineRule="auto"/>
        <w:tabs>
          <w:tab w:leader="none" w:pos="19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procedures that a Holder must follow to require the Company to repurchase its Notes pursuant to this </w:t>
      </w:r>
      <w:r>
        <w:rPr>
          <w:rFonts w:ascii="Arial" w:cs="Arial" w:eastAsia="Arial" w:hAnsi="Arial"/>
          <w:sz w:val="18"/>
          <w:szCs w:val="18"/>
          <w:b w:val="1"/>
          <w:bCs w:val="1"/>
          <w:color w:val="auto"/>
        </w:rPr>
        <w:t>Section 4.02</w:t>
      </w:r>
      <w:r>
        <w:rPr>
          <w:rFonts w:ascii="Arial" w:cs="Arial" w:eastAsia="Arial" w:hAnsi="Arial"/>
          <w:sz w:val="18"/>
          <w:szCs w:val="18"/>
          <w:color w:val="auto"/>
        </w:rPr>
        <w:t>, including the deadline for exercising the Fundamental Change Repurchase Right and the procedures for submitting and withdrawing a Fundamental Change Repurchase Notice;</w:t>
      </w:r>
    </w:p>
    <w:p>
      <w:pPr>
        <w:spacing w:after="0" w:line="180" w:lineRule="exact"/>
        <w:rPr>
          <w:rFonts w:ascii="Arial" w:cs="Arial" w:eastAsia="Arial" w:hAnsi="Arial"/>
          <w:sz w:val="18"/>
          <w:szCs w:val="18"/>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Fundamental Change Repurchase Date for such Fundamental Change;</w:t>
      </w:r>
    </w:p>
    <w:p>
      <w:pPr>
        <w:spacing w:after="0" w:line="225" w:lineRule="exact"/>
        <w:rPr>
          <w:rFonts w:ascii="Arial" w:cs="Arial" w:eastAsia="Arial" w:hAnsi="Arial"/>
          <w:sz w:val="18"/>
          <w:szCs w:val="18"/>
          <w:color w:val="auto"/>
        </w:rPr>
      </w:pPr>
    </w:p>
    <w:p>
      <w:pPr>
        <w:jc w:val="both"/>
        <w:ind w:left="660" w:right="340" w:firstLine="645"/>
        <w:spacing w:after="0" w:line="264" w:lineRule="auto"/>
        <w:tabs>
          <w:tab w:leader="none" w:pos="1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w:t>
      </w:r>
      <w:r>
        <w:rPr>
          <w:rFonts w:ascii="Arial" w:cs="Arial" w:eastAsia="Arial" w:hAnsi="Arial"/>
          <w:sz w:val="18"/>
          <w:szCs w:val="18"/>
          <w:b w:val="1"/>
          <w:bCs w:val="1"/>
          <w:color w:val="auto"/>
        </w:rPr>
        <w:t>Section 4.02(D)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660" w:right="640" w:firstLine="645"/>
        <w:spacing w:after="0" w:line="308" w:lineRule="auto"/>
        <w:tabs>
          <w:tab w:leader="none" w:pos="198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Arial" w:cs="Arial" w:eastAsia="Arial" w:hAnsi="Arial"/>
          <w:sz w:val="17"/>
          <w:szCs w:val="17"/>
          <w:b w:val="1"/>
          <w:bCs w:val="1"/>
          <w:color w:val="auto"/>
        </w:rPr>
        <w:t>Section 5.07</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firstLine="645"/>
        <w:spacing w:after="0" w:line="277" w:lineRule="auto"/>
        <w:tabs>
          <w:tab w:leader="none" w:pos="19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70" w:lineRule="exact"/>
        <w:rPr>
          <w:rFonts w:ascii="Arial" w:cs="Arial" w:eastAsia="Arial" w:hAnsi="Arial"/>
          <w:sz w:val="18"/>
          <w:szCs w:val="18"/>
          <w:color w:val="auto"/>
        </w:rPr>
      </w:pPr>
    </w:p>
    <w:p>
      <w:pPr>
        <w:ind w:left="660" w:right="120" w:firstLine="645"/>
        <w:spacing w:after="0" w:line="308" w:lineRule="auto"/>
        <w:tabs>
          <w:tab w:leader="none" w:pos="19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CUSIP and ISIN numbers, if any, of the Notes.</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24" w:lineRule="exact"/>
        <w:rPr>
          <w:sz w:val="20"/>
          <w:szCs w:val="20"/>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Procedures to Exercise the Fundamental Change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40" w:firstLine="645"/>
        <w:spacing w:after="0" w:line="308" w:lineRule="auto"/>
        <w:tabs>
          <w:tab w:leader="none" w:pos="1978"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Delivery of Fundamental Change Repurchase Notice and Notes to Be Repurchased</w:t>
      </w:r>
      <w:r>
        <w:rPr>
          <w:rFonts w:ascii="Arial" w:cs="Arial" w:eastAsia="Arial" w:hAnsi="Arial"/>
          <w:sz w:val="17"/>
          <w:szCs w:val="17"/>
          <w:color w:val="auto"/>
        </w:rPr>
        <w:t>. To exercise its Fundamental Change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Right for a Note following a Fundamental Change, the Holder thereof must deliver to the Paying Agent:</w:t>
      </w:r>
    </w:p>
    <w:p>
      <w:pPr>
        <w:spacing w:after="0" w:line="146" w:lineRule="exact"/>
        <w:rPr>
          <w:rFonts w:ascii="Arial" w:cs="Arial" w:eastAsia="Arial" w:hAnsi="Arial"/>
          <w:sz w:val="17"/>
          <w:szCs w:val="17"/>
          <w:color w:val="auto"/>
        </w:rPr>
      </w:pPr>
    </w:p>
    <w:p>
      <w:pPr>
        <w:ind w:left="2600" w:hanging="647"/>
        <w:spacing w:after="0"/>
        <w:tabs>
          <w:tab w:leader="none" w:pos="26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before the Close of Business on the Business Day immediately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1" w:name="page42"/>
    <w:bookmarkEnd w:id="41"/>
    <w:p>
      <w:pPr>
        <w:ind w:left="640" w:right="720"/>
        <w:spacing w:after="0" w:line="277" w:lineRule="auto"/>
        <w:rPr>
          <w:sz w:val="20"/>
          <w:szCs w:val="20"/>
          <w:color w:val="auto"/>
        </w:rPr>
      </w:pPr>
      <w:r>
        <w:rPr>
          <w:rFonts w:ascii="Arial" w:cs="Arial" w:eastAsia="Arial" w:hAnsi="Arial"/>
          <w:sz w:val="18"/>
          <w:szCs w:val="18"/>
          <w:color w:val="auto"/>
        </w:rPr>
        <w:t>before the related Fundamental Change Repurchase Date (or such later time as may be required by law), a duly completed, written Fundamental Change Repurchase Notice with respect to such Note; and</w:t>
      </w:r>
    </w:p>
    <w:p>
      <w:pPr>
        <w:spacing w:after="0" w:line="170" w:lineRule="exact"/>
        <w:rPr>
          <w:sz w:val="20"/>
          <w:szCs w:val="20"/>
          <w:color w:val="auto"/>
        </w:rPr>
      </w:pPr>
    </w:p>
    <w:p>
      <w:pPr>
        <w:ind w:left="1940" w:hanging="647"/>
        <w:spacing w:after="0"/>
        <w:tabs>
          <w:tab w:leader="none" w:pos="1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such Note, duly endorsed for transfer (if such Note is a Physical Note) or by book-entry transfer (if such Note is a Global</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Paying Agent will promptly deliver to the Company a copy of each Fundamental Change Repurchase Notice that it receives.</w:t>
      </w:r>
    </w:p>
    <w:p>
      <w:pPr>
        <w:spacing w:after="0" w:line="225" w:lineRule="exact"/>
        <w:rPr>
          <w:sz w:val="20"/>
          <w:szCs w:val="20"/>
          <w:color w:val="auto"/>
        </w:rPr>
      </w:pPr>
    </w:p>
    <w:p>
      <w:pPr>
        <w:ind w:left="1320" w:hanging="675"/>
        <w:spacing w:after="0"/>
        <w:tabs>
          <w:tab w:leader="none" w:pos="132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Contents of Fundamental Change Repurchase Notices</w:t>
      </w:r>
      <w:r>
        <w:rPr>
          <w:rFonts w:ascii="Arial" w:cs="Arial" w:eastAsia="Arial" w:hAnsi="Arial"/>
          <w:sz w:val="16"/>
          <w:szCs w:val="16"/>
          <w:color w:val="auto"/>
        </w:rPr>
        <w:t>. Each Fundamental Change Repurchase Notice with respect to a Note must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11" w:lineRule="exact"/>
        <w:rPr>
          <w:sz w:val="20"/>
          <w:szCs w:val="20"/>
          <w:color w:val="auto"/>
        </w:rPr>
      </w:pPr>
    </w:p>
    <w:p>
      <w:pPr>
        <w:ind w:left="1940" w:hanging="647"/>
        <w:spacing w:after="0"/>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principal amount of such Note to be repurchased, which must be an Authorized Denomination; and</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that such Holder is exercising its Fundamental Change Repurchase Right with respect to such principal amount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such Note is a Global Note, then such Fundamental Change Repurchase Notice must comply with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Procedures (and any such Fundamental Change Repurchase Notice delivered in compliance with the Depositary Procedures will be deemed to satisfy the requirements of this </w:t>
      </w:r>
      <w:r>
        <w:rPr>
          <w:rFonts w:ascii="Arial" w:cs="Arial" w:eastAsia="Arial" w:hAnsi="Arial"/>
          <w:sz w:val="18"/>
          <w:szCs w:val="18"/>
          <w:b w:val="1"/>
          <w:bCs w:val="1"/>
          <w:color w:val="auto"/>
        </w:rPr>
        <w:t>Section 4.02(F)</w:t>
      </w:r>
      <w:r>
        <w:rPr>
          <w:rFonts w:ascii="Arial" w:cs="Arial" w:eastAsia="Arial" w:hAnsi="Arial"/>
          <w:sz w:val="18"/>
          <w:szCs w:val="18"/>
          <w:color w:val="auto"/>
        </w:rPr>
        <w:t>).</w:t>
      </w:r>
    </w:p>
    <w:p>
      <w:pPr>
        <w:spacing w:after="0" w:line="181" w:lineRule="exact"/>
        <w:rPr>
          <w:sz w:val="20"/>
          <w:szCs w:val="20"/>
          <w:color w:val="auto"/>
        </w:rPr>
      </w:pPr>
    </w:p>
    <w:p>
      <w:pPr>
        <w:ind w:right="40" w:firstLine="645"/>
        <w:spacing w:after="0" w:line="259" w:lineRule="auto"/>
        <w:tabs>
          <w:tab w:leader="none" w:pos="1337"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Withdrawal of Fundamental Change Repurchase Notice</w:t>
      </w:r>
      <w:r>
        <w:rPr>
          <w:rFonts w:ascii="Arial" w:cs="Arial" w:eastAsia="Arial" w:hAnsi="Arial"/>
          <w:sz w:val="18"/>
          <w:szCs w:val="18"/>
          <w:color w:val="auto"/>
        </w:rPr>
        <w:t>. A Holder that has delivered a Fundamental Change Repurchase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6" w:lineRule="exact"/>
        <w:rPr>
          <w:rFonts w:ascii="Arial" w:cs="Arial" w:eastAsia="Arial" w:hAnsi="Arial"/>
          <w:sz w:val="18"/>
          <w:szCs w:val="18"/>
          <w:color w:val="auto"/>
        </w:rPr>
      </w:pPr>
    </w:p>
    <w:p>
      <w:pPr>
        <w:ind w:left="1940" w:hanging="647"/>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principal amount of such Note to be withdrawn, which must be an Authorized Denomination; and</w:t>
      </w:r>
    </w:p>
    <w:p>
      <w:pPr>
        <w:spacing w:after="0" w:line="225" w:lineRule="exact"/>
        <w:rPr>
          <w:rFonts w:ascii="Arial" w:cs="Arial" w:eastAsia="Arial" w:hAnsi="Arial"/>
          <w:sz w:val="18"/>
          <w:szCs w:val="18"/>
          <w:color w:val="auto"/>
        </w:rPr>
      </w:pPr>
    </w:p>
    <w:p>
      <w:pPr>
        <w:ind w:left="640" w:right="260" w:firstLine="653"/>
        <w:spacing w:after="0" w:line="277" w:lineRule="auto"/>
        <w:tabs>
          <w:tab w:leader="none" w:pos="19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principal amount of such Note, if any, that remains subject to such Fundamental Change Repurchase Notice, which must be an Authorized Denomination;</w:t>
      </w:r>
    </w:p>
    <w:p>
      <w:pPr>
        <w:spacing w:after="0" w:line="170"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such Note is a Global Note, then such withdrawal notice must comply with the Depositary Procedures (and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withdrawal notice delivered in compliance with the Depositary Procedures will be deemed to satisfy the requirements of this </w:t>
      </w:r>
      <w:r>
        <w:rPr>
          <w:rFonts w:ascii="Arial" w:cs="Arial" w:eastAsia="Arial" w:hAnsi="Arial"/>
          <w:sz w:val="16"/>
          <w:szCs w:val="16"/>
          <w:b w:val="1"/>
          <w:bCs w:val="1"/>
          <w:color w:val="auto"/>
        </w:rPr>
        <w:t>Section 4.02(F)</w:t>
      </w:r>
      <w:r>
        <w:rPr>
          <w:rFonts w:ascii="Arial" w:cs="Arial" w:eastAsia="Arial" w:hAnsi="Arial"/>
          <w:sz w:val="16"/>
          <w:szCs w:val="16"/>
          <w:color w:val="auto"/>
        </w:rPr>
        <w:t>).</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2" w:name="page43"/>
    <w:bookmarkEnd w:id="42"/>
    <w:p>
      <w:pPr>
        <w:ind w:left="660"/>
        <w:spacing w:after="0" w:line="255" w:lineRule="auto"/>
        <w:rPr>
          <w:sz w:val="20"/>
          <w:szCs w:val="20"/>
          <w:color w:val="auto"/>
        </w:rPr>
      </w:pPr>
      <w:r>
        <w:rPr>
          <w:rFonts w:ascii="Arial" w:cs="Arial" w:eastAsia="Arial" w:hAnsi="Arial"/>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Arial" w:cs="Arial" w:eastAsia="Arial" w:hAnsi="Arial"/>
          <w:sz w:val="18"/>
          <w:szCs w:val="18"/>
          <w:b w:val="1"/>
          <w:bCs w:val="1"/>
          <w:color w:val="auto"/>
        </w:rPr>
        <w:t>Section 2.11</w:t>
      </w:r>
      <w:r>
        <w:rPr>
          <w:rFonts w:ascii="Arial" w:cs="Arial" w:eastAsia="Arial" w:hAnsi="Arial"/>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93" w:lineRule="exact"/>
        <w:rPr>
          <w:sz w:val="20"/>
          <w:szCs w:val="20"/>
          <w:color w:val="auto"/>
        </w:rPr>
      </w:pPr>
    </w:p>
    <w:p>
      <w:pPr>
        <w:ind w:right="20" w:firstLine="656"/>
        <w:spacing w:after="0" w:line="271" w:lineRule="auto"/>
        <w:tabs>
          <w:tab w:leader="none" w:pos="1317"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Payment of the Fundamental Change Repurchase Price</w:t>
      </w:r>
      <w:r>
        <w:rPr>
          <w:rFonts w:ascii="Arial" w:cs="Arial" w:eastAsia="Arial" w:hAnsi="Arial"/>
          <w:sz w:val="17"/>
          <w:szCs w:val="17"/>
          <w:color w:val="auto"/>
        </w:rPr>
        <w:t>. Without limiting the Company’s obligation to deposit the Fundamental Change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Repurchase Price within the time proscribed by </w:t>
      </w:r>
      <w:r>
        <w:rPr>
          <w:rFonts w:ascii="Arial" w:cs="Arial" w:eastAsia="Arial" w:hAnsi="Arial"/>
          <w:sz w:val="17"/>
          <w:szCs w:val="17"/>
          <w:b w:val="1"/>
          <w:bCs w:val="1"/>
          <w:color w:val="auto"/>
        </w:rPr>
        <w:t>Section 3.01(B)</w:t>
      </w:r>
      <w:r>
        <w:rPr>
          <w:rFonts w:ascii="Arial" w:cs="Arial" w:eastAsia="Arial" w:hAnsi="Arial"/>
          <w:sz w:val="17"/>
          <w:szCs w:val="17"/>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Arial" w:cs="Arial" w:eastAsia="Arial" w:hAnsi="Arial"/>
          <w:sz w:val="17"/>
          <w:szCs w:val="17"/>
          <w:b w:val="1"/>
          <w:bCs w:val="1"/>
          <w:color w:val="auto"/>
        </w:rPr>
        <w:t>Section 4.02(D)</w:t>
      </w:r>
      <w:r>
        <w:rPr>
          <w:rFonts w:ascii="Arial" w:cs="Arial" w:eastAsia="Arial" w:hAnsi="Arial"/>
          <w:sz w:val="17"/>
          <w:szCs w:val="17"/>
          <w:color w:val="auto"/>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Arial" w:cs="Arial" w:eastAsia="Arial" w:hAnsi="Arial"/>
          <w:sz w:val="17"/>
          <w:szCs w:val="17"/>
          <w:b w:val="1"/>
          <w:bCs w:val="1"/>
          <w:color w:val="auto"/>
        </w:rPr>
        <w:t>Section 4.02(G)</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656"/>
        <w:spacing w:after="0" w:line="255" w:lineRule="auto"/>
        <w:tabs>
          <w:tab w:leader="none" w:pos="1303"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Compliance with Applicable Securities Laws</w:t>
      </w:r>
      <w:r>
        <w:rPr>
          <w:rFonts w:ascii="Arial" w:cs="Arial" w:eastAsia="Arial" w:hAnsi="Arial"/>
          <w:sz w:val="18"/>
          <w:szCs w:val="18"/>
          <w:color w:val="auto"/>
        </w:rPr>
        <w:t>. To the extent applicable, the Company will comply with all federal and state securities laws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to the extent that the Company’s obligations pursuant to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conflict with any law or regulation that is applicable to the Company and enacted after the Issue Date, the Company’s compliance with such law or regulation will not be considered to be a Default of such obligations.</w:t>
      </w:r>
    </w:p>
    <w:p>
      <w:pPr>
        <w:spacing w:after="0" w:line="189" w:lineRule="exact"/>
        <w:rPr>
          <w:rFonts w:ascii="Arial" w:cs="Arial" w:eastAsia="Arial" w:hAnsi="Arial"/>
          <w:sz w:val="18"/>
          <w:szCs w:val="18"/>
          <w:color w:val="auto"/>
        </w:rPr>
      </w:pPr>
    </w:p>
    <w:p>
      <w:pPr>
        <w:ind w:right="140" w:firstLine="656"/>
        <w:spacing w:after="0" w:line="266" w:lineRule="auto"/>
        <w:tabs>
          <w:tab w:leader="none" w:pos="1301"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Repurchase in Part</w:t>
      </w:r>
      <w:r>
        <w:rPr>
          <w:rFonts w:ascii="Arial" w:cs="Arial" w:eastAsia="Arial" w:hAnsi="Arial"/>
          <w:sz w:val="18"/>
          <w:szCs w:val="18"/>
          <w:color w:val="auto"/>
        </w:rPr>
        <w:t>. Subject to the terms of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4.02</w:t>
      </w:r>
      <w:r>
        <w:rPr>
          <w:rFonts w:ascii="Arial" w:cs="Arial" w:eastAsia="Arial" w:hAnsi="Arial"/>
          <w:sz w:val="18"/>
          <w:szCs w:val="18"/>
          <w:color w:val="auto"/>
        </w:rPr>
        <w:t>, Notes may be repurchased pursuant to a Repurchase Upon Fundamental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in part, but only in Authorized Denominations. Provisions of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applying to the repurchase of a Note in whole will equally apply to the repurchase of a permitted portion of a Note.</w:t>
      </w:r>
    </w:p>
    <w:p>
      <w:pPr>
        <w:spacing w:after="0" w:line="17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4.03.</w:t>
      </w:r>
      <w:r>
        <w:rPr>
          <w:sz w:val="20"/>
          <w:szCs w:val="20"/>
          <w:color w:val="auto"/>
        </w:rPr>
        <w:tab/>
      </w:r>
      <w:r>
        <w:rPr>
          <w:rFonts w:ascii="Arial" w:cs="Arial" w:eastAsia="Arial" w:hAnsi="Arial"/>
          <w:sz w:val="18"/>
          <w:szCs w:val="18"/>
          <w:b w:val="1"/>
          <w:bCs w:val="1"/>
          <w:color w:val="auto"/>
        </w:rPr>
        <w:t>NO RIGHT OF REDEMPTION BY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the right to redeem the Notes at its election.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3" w:name="page44"/>
    <w:bookmarkEnd w:id="43"/>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Article 5.</w:t>
        <w:tab/>
        <w:t>CONVERSION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8"/>
          <w:szCs w:val="18"/>
          <w:b w:val="1"/>
          <w:bCs w:val="1"/>
          <w:color w:val="auto"/>
        </w:rPr>
        <w:t>RIGHT TO CONVERT.</w:t>
      </w:r>
    </w:p>
    <w:p>
      <w:pPr>
        <w:spacing w:after="0" w:line="225" w:lineRule="exact"/>
        <w:rPr>
          <w:sz w:val="20"/>
          <w:szCs w:val="20"/>
          <w:color w:val="auto"/>
        </w:rPr>
      </w:pPr>
    </w:p>
    <w:p>
      <w:pPr>
        <w:ind w:left="1320" w:hanging="664"/>
        <w:spacing w:after="0"/>
        <w:tabs>
          <w:tab w:leader="none" w:pos="132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Generally. </w:t>
      </w:r>
      <w:r>
        <w:rPr>
          <w:rFonts w:ascii="Arial" w:cs="Arial" w:eastAsia="Arial" w:hAnsi="Arial"/>
          <w:sz w:val="17"/>
          <w:szCs w:val="17"/>
          <w:color w:val="auto"/>
        </w:rPr>
        <w:t>Subject to the provisions of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Article 5</w:t>
      </w:r>
      <w:r>
        <w:rPr>
          <w:rFonts w:ascii="Arial" w:cs="Arial" w:eastAsia="Arial" w:hAnsi="Arial"/>
          <w:sz w:val="17"/>
          <w:szCs w:val="17"/>
          <w:color w:val="auto"/>
        </w:rPr>
        <w:t>, each Holder may, at its option, convert such Holder’s Notes into Conversion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Consideration.</w:t>
      </w:r>
    </w:p>
    <w:p>
      <w:pPr>
        <w:spacing w:after="0" w:line="210" w:lineRule="exact"/>
        <w:rPr>
          <w:rFonts w:ascii="Arial" w:cs="Arial" w:eastAsia="Arial" w:hAnsi="Arial"/>
          <w:sz w:val="17"/>
          <w:szCs w:val="17"/>
          <w:color w:val="auto"/>
        </w:rPr>
      </w:pPr>
    </w:p>
    <w:p>
      <w:pPr>
        <w:ind w:right="560" w:firstLine="656"/>
        <w:spacing w:after="0" w:line="342" w:lineRule="auto"/>
        <w:tabs>
          <w:tab w:leader="none" w:pos="1307"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Conversions in Part</w:t>
      </w:r>
      <w:r>
        <w:rPr>
          <w:rFonts w:ascii="Arial" w:cs="Arial" w:eastAsia="Arial" w:hAnsi="Arial"/>
          <w:sz w:val="16"/>
          <w:szCs w:val="16"/>
          <w:color w:val="auto"/>
        </w:rPr>
        <w:t>. Subject to the terms of this Indenture, Notes may be converted in part, but only in Authorized Denominations.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Provisions of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applying to the conversion of a Note in whole will equally apply to conversions of a permitted portion of a Note.</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When Notes May Be Converted</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980" w:hanging="675"/>
        <w:spacing w:after="0"/>
        <w:tabs>
          <w:tab w:leader="none" w:pos="198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5.01(C)(ii)</w:t>
      </w:r>
      <w:r>
        <w:rPr>
          <w:rFonts w:ascii="Arial" w:cs="Arial" w:eastAsia="Arial" w:hAnsi="Arial"/>
          <w:sz w:val="18"/>
          <w:szCs w:val="18"/>
          <w:color w:val="auto"/>
        </w:rPr>
        <w:t>, a Note may be converted only in the following circumstances:</w:t>
      </w:r>
    </w:p>
    <w:p>
      <w:pPr>
        <w:spacing w:after="0" w:line="229" w:lineRule="exact"/>
        <w:rPr>
          <w:rFonts w:ascii="Arial" w:cs="Arial" w:eastAsia="Arial" w:hAnsi="Arial"/>
          <w:sz w:val="18"/>
          <w:szCs w:val="18"/>
          <w:color w:val="auto"/>
        </w:rPr>
      </w:pPr>
    </w:p>
    <w:p>
      <w:pPr>
        <w:ind w:left="1300" w:firstLine="653"/>
        <w:spacing w:after="0" w:line="257" w:lineRule="auto"/>
        <w:tabs>
          <w:tab w:leader="none" w:pos="2604"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Conversion upon Satisfaction of Common Stock Sale Price Condition</w:t>
      </w:r>
      <w:r>
        <w:rPr>
          <w:rFonts w:ascii="Arial" w:cs="Arial" w:eastAsia="Arial" w:hAnsi="Arial"/>
          <w:sz w:val="18"/>
          <w:szCs w:val="18"/>
          <w:color w:val="auto"/>
        </w:rPr>
        <w:t>. A Holder may convert its Notes during any</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commencing after the calendar quarter ending on December 31, 2019 (and only during such calendar quarter),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188" w:lineRule="exact"/>
        <w:rPr>
          <w:rFonts w:ascii="Arial" w:cs="Arial" w:eastAsia="Arial" w:hAnsi="Arial"/>
          <w:sz w:val="18"/>
          <w:szCs w:val="18"/>
          <w:color w:val="auto"/>
        </w:rPr>
      </w:pPr>
    </w:p>
    <w:p>
      <w:pPr>
        <w:ind w:left="2600" w:hanging="647"/>
        <w:spacing w:after="0"/>
        <w:tabs>
          <w:tab w:leader="none" w:pos="2600"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Conversion upon Satisfaction of Note Trading Price Condition</w:t>
      </w:r>
      <w:r>
        <w:rPr>
          <w:rFonts w:ascii="Arial" w:cs="Arial" w:eastAsia="Arial" w:hAnsi="Arial"/>
          <w:sz w:val="18"/>
          <w:szCs w:val="18"/>
          <w:color w:val="auto"/>
        </w:rPr>
        <w:t>. A Holder may convert its Notes during the five</w:t>
      </w:r>
    </w:p>
    <w:p>
      <w:pPr>
        <w:spacing w:after="0" w:line="23" w:lineRule="exact"/>
        <w:rPr>
          <w:sz w:val="20"/>
          <w:szCs w:val="20"/>
          <w:color w:val="auto"/>
        </w:rPr>
      </w:pPr>
    </w:p>
    <w:p>
      <w:pPr>
        <w:ind w:left="1300" w:right="40" w:firstLine="5"/>
        <w:spacing w:after="0" w:line="292" w:lineRule="auto"/>
        <w:tabs>
          <w:tab w:leader="none" w:pos="15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consecutive Business Days immediately after any five (5) consecutive Trading Day period (such five (5) consecutive Trading Day period, the “</w:t>
      </w:r>
      <w:r>
        <w:rPr>
          <w:rFonts w:ascii="Arial" w:cs="Arial" w:eastAsia="Arial" w:hAnsi="Arial"/>
          <w:sz w:val="16"/>
          <w:szCs w:val="16"/>
          <w:b w:val="1"/>
          <w:bCs w:val="1"/>
          <w:color w:val="auto"/>
        </w:rPr>
        <w:t>Measurement Period</w:t>
      </w:r>
      <w:r>
        <w:rPr>
          <w:rFonts w:ascii="Arial" w:cs="Arial" w:eastAsia="Arial" w:hAnsi="Arial"/>
          <w:sz w:val="16"/>
          <w:szCs w:val="16"/>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Arial" w:cs="Arial" w:eastAsia="Arial" w:hAnsi="Arial"/>
          <w:sz w:val="16"/>
          <w:szCs w:val="16"/>
          <w:b w:val="1"/>
          <w:bCs w:val="1"/>
          <w:color w:val="auto"/>
        </w:rPr>
        <w:t>Trading Price Condition</w:t>
      </w:r>
      <w:r>
        <w:rPr>
          <w:rFonts w:ascii="Arial" w:cs="Arial" w:eastAsia="Arial" w:hAnsi="Arial"/>
          <w:sz w:val="16"/>
          <w:szCs w:val="16"/>
          <w:color w:val="auto"/>
        </w:rPr>
        <w:t>.”</w:t>
      </w:r>
    </w:p>
    <w:p>
      <w:pPr>
        <w:spacing w:after="0" w:line="159" w:lineRule="exact"/>
        <w:rPr>
          <w:sz w:val="20"/>
          <w:szCs w:val="20"/>
          <w:color w:val="auto"/>
        </w:rPr>
      </w:pPr>
    </w:p>
    <w:p>
      <w:pPr>
        <w:ind w:left="1300" w:right="40"/>
        <w:spacing w:after="0" w:line="274" w:lineRule="auto"/>
        <w:rPr>
          <w:sz w:val="20"/>
          <w:szCs w:val="20"/>
          <w:color w:val="auto"/>
        </w:rPr>
      </w:pPr>
      <w:r>
        <w:rPr>
          <w:rFonts w:ascii="Arial" w:cs="Arial" w:eastAsia="Arial" w:hAnsi="Arial"/>
          <w:sz w:val="17"/>
          <w:szCs w:val="17"/>
          <w:color w:val="auto"/>
        </w:rPr>
        <w:t xml:space="preserve">The Trading Price will be determined by the Bid Solicitation Agent pursuant to this </w:t>
      </w:r>
      <w:r>
        <w:rPr>
          <w:rFonts w:ascii="Arial" w:cs="Arial" w:eastAsia="Arial" w:hAnsi="Arial"/>
          <w:sz w:val="17"/>
          <w:szCs w:val="17"/>
          <w:b w:val="1"/>
          <w:bCs w:val="1"/>
          <w:color w:val="auto"/>
        </w:rPr>
        <w:t>Section 5.01(C)(i)(2)</w:t>
      </w:r>
      <w:r>
        <w:rPr>
          <w:rFonts w:ascii="Arial" w:cs="Arial" w:eastAsia="Arial" w:hAnsi="Arial"/>
          <w:sz w:val="17"/>
          <w:szCs w:val="17"/>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4" w:name="page45"/>
    <w:bookmarkEnd w:id="44"/>
    <w:p>
      <w:pPr>
        <w:ind w:left="100"/>
        <w:spacing w:after="0" w:line="271" w:lineRule="auto"/>
        <w:rPr>
          <w:sz w:val="20"/>
          <w:szCs w:val="20"/>
          <w:color w:val="auto"/>
        </w:rPr>
      </w:pPr>
      <w:r>
        <w:rPr>
          <w:rFonts w:ascii="Arial" w:cs="Arial" w:eastAsia="Arial" w:hAnsi="Arial"/>
          <w:sz w:val="17"/>
          <w:szCs w:val="17"/>
          <w:color w:val="auto"/>
        </w:rPr>
        <w:t>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179" w:lineRule="exact"/>
        <w:rPr>
          <w:sz w:val="20"/>
          <w:szCs w:val="20"/>
          <w:color w:val="auto"/>
        </w:rPr>
      </w:pPr>
    </w:p>
    <w:p>
      <w:pPr>
        <w:ind w:left="1400" w:hanging="647"/>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Conversion upon Specified Corporate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40" w:hanging="639"/>
        <w:spacing w:after="0"/>
        <w:tabs>
          <w:tab w:leader="none" w:pos="204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Certain Distributions</w:t>
      </w:r>
      <w:r>
        <w:rPr>
          <w:rFonts w:ascii="Arial" w:cs="Arial" w:eastAsia="Arial" w:hAnsi="Arial"/>
          <w:sz w:val="18"/>
          <w:szCs w:val="18"/>
          <w:color w:val="auto"/>
        </w:rPr>
        <w:t>. If the Company elects to:</w:t>
      </w:r>
    </w:p>
    <w:p>
      <w:pPr>
        <w:spacing w:after="0" w:line="225" w:lineRule="exact"/>
        <w:rPr>
          <w:rFonts w:ascii="Arial" w:cs="Arial" w:eastAsia="Arial" w:hAnsi="Arial"/>
          <w:sz w:val="18"/>
          <w:szCs w:val="18"/>
          <w:color w:val="auto"/>
        </w:rPr>
      </w:pPr>
    </w:p>
    <w:p>
      <w:pPr>
        <w:ind w:left="1400" w:firstLine="649"/>
        <w:spacing w:after="0" w:line="253" w:lineRule="auto"/>
        <w:tabs>
          <w:tab w:leader="none" w:pos="2701" w:val="left"/>
        </w:tabs>
        <w:numPr>
          <w:ilvl w:val="2"/>
          <w:numId w:val="51"/>
        </w:numPr>
        <w:rPr>
          <w:rFonts w:ascii="Arial" w:cs="Arial" w:eastAsia="Arial" w:hAnsi="Arial"/>
          <w:sz w:val="18"/>
          <w:szCs w:val="18"/>
          <w:color w:val="auto"/>
        </w:rPr>
      </w:pPr>
      <w:r>
        <w:rPr>
          <w:rFonts w:ascii="Arial" w:cs="Arial" w:eastAsia="Arial" w:hAnsi="Arial"/>
          <w:sz w:val="18"/>
          <w:szCs w:val="18"/>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Arial" w:cs="Arial" w:eastAsia="Arial" w:hAnsi="Arial"/>
          <w:sz w:val="18"/>
          <w:szCs w:val="18"/>
          <w:b w:val="1"/>
          <w:bCs w:val="1"/>
          <w:color w:val="auto"/>
        </w:rPr>
        <w:t>clause (I)</w:t>
      </w:r>
      <w:r>
        <w:rPr>
          <w:rFonts w:ascii="Arial" w:cs="Arial" w:eastAsia="Arial" w:hAnsi="Arial"/>
          <w:sz w:val="18"/>
          <w:szCs w:val="18"/>
          <w:color w:val="auto"/>
        </w:rPr>
        <w:t xml:space="preserve">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Arial" w:cs="Arial" w:eastAsia="Arial" w:hAnsi="Arial"/>
          <w:sz w:val="18"/>
          <w:szCs w:val="18"/>
          <w:b w:val="1"/>
          <w:bCs w:val="1"/>
          <w:color w:val="auto"/>
        </w:rPr>
        <w:t>Section 5.05(A)(ii)</w:t>
      </w:r>
      <w:r>
        <w:rPr>
          <w:rFonts w:ascii="Arial" w:cs="Arial" w:eastAsia="Arial" w:hAnsi="Arial"/>
          <w:sz w:val="18"/>
          <w:szCs w:val="18"/>
          <w:color w:val="auto"/>
        </w:rPr>
        <w:t>); or</w:t>
      </w:r>
    </w:p>
    <w:p>
      <w:pPr>
        <w:spacing w:after="0" w:line="197" w:lineRule="exact"/>
        <w:rPr>
          <w:sz w:val="20"/>
          <w:szCs w:val="20"/>
          <w:color w:val="auto"/>
        </w:rPr>
      </w:pPr>
    </w:p>
    <w:p>
      <w:pPr>
        <w:jc w:val="both"/>
        <w:ind w:left="1400" w:right="40" w:firstLine="649"/>
        <w:spacing w:after="0" w:line="279" w:lineRule="auto"/>
        <w:tabs>
          <w:tab w:leader="none" w:pos="2693"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spacing w:after="0" w:line="171" w:lineRule="exact"/>
        <w:rPr>
          <w:sz w:val="20"/>
          <w:szCs w:val="20"/>
          <w:color w:val="auto"/>
        </w:rPr>
      </w:pPr>
    </w:p>
    <w:p>
      <w:pPr>
        <w:ind w:left="760" w:right="20"/>
        <w:spacing w:after="0" w:line="264" w:lineRule="auto"/>
        <w:rPr>
          <w:sz w:val="20"/>
          <w:szCs w:val="20"/>
          <w:color w:val="auto"/>
        </w:rPr>
      </w:pPr>
      <w:r>
        <w:rPr>
          <w:rFonts w:ascii="Arial" w:cs="Arial" w:eastAsia="Arial" w:hAnsi="Arial"/>
          <w:sz w:val="18"/>
          <w:szCs w:val="18"/>
          <w:color w:val="auto"/>
        </w:rPr>
        <w:t>then, in either case, (x) the Company will send notice of such distribution, and of the related right to convert Notes, to Holders, the Trustee and the Conversion Agent at least forty-five (45) Scheduled Trading Days before the Ex-Dividend Date for such distribution (or, if later in the case of any</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45" w:name="page46"/>
    <w:bookmarkEnd w:id="45"/>
    <w:p>
      <w:pPr>
        <w:ind w:left="1304" w:right="280"/>
        <w:spacing w:after="0" w:line="276" w:lineRule="auto"/>
        <w:rPr>
          <w:sz w:val="20"/>
          <w:szCs w:val="20"/>
          <w:color w:val="auto"/>
        </w:rPr>
      </w:pPr>
      <w:r>
        <w:rPr>
          <w:rFonts w:ascii="Arial" w:cs="Arial" w:eastAsia="Arial" w:hAnsi="Arial"/>
          <w:sz w:val="17"/>
          <w:szCs w:val="17"/>
          <w:color w:val="auto"/>
        </w:rPr>
        <w:t>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w:t>
      </w:r>
    </w:p>
    <w:p>
      <w:pPr>
        <w:spacing w:after="0" w:line="173" w:lineRule="exact"/>
        <w:rPr>
          <w:sz w:val="20"/>
          <w:szCs w:val="20"/>
          <w:color w:val="auto"/>
        </w:rPr>
      </w:pPr>
    </w:p>
    <w:p>
      <w:pPr>
        <w:ind w:left="1304" w:firstLine="641"/>
        <w:spacing w:after="0" w:line="270" w:lineRule="auto"/>
        <w:tabs>
          <w:tab w:leader="none" w:pos="2607"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Certain Corporate Events</w:t>
      </w:r>
      <w:r>
        <w:rPr>
          <w:rFonts w:ascii="Arial" w:cs="Arial" w:eastAsia="Arial" w:hAnsi="Arial"/>
          <w:sz w:val="17"/>
          <w:szCs w:val="17"/>
          <w:color w:val="auto"/>
        </w:rPr>
        <w:t>. If a Fundamental Change, Make-Whole Fundamental Change or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Event occurs, then, in each case, Holders may convert their Notes at any time from, and including, the effective date of such transaction or event to, and including, the thirty fifth (35th) Trading Day after such effective date (or, if such transaction or event also constitutes a Fundamental Change, to, but excluding, the related Fundamental Change Repurchase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does not provide the notice referred to in the immediately following sentence by such effective date,</w:t>
      </w:r>
      <w:r>
        <w:rPr>
          <w:rFonts w:ascii="Arial" w:cs="Arial" w:eastAsia="Arial" w:hAnsi="Arial"/>
          <w:sz w:val="17"/>
          <w:szCs w:val="17"/>
          <w:i w:val="1"/>
          <w:iCs w:val="1"/>
          <w:color w:val="auto"/>
        </w:rPr>
        <w:t xml:space="preserve"> </w:t>
      </w:r>
      <w:r>
        <w:rPr>
          <w:rFonts w:ascii="Arial" w:cs="Arial" w:eastAsia="Arial" w:hAnsi="Arial"/>
          <w:sz w:val="17"/>
          <w:szCs w:val="17"/>
          <w:color w:val="auto"/>
        </w:rPr>
        <w:t>then the last day on which the Notes are convertible pursuant to this sentence will be extended by the number of Business Days from, and including, such effective date to, but excluding, the date the Company provides such notice. No later than such effective date, the Company will send notice to the Holders, the Trustee and the Conversion Agent of such transaction or event, such effective date and the related right to convert Notes.</w:t>
      </w:r>
    </w:p>
    <w:p>
      <w:pPr>
        <w:spacing w:after="0" w:line="182" w:lineRule="exact"/>
        <w:rPr>
          <w:sz w:val="20"/>
          <w:szCs w:val="20"/>
          <w:color w:val="auto"/>
        </w:rPr>
      </w:pPr>
    </w:p>
    <w:p>
      <w:pPr>
        <w:ind w:left="1304" w:right="580" w:firstLine="641"/>
        <w:spacing w:after="0" w:line="264" w:lineRule="auto"/>
        <w:tabs>
          <w:tab w:leader="none" w:pos="2607"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Conversions During Free Convertibility Period</w:t>
      </w:r>
      <w:r>
        <w:rPr>
          <w:rFonts w:ascii="Arial" w:cs="Arial" w:eastAsia="Arial" w:hAnsi="Arial"/>
          <w:sz w:val="18"/>
          <w:szCs w:val="18"/>
          <w:color w:val="auto"/>
        </w:rPr>
        <w:t>. A Holder may convert its Notes at any time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October 1, 2024 until the Close of Business on the second (2nd) Scheduled Trading Day immediately before the Maturity Date.</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For the avoidance of doubt, the Notes may become convertible pursuant to any one or more of the preceding sub-paragraphs of this </w:t>
      </w:r>
      <w:r>
        <w:rPr>
          <w:rFonts w:ascii="Arial" w:cs="Arial" w:eastAsia="Arial" w:hAnsi="Arial"/>
          <w:sz w:val="16"/>
          <w:szCs w:val="16"/>
          <w:b w:val="1"/>
          <w:bCs w:val="1"/>
          <w:color w:val="auto"/>
        </w:rPr>
        <w:t>Section 5.01(C)</w:t>
      </w:r>
    </w:p>
    <w:p>
      <w:pPr>
        <w:spacing w:after="0" w:line="50" w:lineRule="exact"/>
        <w:rPr>
          <w:sz w:val="20"/>
          <w:szCs w:val="20"/>
          <w:color w:val="auto"/>
        </w:rPr>
      </w:pPr>
    </w:p>
    <w:p>
      <w:pPr>
        <w:ind w:left="4" w:right="180" w:hanging="4"/>
        <w:spacing w:after="0" w:line="261" w:lineRule="auto"/>
        <w:tabs>
          <w:tab w:leader="none" w:pos="219"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 xml:space="preserve">and the Notes ceasing to be convertible pursuant to a particular sub-paragraph of this </w:t>
      </w:r>
      <w:r>
        <w:rPr>
          <w:rFonts w:ascii="Arial" w:cs="Arial" w:eastAsia="Arial" w:hAnsi="Arial"/>
          <w:sz w:val="18"/>
          <w:szCs w:val="18"/>
          <w:b w:val="1"/>
          <w:bCs w:val="1"/>
          <w:color w:val="auto"/>
        </w:rPr>
        <w:t>Section 5.01(C)(i)</w:t>
      </w:r>
      <w:r>
        <w:rPr>
          <w:rFonts w:ascii="Arial" w:cs="Arial" w:eastAsia="Arial" w:hAnsi="Arial"/>
          <w:sz w:val="18"/>
          <w:szCs w:val="18"/>
          <w:color w:val="auto"/>
        </w:rPr>
        <w:t xml:space="preserve"> will not preclude the Notes from being convertible pursuant to any other sub-paragraph of this </w:t>
      </w:r>
      <w:r>
        <w:rPr>
          <w:rFonts w:ascii="Arial" w:cs="Arial" w:eastAsia="Arial" w:hAnsi="Arial"/>
          <w:sz w:val="18"/>
          <w:szCs w:val="18"/>
          <w:b w:val="1"/>
          <w:bCs w:val="1"/>
          <w:color w:val="auto"/>
        </w:rPr>
        <w:t>Section 5.01(C)(i)</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left="1324" w:hanging="675"/>
        <w:spacing w:after="0"/>
        <w:tabs>
          <w:tab w:leader="none" w:pos="1324"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Limitations and Closed Periods</w:t>
      </w:r>
      <w:r>
        <w:rPr>
          <w:rFonts w:ascii="Arial" w:cs="Arial" w:eastAsia="Arial" w:hAnsi="Arial"/>
          <w:sz w:val="18"/>
          <w:szCs w:val="18"/>
          <w:color w:val="auto"/>
        </w:rPr>
        <w:t>. Notwithstanding anything to the contrary in this Indenture or the Notes:</w:t>
      </w:r>
    </w:p>
    <w:p>
      <w:pPr>
        <w:spacing w:after="0" w:line="225" w:lineRule="exact"/>
        <w:rPr>
          <w:rFonts w:ascii="Arial" w:cs="Arial" w:eastAsia="Arial" w:hAnsi="Arial"/>
          <w:sz w:val="18"/>
          <w:szCs w:val="18"/>
          <w:color w:val="auto"/>
        </w:rPr>
      </w:pPr>
    </w:p>
    <w:p>
      <w:pPr>
        <w:ind w:left="644" w:right="100" w:firstLine="653"/>
        <w:spacing w:after="0" w:line="277" w:lineRule="auto"/>
        <w:tabs>
          <w:tab w:leader="none" w:pos="1947" w:val="left"/>
        </w:tabs>
        <w:numPr>
          <w:ilvl w:val="2"/>
          <w:numId w:val="55"/>
        </w:numPr>
        <w:rPr>
          <w:rFonts w:ascii="Arial" w:cs="Arial" w:eastAsia="Arial" w:hAnsi="Arial"/>
          <w:sz w:val="18"/>
          <w:szCs w:val="18"/>
          <w:color w:val="auto"/>
        </w:rPr>
      </w:pPr>
      <w:r>
        <w:rPr>
          <w:rFonts w:ascii="Arial" w:cs="Arial" w:eastAsia="Arial" w:hAnsi="Arial"/>
          <w:sz w:val="18"/>
          <w:szCs w:val="18"/>
          <w:color w:val="auto"/>
        </w:rPr>
        <w:t>Notes may be surrendered for conversion only after the Open of Business and before the Close of Business on a day that is a Business Day;</w:t>
      </w:r>
    </w:p>
    <w:p>
      <w:pPr>
        <w:spacing w:after="0" w:line="170" w:lineRule="exact"/>
        <w:rPr>
          <w:rFonts w:ascii="Arial" w:cs="Arial" w:eastAsia="Arial" w:hAnsi="Arial"/>
          <w:sz w:val="18"/>
          <w:szCs w:val="18"/>
          <w:color w:val="auto"/>
        </w:rPr>
      </w:pPr>
    </w:p>
    <w:p>
      <w:pPr>
        <w:ind w:left="644" w:right="760" w:firstLine="653"/>
        <w:spacing w:after="0" w:line="277" w:lineRule="auto"/>
        <w:tabs>
          <w:tab w:leader="none" w:pos="1947" w:val="left"/>
        </w:tabs>
        <w:numPr>
          <w:ilvl w:val="2"/>
          <w:numId w:val="55"/>
        </w:numPr>
        <w:rPr>
          <w:rFonts w:ascii="Arial" w:cs="Arial" w:eastAsia="Arial" w:hAnsi="Arial"/>
          <w:sz w:val="18"/>
          <w:szCs w:val="18"/>
          <w:color w:val="auto"/>
        </w:rPr>
      </w:pPr>
      <w:r>
        <w:rPr>
          <w:rFonts w:ascii="Arial" w:cs="Arial" w:eastAsia="Arial" w:hAnsi="Arial"/>
          <w:sz w:val="18"/>
          <w:szCs w:val="18"/>
          <w:color w:val="auto"/>
        </w:rPr>
        <w:t>in no event may any Note be converted after the Close of Business on the second (2nd) Scheduled Trading Day immediately before the Maturity Date; and</w:t>
      </w:r>
    </w:p>
    <w:p>
      <w:pPr>
        <w:spacing w:after="0" w:line="170" w:lineRule="exact"/>
        <w:rPr>
          <w:rFonts w:ascii="Arial" w:cs="Arial" w:eastAsia="Arial" w:hAnsi="Arial"/>
          <w:sz w:val="18"/>
          <w:szCs w:val="18"/>
          <w:color w:val="auto"/>
        </w:rPr>
      </w:pPr>
    </w:p>
    <w:p>
      <w:pPr>
        <w:ind w:left="1944" w:hanging="647"/>
        <w:spacing w:after="0"/>
        <w:tabs>
          <w:tab w:leader="none" w:pos="1944" w:val="left"/>
        </w:tabs>
        <w:numPr>
          <w:ilvl w:val="2"/>
          <w:numId w:val="55"/>
        </w:numPr>
        <w:rPr>
          <w:rFonts w:ascii="Arial" w:cs="Arial" w:eastAsia="Arial" w:hAnsi="Arial"/>
          <w:sz w:val="18"/>
          <w:szCs w:val="18"/>
          <w:color w:val="auto"/>
        </w:rPr>
      </w:pPr>
      <w:r>
        <w:rPr>
          <w:rFonts w:ascii="Arial" w:cs="Arial" w:eastAsia="Arial" w:hAnsi="Arial"/>
          <w:sz w:val="18"/>
          <w:szCs w:val="18"/>
          <w:color w:val="auto"/>
        </w:rPr>
        <w:t>if a Fundamental Change Repurchase Notice is validly delivered</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46" w:name="page47"/>
    <w:bookmarkEnd w:id="46"/>
    <w:p>
      <w:pPr>
        <w:ind w:left="1300" w:right="40"/>
        <w:spacing w:after="0" w:line="266"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color w:val="auto"/>
        </w:rPr>
        <w:t>Section 4.02(F)</w:t>
      </w:r>
      <w:r>
        <w:rPr>
          <w:rFonts w:ascii="Arial" w:cs="Arial" w:eastAsia="Arial" w:hAnsi="Arial"/>
          <w:sz w:val="18"/>
          <w:szCs w:val="18"/>
          <w:color w:val="auto"/>
        </w:rPr>
        <w:t xml:space="preserve"> with respect to any Note, then such Note may not be converted, except to the extent (a) such Note is not subject to such notice; (b) such notice is withdrawn in accordance with </w:t>
      </w:r>
      <w:r>
        <w:rPr>
          <w:rFonts w:ascii="Arial" w:cs="Arial" w:eastAsia="Arial" w:hAnsi="Arial"/>
          <w:sz w:val="18"/>
          <w:szCs w:val="18"/>
          <w:b w:val="1"/>
          <w:bCs w:val="1"/>
          <w:color w:val="auto"/>
        </w:rPr>
        <w:t>Section 4.02(F)</w:t>
      </w:r>
      <w:r>
        <w:rPr>
          <w:rFonts w:ascii="Arial" w:cs="Arial" w:eastAsia="Arial" w:hAnsi="Arial"/>
          <w:sz w:val="18"/>
          <w:szCs w:val="18"/>
          <w:color w:val="auto"/>
        </w:rPr>
        <w:t>; or (c) the Company fails to pay the Fundamental Change Repurchase Price for such Note in accordance with this Indenture.</w:t>
      </w:r>
    </w:p>
    <w:p>
      <w:pPr>
        <w:spacing w:after="0" w:line="17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7"/>
          <w:szCs w:val="17"/>
          <w:b w:val="1"/>
          <w:bCs w:val="1"/>
          <w:color w:val="auto"/>
        </w:rPr>
        <w:t>CONVERSION PROCEDURES.</w:t>
      </w:r>
    </w:p>
    <w:p>
      <w:pPr>
        <w:spacing w:after="0" w:line="229" w:lineRule="exact"/>
        <w:rPr>
          <w:sz w:val="20"/>
          <w:szCs w:val="20"/>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right="120" w:firstLine="645"/>
        <w:spacing w:after="0" w:line="266" w:lineRule="auto"/>
        <w:tabs>
          <w:tab w:leader="none" w:pos="1978"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To convert a beneficial interest in a Global Note that is convertible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w:t>
      </w:r>
      <w:r>
        <w:rPr>
          <w:rFonts w:ascii="Arial" w:cs="Arial" w:eastAsia="Arial" w:hAnsi="Arial"/>
          <w:sz w:val="18"/>
          <w:szCs w:val="18"/>
          <w:color w:val="auto"/>
        </w:rPr>
        <w:t>, the owner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beneficial interest must (1) comply with the Depositary Procedures for converting such beneficial interest (at which time such conversion will become irrevocable); and (2) pay any amounts due pursuant to </w:t>
      </w:r>
      <w:r>
        <w:rPr>
          <w:rFonts w:ascii="Arial" w:cs="Arial" w:eastAsia="Arial" w:hAnsi="Arial"/>
          <w:sz w:val="18"/>
          <w:szCs w:val="18"/>
          <w:b w:val="1"/>
          <w:bCs w:val="1"/>
          <w:color w:val="auto"/>
        </w:rPr>
        <w:t>Section 5.02(D)</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5.02(E)</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660" w:right="40" w:firstLine="645"/>
        <w:spacing w:after="0" w:line="258" w:lineRule="auto"/>
        <w:tabs>
          <w:tab w:leader="none" w:pos="1987"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Physical Notes</w:t>
      </w:r>
      <w:r>
        <w:rPr>
          <w:rFonts w:ascii="Arial" w:cs="Arial" w:eastAsia="Arial" w:hAnsi="Arial"/>
          <w:sz w:val="18"/>
          <w:szCs w:val="18"/>
          <w:color w:val="auto"/>
        </w:rPr>
        <w:t>. To convert all or a portion of a Physical Note that is convertible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w:t>
      </w:r>
      <w:r>
        <w:rPr>
          <w:rFonts w:ascii="Arial" w:cs="Arial" w:eastAsia="Arial" w:hAnsi="Arial"/>
          <w:sz w:val="18"/>
          <w:szCs w:val="18"/>
          <w:color w:val="auto"/>
        </w:rPr>
        <w:t>, the Holder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Arial" w:cs="Arial" w:eastAsia="Arial" w:hAnsi="Arial"/>
          <w:sz w:val="18"/>
          <w:szCs w:val="18"/>
          <w:b w:val="1"/>
          <w:bCs w:val="1"/>
          <w:color w:val="auto"/>
        </w:rPr>
        <w:t xml:space="preserve">Section 5.02(D) </w:t>
      </w:r>
      <w:r>
        <w:rPr>
          <w:rFonts w:ascii="Arial" w:cs="Arial" w:eastAsia="Arial" w:hAnsi="Arial"/>
          <w:sz w:val="18"/>
          <w:szCs w:val="18"/>
          <w:color w:val="auto"/>
        </w:rPr>
        <w:t>or</w:t>
      </w:r>
      <w:r>
        <w:rPr>
          <w:rFonts w:ascii="Arial" w:cs="Arial" w:eastAsia="Arial" w:hAnsi="Arial"/>
          <w:sz w:val="18"/>
          <w:szCs w:val="18"/>
          <w:b w:val="1"/>
          <w:bCs w:val="1"/>
          <w:color w:val="auto"/>
        </w:rPr>
        <w:t xml:space="preserve"> Section 5.02(E)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260" w:firstLine="656"/>
        <w:spacing w:after="0" w:line="286" w:lineRule="auto"/>
        <w:tabs>
          <w:tab w:leader="none" w:pos="1307"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Effect of Converting a Note</w:t>
      </w:r>
      <w:r>
        <w:rPr>
          <w:rFonts w:ascii="Arial" w:cs="Arial" w:eastAsia="Arial" w:hAnsi="Arial"/>
          <w:sz w:val="17"/>
          <w:szCs w:val="17"/>
          <w:color w:val="auto"/>
        </w:rPr>
        <w:t>. At the Close of Business on the Conversion Date for a Note (or any portion thereof), such Note (or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portion thereof) will be deemed to cease to be outstanding (and, for the avoidance of doubt, no Person will be deemed to be a Holder of such Note (or such portion thereof) as of the Close of Business on such Conversion Date), except to the extent provided in </w:t>
      </w:r>
      <w:r>
        <w:rPr>
          <w:rFonts w:ascii="Arial" w:cs="Arial" w:eastAsia="Arial" w:hAnsi="Arial"/>
          <w:sz w:val="17"/>
          <w:szCs w:val="17"/>
          <w:b w:val="1"/>
          <w:bCs w:val="1"/>
          <w:color w:val="auto"/>
        </w:rPr>
        <w:t>Section 5.02(D)</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180" w:firstLine="656"/>
        <w:spacing w:after="0" w:line="312" w:lineRule="auto"/>
        <w:tabs>
          <w:tab w:leader="none" w:pos="1307"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Holder of Record of Conversion Shares</w:t>
      </w:r>
      <w:r>
        <w:rPr>
          <w:rFonts w:ascii="Arial" w:cs="Arial" w:eastAsia="Arial" w:hAnsi="Arial"/>
          <w:sz w:val="16"/>
          <w:szCs w:val="16"/>
          <w:color w:val="auto"/>
        </w:rPr>
        <w:t>. The Person in whose name any share of Common Stock is issuable upon conversion of any Note</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146" w:lineRule="exact"/>
        <w:rPr>
          <w:rFonts w:ascii="Arial" w:cs="Arial" w:eastAsia="Arial" w:hAnsi="Arial"/>
          <w:sz w:val="16"/>
          <w:szCs w:val="16"/>
          <w:color w:val="auto"/>
        </w:rPr>
      </w:pPr>
    </w:p>
    <w:p>
      <w:pPr>
        <w:ind w:firstLine="656"/>
        <w:spacing w:after="0" w:line="293" w:lineRule="auto"/>
        <w:tabs>
          <w:tab w:leader="none" w:pos="1317"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Interest Payable upon Conversion in Certain Circumstances</w:t>
      </w:r>
      <w:r>
        <w:rPr>
          <w:rFonts w:ascii="Arial" w:cs="Arial" w:eastAsia="Arial" w:hAnsi="Arial"/>
          <w:sz w:val="16"/>
          <w:szCs w:val="16"/>
          <w:color w:val="auto"/>
        </w:rPr>
        <w:t>. If the Conversion Date of a Note is after a Regular Record Date and before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clause (i) above; </w:t>
      </w:r>
      <w:r>
        <w:rPr>
          <w:rFonts w:ascii="Arial" w:cs="Arial" w:eastAsia="Arial" w:hAnsi="Arial"/>
          <w:sz w:val="16"/>
          <w:szCs w:val="16"/>
          <w:i w:val="1"/>
          <w:iCs w:val="1"/>
          <w:color w:val="auto"/>
        </w:rPr>
        <w:t>provided</w:t>
      </w:r>
      <w:r>
        <w:rPr>
          <w:rFonts w:ascii="Arial" w:cs="Arial" w:eastAsia="Arial" w:hAnsi="Arial"/>
          <w:sz w:val="16"/>
          <w:szCs w:val="16"/>
          <w:color w:val="auto"/>
        </w:rPr>
        <w: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ind w:right="60"/>
        <w:spacing w:after="0" w:line="289" w:lineRule="auto"/>
        <w:rPr>
          <w:sz w:val="20"/>
          <w:szCs w:val="20"/>
          <w:color w:val="auto"/>
        </w:rPr>
      </w:pPr>
      <w:r>
        <w:rPr>
          <w:rFonts w:ascii="Arial" w:cs="Arial" w:eastAsia="Arial" w:hAnsi="Arial"/>
          <w:sz w:val="16"/>
          <w:szCs w:val="16"/>
          <w:i w:val="1"/>
          <w:iCs w:val="1"/>
          <w:color w:val="auto"/>
        </w:rPr>
        <w:t>however</w:t>
      </w:r>
      <w:r>
        <w:rPr>
          <w:rFonts w:ascii="Arial" w:cs="Arial" w:eastAsia="Arial" w:hAnsi="Arial"/>
          <w:sz w:val="16"/>
          <w:szCs w:val="16"/>
          <w:color w:val="auto"/>
        </w:rPr>
        <w:t>, that the Holder surrendering such Note for conversion need not deliver such cash (w) if such Conversion Date occurs after the Regular Record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immediately before the Maturity Date; (x) if the Company has specified a Fundamental Change Repurchase Date that is after such Regular Record Date and on or before the Business Day immediately after such Interest Payment Date; or (y)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Arial" w:cs="Arial" w:eastAsia="Arial" w:hAnsi="Arial"/>
          <w:sz w:val="16"/>
          <w:szCs w:val="16"/>
          <w:b w:val="1"/>
          <w:bCs w:val="1"/>
          <w:color w:val="auto"/>
        </w:rPr>
        <w:t>Section 5.02(D)</w:t>
      </w:r>
      <w:r>
        <w:rPr>
          <w:rFonts w:ascii="Arial" w:cs="Arial" w:eastAsia="Arial" w:hAnsi="Arial"/>
          <w:sz w:val="16"/>
          <w:szCs w:val="16"/>
          <w:color w:val="auto"/>
        </w:rPr>
        <w:t>.</w:t>
      </w:r>
    </w:p>
    <w:p>
      <w:pPr>
        <w:spacing w:after="0" w:line="167" w:lineRule="exact"/>
        <w:rPr>
          <w:sz w:val="20"/>
          <w:szCs w:val="20"/>
          <w:color w:val="auto"/>
        </w:rPr>
      </w:pPr>
    </w:p>
    <w:p>
      <w:pPr>
        <w:ind w:right="40" w:firstLine="656"/>
        <w:spacing w:after="0" w:line="302" w:lineRule="auto"/>
        <w:tabs>
          <w:tab w:leader="none" w:pos="131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Taxes and Duties. </w:t>
      </w:r>
      <w:r>
        <w:rPr>
          <w:rFonts w:ascii="Arial" w:cs="Arial" w:eastAsia="Arial" w:hAnsi="Arial"/>
          <w:sz w:val="16"/>
          <w:szCs w:val="16"/>
          <w:color w:val="auto"/>
        </w:rPr>
        <w:t>If a Holder converts a Note, the Company will pay any documentary, stamp or similar issue or transfer tax or duty due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the issue of any shares of Common Stock upon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54" w:lineRule="exact"/>
        <w:rPr>
          <w:rFonts w:ascii="Arial" w:cs="Arial" w:eastAsia="Arial" w:hAnsi="Arial"/>
          <w:sz w:val="16"/>
          <w:szCs w:val="16"/>
          <w:color w:val="auto"/>
        </w:rPr>
      </w:pPr>
    </w:p>
    <w:p>
      <w:pPr>
        <w:ind w:right="140" w:firstLine="656"/>
        <w:spacing w:after="0" w:line="259" w:lineRule="auto"/>
        <w:tabs>
          <w:tab w:leader="none" w:pos="131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Conversion Agent to Notify Company of Conversions</w:t>
      </w:r>
      <w:r>
        <w:rPr>
          <w:rFonts w:ascii="Arial" w:cs="Arial" w:eastAsia="Arial" w:hAnsi="Arial"/>
          <w:sz w:val="18"/>
          <w:szCs w:val="18"/>
          <w:color w:val="auto"/>
        </w:rPr>
        <w:t>. If any Note is submitted for conversion to the Conversion Agent or the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5.03.</w:t>
      </w:r>
      <w:r>
        <w:rPr>
          <w:sz w:val="20"/>
          <w:szCs w:val="20"/>
          <w:color w:val="auto"/>
        </w:rPr>
        <w:tab/>
      </w:r>
      <w:r>
        <w:rPr>
          <w:rFonts w:ascii="Arial" w:cs="Arial" w:eastAsia="Arial" w:hAnsi="Arial"/>
          <w:sz w:val="18"/>
          <w:szCs w:val="18"/>
          <w:b w:val="1"/>
          <w:bCs w:val="1"/>
          <w:color w:val="auto"/>
        </w:rPr>
        <w:t>SETTLEMENT UPON CONVERSION.</w:t>
      </w:r>
    </w:p>
    <w:p>
      <w:pPr>
        <w:spacing w:after="0" w:line="229" w:lineRule="exact"/>
        <w:rPr>
          <w:sz w:val="20"/>
          <w:szCs w:val="20"/>
          <w:color w:val="auto"/>
        </w:rPr>
      </w:pPr>
    </w:p>
    <w:p>
      <w:pPr>
        <w:jc w:val="both"/>
        <w:ind w:right="120" w:firstLine="656"/>
        <w:spacing w:after="0" w:line="302" w:lineRule="auto"/>
        <w:tabs>
          <w:tab w:leader="none" w:pos="1317"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Settlement Method</w:t>
      </w:r>
      <w:r>
        <w:rPr>
          <w:rFonts w:ascii="Arial" w:cs="Arial" w:eastAsia="Arial" w:hAnsi="Arial"/>
          <w:sz w:val="16"/>
          <w:szCs w:val="16"/>
          <w:color w:val="auto"/>
        </w:rPr>
        <w:t>. Upon the conversion of any Note, the Company will settle such conversion by paying or delivering, as applicable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provided in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either (x) shares of Common Stock, together, if applicable, with cash in lieu of fractional shares as provided in </w:t>
      </w:r>
      <w:r>
        <w:rPr>
          <w:rFonts w:ascii="Arial" w:cs="Arial" w:eastAsia="Arial" w:hAnsi="Arial"/>
          <w:sz w:val="16"/>
          <w:szCs w:val="16"/>
          <w:b w:val="1"/>
          <w:bCs w:val="1"/>
          <w:color w:val="auto"/>
        </w:rPr>
        <w:t>Section 5.03(B)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(i)(1) </w:t>
      </w:r>
      <w:r>
        <w:rPr>
          <w:rFonts w:ascii="Arial" w:cs="Arial" w:eastAsia="Arial" w:hAnsi="Arial"/>
          <w:sz w:val="16"/>
          <w:szCs w:val="16"/>
          <w:color w:val="auto"/>
        </w:rPr>
        <w:t>(a “</w:t>
      </w:r>
      <w:r>
        <w:rPr>
          <w:rFonts w:ascii="Arial" w:cs="Arial" w:eastAsia="Arial" w:hAnsi="Arial"/>
          <w:sz w:val="16"/>
          <w:szCs w:val="16"/>
          <w:b w:val="1"/>
          <w:bCs w:val="1"/>
          <w:color w:val="auto"/>
        </w:rPr>
        <w:t>Physical Settlement</w:t>
      </w:r>
      <w:r>
        <w:rPr>
          <w:rFonts w:ascii="Arial" w:cs="Arial" w:eastAsia="Arial" w:hAnsi="Arial"/>
          <w:sz w:val="16"/>
          <w:szCs w:val="16"/>
          <w:color w:val="auto"/>
        </w:rPr>
        <w:t>”); (y) solely cash as provided in</w:t>
      </w:r>
      <w:r>
        <w:rPr>
          <w:rFonts w:ascii="Arial" w:cs="Arial" w:eastAsia="Arial" w:hAnsi="Arial"/>
          <w:sz w:val="16"/>
          <w:szCs w:val="16"/>
          <w:b w:val="1"/>
          <w:bCs w:val="1"/>
          <w:color w:val="auto"/>
        </w:rPr>
        <w:t xml:space="preserve"> Section 5.03(B)(i)(2) </w:t>
      </w:r>
      <w:r>
        <w:rPr>
          <w:rFonts w:ascii="Arial" w:cs="Arial" w:eastAsia="Arial" w:hAnsi="Arial"/>
          <w:sz w:val="16"/>
          <w:szCs w:val="16"/>
          <w:color w:val="auto"/>
        </w:rPr>
        <w:t>(a “</w:t>
      </w:r>
      <w:r>
        <w:rPr>
          <w:rFonts w:ascii="Arial" w:cs="Arial" w:eastAsia="Arial" w:hAnsi="Arial"/>
          <w:sz w:val="16"/>
          <w:szCs w:val="16"/>
          <w:b w:val="1"/>
          <w:bCs w:val="1"/>
          <w:color w:val="auto"/>
        </w:rPr>
        <w:t>Cash Settlement</w:t>
      </w:r>
      <w:r>
        <w:rPr>
          <w:rFonts w:ascii="Arial" w:cs="Arial" w:eastAsia="Arial" w:hAnsi="Arial"/>
          <w:sz w:val="16"/>
          <w:szCs w:val="16"/>
          <w:color w:val="auto"/>
        </w:rPr>
        <w:t>”); or (z) a combination of cash and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together, if applicable, with cash in lieu of fractional shares as provided in </w:t>
      </w:r>
      <w:r>
        <w:rPr>
          <w:rFonts w:ascii="Arial" w:cs="Arial" w:eastAsia="Arial" w:hAnsi="Arial"/>
          <w:sz w:val="16"/>
          <w:szCs w:val="16"/>
          <w:b w:val="1"/>
          <w:bCs w:val="1"/>
          <w:color w:val="auto"/>
        </w:rPr>
        <w:t>Section 5.03(B)(i)(3)</w:t>
      </w:r>
      <w:r>
        <w:rPr>
          <w:rFonts w:ascii="Arial" w:cs="Arial" w:eastAsia="Arial" w:hAnsi="Arial"/>
          <w:sz w:val="16"/>
          <w:szCs w:val="16"/>
          <w:color w:val="auto"/>
        </w:rPr>
        <w:t xml:space="preserve"> (a “</w:t>
      </w:r>
      <w:r>
        <w:rPr>
          <w:rFonts w:ascii="Arial" w:cs="Arial" w:eastAsia="Arial" w:hAnsi="Arial"/>
          <w:sz w:val="16"/>
          <w:szCs w:val="16"/>
          <w:b w:val="1"/>
          <w:bCs w:val="1"/>
          <w:color w:val="auto"/>
        </w:rPr>
        <w:t>Combination Settlement</w:t>
      </w:r>
      <w:r>
        <w:rPr>
          <w:rFonts w:ascii="Arial" w:cs="Arial" w:eastAsia="Arial" w:hAnsi="Arial"/>
          <w:sz w:val="16"/>
          <w:szCs w:val="16"/>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 will have the right to elect the Settlement Method applicable to any conversion of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225" w:lineRule="exact"/>
        <w:rPr>
          <w:sz w:val="20"/>
          <w:szCs w:val="20"/>
          <w:color w:val="auto"/>
        </w:rPr>
      </w:pPr>
    </w:p>
    <w:p>
      <w:pPr>
        <w:ind w:left="660" w:firstLine="645"/>
        <w:spacing w:after="0" w:line="277" w:lineRule="auto"/>
        <w:tabs>
          <w:tab w:leader="none" w:pos="19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conversions of Notes with a Conversion Date that occurs on or after the eighty-fifth (85th) Scheduled Trading Day immediately before the Maturity Date will be settled using the same Settlement Method, and the Company will send notice of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left="660" w:right="500"/>
        <w:spacing w:after="0" w:line="277" w:lineRule="auto"/>
        <w:rPr>
          <w:sz w:val="20"/>
          <w:szCs w:val="20"/>
          <w:color w:val="auto"/>
        </w:rPr>
      </w:pPr>
      <w:r>
        <w:rPr>
          <w:rFonts w:ascii="Arial" w:cs="Arial" w:eastAsia="Arial" w:hAnsi="Arial"/>
          <w:sz w:val="18"/>
          <w:szCs w:val="18"/>
          <w:color w:val="auto"/>
        </w:rPr>
        <w:t>Settlement Method to Holders and the Conversion Agent no later than the Open of Business on the eighty-fifth (85th) Scheduled Trading Day immediately before the Maturity Date;</w:t>
      </w:r>
    </w:p>
    <w:p>
      <w:pPr>
        <w:spacing w:after="0" w:line="170" w:lineRule="exact"/>
        <w:rPr>
          <w:sz w:val="20"/>
          <w:szCs w:val="20"/>
          <w:color w:val="auto"/>
        </w:rPr>
      </w:pPr>
    </w:p>
    <w:p>
      <w:pPr>
        <w:jc w:val="both"/>
        <w:ind w:left="660" w:firstLine="645"/>
        <w:spacing w:after="0" w:line="312" w:lineRule="auto"/>
        <w:tabs>
          <w:tab w:leader="none" w:pos="1987"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Company elects a Settlement Method with respect to the conversion of any Note whose Conversion Date occurs before the eighty-fifth (85th) Scheduled Trading Day immediately before the Maturity Date, then the Company will send notice of such Settlement Method to the Holder of such Note and the Conversion Agent no later than the Close of Business on the Business Day immediately after such Conversion Date;</w:t>
      </w:r>
    </w:p>
    <w:p>
      <w:pPr>
        <w:spacing w:after="0" w:line="146" w:lineRule="exact"/>
        <w:rPr>
          <w:rFonts w:ascii="Arial" w:cs="Arial" w:eastAsia="Arial" w:hAnsi="Arial"/>
          <w:sz w:val="16"/>
          <w:szCs w:val="16"/>
          <w:color w:val="auto"/>
        </w:rPr>
      </w:pPr>
    </w:p>
    <w:p>
      <w:pPr>
        <w:ind w:left="660" w:right="180" w:firstLine="645"/>
        <w:spacing w:after="0" w:line="264" w:lineRule="auto"/>
        <w:tabs>
          <w:tab w:leader="none" w:pos="19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Company will use the same Settlement Method for all conversions of Notes with a Conversion Date that occurs on the same day (and, for the avoidance of doubt, the Company will not be obligated to use the same Settlement Method with respect to conversions of Notes whose Conversion Dates occur on different days, except as provided in </w:t>
      </w:r>
      <w:r>
        <w:rPr>
          <w:rFonts w:ascii="Arial" w:cs="Arial" w:eastAsia="Arial" w:hAnsi="Arial"/>
          <w:sz w:val="18"/>
          <w:szCs w:val="18"/>
          <w:b w:val="1"/>
          <w:bCs w:val="1"/>
          <w:color w:val="auto"/>
        </w:rPr>
        <w:t>clause (i)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64" w:lineRule="auto"/>
        <w:tabs>
          <w:tab w:leader="none" w:pos="19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spacing w:after="0" w:line="181" w:lineRule="exact"/>
        <w:rPr>
          <w:rFonts w:ascii="Arial" w:cs="Arial" w:eastAsia="Arial" w:hAnsi="Arial"/>
          <w:sz w:val="18"/>
          <w:szCs w:val="18"/>
          <w:color w:val="auto"/>
        </w:rPr>
      </w:pPr>
    </w:p>
    <w:p>
      <w:pPr>
        <w:ind w:left="660" w:right="80" w:firstLine="645"/>
        <w:spacing w:after="0" w:line="259" w:lineRule="auto"/>
        <w:tabs>
          <w:tab w:leader="none" w:pos="19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82" w:lineRule="exact"/>
        <w:rPr>
          <w:rFonts w:ascii="Arial" w:cs="Arial" w:eastAsia="Arial" w:hAnsi="Arial"/>
          <w:sz w:val="18"/>
          <w:szCs w:val="18"/>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Settlement Method will be subject to </w:t>
      </w:r>
      <w:r>
        <w:rPr>
          <w:rFonts w:ascii="Arial" w:cs="Arial" w:eastAsia="Arial" w:hAnsi="Arial"/>
          <w:sz w:val="18"/>
          <w:szCs w:val="18"/>
          <w:b w:val="1"/>
          <w:bCs w:val="1"/>
          <w:color w:val="auto"/>
        </w:rPr>
        <w:t>Section 5.08(A)(2)</w:t>
      </w:r>
      <w:r>
        <w:rPr>
          <w:rFonts w:ascii="Arial" w:cs="Arial" w:eastAsia="Arial" w:hAnsi="Arial"/>
          <w:sz w:val="18"/>
          <w:szCs w:val="18"/>
          <w:color w:val="auto"/>
        </w:rPr>
        <w:t>.</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addition, the Company will have the right, exercisable at its election by sending notice of such exercise to the Holders (with a copy to the Trustee and the Conversion Agent), to irrevocably fix the Settlement Method that will apply to all conversions of Notes with a Conversion Date that occurs on or after the date such notice is sent to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Settlement Method must be a Settlement Method that the Company is then permitted to elect (for the avoidance of doubt, including pursuant to, and subject to, the other provisions of this </w:t>
      </w:r>
      <w:r>
        <w:rPr>
          <w:rFonts w:ascii="Arial" w:cs="Arial" w:eastAsia="Arial" w:hAnsi="Arial"/>
          <w:sz w:val="17"/>
          <w:szCs w:val="17"/>
          <w:b w:val="1"/>
          <w:bCs w:val="1"/>
          <w:color w:val="auto"/>
        </w:rPr>
        <w:t>Section 5.03(A)</w:t>
      </w:r>
      <w:r>
        <w:rPr>
          <w:rFonts w:ascii="Arial" w:cs="Arial" w:eastAsia="Arial" w:hAnsi="Arial"/>
          <w:sz w:val="17"/>
          <w:szCs w:val="17"/>
          <w:color w:val="auto"/>
        </w:rPr>
        <w:t xml:space="preserve">). Such notice, if sent, must set forth the applicable Settlement Method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Arial" w:cs="Arial" w:eastAsia="Arial" w:hAnsi="Arial"/>
          <w:sz w:val="17"/>
          <w:szCs w:val="17"/>
          <w:b w:val="1"/>
          <w:bCs w:val="1"/>
          <w:color w:val="auto"/>
        </w:rPr>
        <w:t>Section 8.01(G)</w:t>
      </w:r>
      <w:r>
        <w:rPr>
          <w:rFonts w:ascii="Arial" w:cs="Arial" w:eastAsia="Arial" w:hAnsi="Arial"/>
          <w:sz w:val="17"/>
          <w:szCs w:val="17"/>
          <w:color w:val="auto"/>
        </w:rPr>
        <w:t xml:space="preserve"> (it being understood, however, that the Company may nonetheless choose to execute such an amendment at its option).</w:t>
      </w:r>
    </w:p>
    <w:p>
      <w:pPr>
        <w:spacing w:after="0" w:line="179" w:lineRule="exact"/>
        <w:rPr>
          <w:sz w:val="20"/>
          <w:szCs w:val="20"/>
          <w:color w:val="auto"/>
        </w:rPr>
      </w:pPr>
    </w:p>
    <w:p>
      <w:pPr>
        <w:ind w:left="1320" w:hanging="664"/>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Conversion Consideration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5620" w:right="4320" w:hanging="4315"/>
        <w:spacing w:after="0" w:line="578" w:lineRule="auto"/>
        <w:tabs>
          <w:tab w:leader="none" w:pos="1970"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5.03(B)(ii)</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5.03(B)(iii)</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 w:name="page50"/>
    <w:bookmarkEnd w:id="49"/>
    <w:p>
      <w:pPr>
        <w:ind w:left="580" w:right="80"/>
        <w:spacing w:after="0" w:line="282" w:lineRule="auto"/>
        <w:rPr>
          <w:sz w:val="20"/>
          <w:szCs w:val="20"/>
          <w:color w:val="auto"/>
        </w:rPr>
      </w:pPr>
      <w:r>
        <w:rPr>
          <w:rFonts w:ascii="Arial" w:cs="Arial" w:eastAsia="Arial" w:hAnsi="Arial"/>
          <w:sz w:val="18"/>
          <w:szCs w:val="18"/>
          <w:color w:val="auto"/>
        </w:rPr>
        <w:t>type and amount of consideration (the “</w:t>
      </w:r>
      <w:r>
        <w:rPr>
          <w:rFonts w:ascii="Arial" w:cs="Arial" w:eastAsia="Arial" w:hAnsi="Arial"/>
          <w:sz w:val="18"/>
          <w:szCs w:val="18"/>
          <w:b w:val="1"/>
          <w:bCs w:val="1"/>
          <w:color w:val="auto"/>
        </w:rPr>
        <w:t>Conversion Consideration</w:t>
      </w:r>
      <w:r>
        <w:rPr>
          <w:rFonts w:ascii="Arial" w:cs="Arial" w:eastAsia="Arial" w:hAnsi="Arial"/>
          <w:sz w:val="18"/>
          <w:szCs w:val="18"/>
          <w:color w:val="auto"/>
        </w:rPr>
        <w:t>”) due in respect of each $1,000 principal amount of a Note to be converted will be as follows:</w:t>
      </w:r>
    </w:p>
    <w:p>
      <w:pPr>
        <w:spacing w:after="0" w:line="166" w:lineRule="exact"/>
        <w:rPr>
          <w:sz w:val="20"/>
          <w:szCs w:val="20"/>
          <w:color w:val="auto"/>
        </w:rPr>
      </w:pPr>
    </w:p>
    <w:p>
      <w:pPr>
        <w:ind w:left="580" w:right="80" w:firstLine="1293"/>
        <w:spacing w:after="0" w:line="277" w:lineRule="auto"/>
        <w:tabs>
          <w:tab w:leader="none" w:pos="2532"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Physical Settlement applies to such conversion, a number of shares of Common Stock equal to the Conversion Rate in effect on the Conversion Date for such conversion;</w:t>
      </w:r>
    </w:p>
    <w:p>
      <w:pPr>
        <w:spacing w:after="0" w:line="170" w:lineRule="exact"/>
        <w:rPr>
          <w:rFonts w:ascii="Arial" w:cs="Arial" w:eastAsia="Arial" w:hAnsi="Arial"/>
          <w:sz w:val="18"/>
          <w:szCs w:val="18"/>
          <w:color w:val="auto"/>
        </w:rPr>
      </w:pPr>
    </w:p>
    <w:p>
      <w:pPr>
        <w:ind w:left="580" w:right="280" w:firstLine="1293"/>
        <w:spacing w:after="0" w:line="277" w:lineRule="auto"/>
        <w:tabs>
          <w:tab w:leader="none" w:pos="2532"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Cash Settlement applies to such conversion, cash in an amount equal to the sum of the Daily Conversion Values for each VWAP Trading Day in the Observation Period for such conversion; or</w:t>
      </w:r>
    </w:p>
    <w:p>
      <w:pPr>
        <w:spacing w:after="0" w:line="170" w:lineRule="exact"/>
        <w:rPr>
          <w:rFonts w:ascii="Arial" w:cs="Arial" w:eastAsia="Arial" w:hAnsi="Arial"/>
          <w:sz w:val="18"/>
          <w:szCs w:val="18"/>
          <w:color w:val="auto"/>
        </w:rPr>
      </w:pPr>
    </w:p>
    <w:p>
      <w:pPr>
        <w:ind w:left="580" w:right="100" w:firstLine="1293"/>
        <w:spacing w:after="0" w:line="286" w:lineRule="auto"/>
        <w:tabs>
          <w:tab w:leader="none" w:pos="2532" w:val="left"/>
        </w:tabs>
        <w:numPr>
          <w:ilvl w:val="2"/>
          <w:numId w:val="62"/>
        </w:numPr>
        <w:rPr>
          <w:rFonts w:ascii="Arial" w:cs="Arial" w:eastAsia="Arial" w:hAnsi="Arial"/>
          <w:sz w:val="17"/>
          <w:szCs w:val="17"/>
          <w:color w:val="auto"/>
        </w:rPr>
      </w:pPr>
      <w:r>
        <w:rPr>
          <w:rFonts w:ascii="Arial" w:cs="Arial" w:eastAsia="Arial" w:hAnsi="Arial"/>
          <w:sz w:val="17"/>
          <w:szCs w:val="17"/>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65" w:lineRule="exact"/>
        <w:rPr>
          <w:rFonts w:ascii="Arial" w:cs="Arial" w:eastAsia="Arial" w:hAnsi="Arial"/>
          <w:sz w:val="17"/>
          <w:szCs w:val="17"/>
          <w:color w:val="auto"/>
        </w:rPr>
      </w:pPr>
    </w:p>
    <w:p>
      <w:pPr>
        <w:ind w:left="580" w:firstLine="645"/>
        <w:spacing w:after="0" w:line="255" w:lineRule="auto"/>
        <w:tabs>
          <w:tab w:leader="none" w:pos="1907"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Cash in Lieu of Fractional Shares</w:t>
      </w:r>
      <w:r>
        <w:rPr>
          <w:rFonts w:ascii="Arial" w:cs="Arial" w:eastAsia="Arial" w:hAnsi="Arial"/>
          <w:sz w:val="18"/>
          <w:szCs w:val="18"/>
          <w:color w:val="auto"/>
        </w:rPr>
        <w:t>. If Physical Settlement or Combination Settlement applies to the conversion of any Note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number of shares of Common Stock deliverable pursuant to </w:t>
      </w:r>
      <w:r>
        <w:rPr>
          <w:rFonts w:ascii="Arial" w:cs="Arial" w:eastAsia="Arial" w:hAnsi="Arial"/>
          <w:sz w:val="18"/>
          <w:szCs w:val="18"/>
          <w:b w:val="1"/>
          <w:bCs w:val="1"/>
          <w:color w:val="auto"/>
        </w:rPr>
        <w:t>Section 5.03(B)(i)</w:t>
      </w:r>
      <w:r>
        <w:rPr>
          <w:rFonts w:ascii="Arial" w:cs="Arial" w:eastAsia="Arial" w:hAnsi="Arial"/>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189" w:lineRule="exact"/>
        <w:rPr>
          <w:rFonts w:ascii="Arial" w:cs="Arial" w:eastAsia="Arial" w:hAnsi="Arial"/>
          <w:sz w:val="18"/>
          <w:szCs w:val="18"/>
          <w:color w:val="auto"/>
        </w:rPr>
      </w:pPr>
    </w:p>
    <w:p>
      <w:pPr>
        <w:ind w:left="580" w:right="80" w:firstLine="645"/>
        <w:spacing w:after="0" w:line="312" w:lineRule="auto"/>
        <w:tabs>
          <w:tab w:leader="none" w:pos="1917"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Multiple Notes by a Single Holder. </w:t>
      </w:r>
      <w:r>
        <w:rPr>
          <w:rFonts w:ascii="Arial" w:cs="Arial" w:eastAsia="Arial" w:hAnsi="Arial"/>
          <w:sz w:val="16"/>
          <w:szCs w:val="16"/>
          <w:color w:val="auto"/>
        </w:rPr>
        <w:t>If a Holder converts more than one (1) Note on a single Conversion Date, then</w:t>
      </w:r>
      <w:r>
        <w:rPr>
          <w:rFonts w:ascii="Arial" w:cs="Arial" w:eastAsia="Arial" w:hAnsi="Arial"/>
          <w:sz w:val="16"/>
          <w:szCs w:val="16"/>
          <w:i w:val="1"/>
          <w:iCs w:val="1"/>
          <w:color w:val="auto"/>
        </w:rPr>
        <w:t xml:space="preserve"> </w:t>
      </w:r>
      <w:r>
        <w:rPr>
          <w:rFonts w:ascii="Arial" w:cs="Arial" w:eastAsia="Arial" w:hAnsi="Arial"/>
          <w:sz w:val="16"/>
          <w:szCs w:val="16"/>
          <w:color w:val="auto"/>
        </w:rPr>
        <w:t>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46" w:lineRule="exact"/>
        <w:rPr>
          <w:rFonts w:ascii="Arial" w:cs="Arial" w:eastAsia="Arial" w:hAnsi="Arial"/>
          <w:sz w:val="16"/>
          <w:szCs w:val="16"/>
          <w:color w:val="auto"/>
        </w:rPr>
      </w:pPr>
    </w:p>
    <w:p>
      <w:pPr>
        <w:ind w:left="580" w:right="200" w:firstLine="645"/>
        <w:spacing w:after="0" w:line="302" w:lineRule="auto"/>
        <w:tabs>
          <w:tab w:leader="none" w:pos="1893"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Notice of Calculation of Conversion Consideration</w:t>
      </w:r>
      <w:r>
        <w:rPr>
          <w:rFonts w:ascii="Arial" w:cs="Arial" w:eastAsia="Arial" w:hAnsi="Arial"/>
          <w:sz w:val="16"/>
          <w:szCs w:val="16"/>
          <w:color w:val="auto"/>
        </w:rPr>
        <w:t>. If Cash Settlement or Combination Settlement applies to the conversion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150" w:lineRule="exact"/>
        <w:rPr>
          <w:rFonts w:ascii="Arial" w:cs="Arial" w:eastAsia="Arial" w:hAnsi="Arial"/>
          <w:sz w:val="16"/>
          <w:szCs w:val="16"/>
          <w:color w:val="auto"/>
        </w:rPr>
      </w:pPr>
    </w:p>
    <w:p>
      <w:pPr>
        <w:ind w:left="-80" w:right="260" w:firstLine="656"/>
        <w:spacing w:after="0" w:line="266" w:lineRule="auto"/>
        <w:tabs>
          <w:tab w:leader="none" w:pos="122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Delivery of the Conversion Consideration</w:t>
      </w:r>
      <w:r>
        <w:rPr>
          <w:rFonts w:ascii="Arial" w:cs="Arial" w:eastAsia="Arial" w:hAnsi="Arial"/>
          <w:sz w:val="18"/>
          <w:szCs w:val="18"/>
          <w:color w:val="auto"/>
        </w:rPr>
        <w:t>. Except as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5.05(D)</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5.08</w:t>
      </w:r>
      <w:r>
        <w:rPr>
          <w:rFonts w:ascii="Arial" w:cs="Arial" w:eastAsia="Arial" w:hAnsi="Arial"/>
          <w:sz w:val="18"/>
          <w:szCs w:val="18"/>
          <w:color w:val="auto"/>
        </w:rPr>
        <w:t>, the Company will pay or deliver,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the Conversion Consideration due upon the conversion of any Note to the Holder as follows: (i) if Cash Settlement or Combination Settlement applies to such conversion, on or before the second (2nd) Business Day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50" w:name="page51"/>
    <w:bookmarkEnd w:id="50"/>
    <w:p>
      <w:pPr>
        <w:ind w:right="20"/>
        <w:spacing w:after="0" w:line="277" w:lineRule="auto"/>
        <w:rPr>
          <w:sz w:val="20"/>
          <w:szCs w:val="20"/>
          <w:color w:val="auto"/>
        </w:rPr>
      </w:pPr>
      <w:r>
        <w:rPr>
          <w:rFonts w:ascii="Arial" w:cs="Arial" w:eastAsia="Arial" w:hAnsi="Arial"/>
          <w:sz w:val="18"/>
          <w:szCs w:val="18"/>
          <w:color w:val="auto"/>
        </w:rPr>
        <w:t>immediately after the last VWAP Trading Day of the Observation Period for such conversion; and (ii) if Physical Settlement applies to such conversion, on or before the second (2nd) Business Day immediately after the Conversion Date for such conversion.</w:t>
      </w:r>
    </w:p>
    <w:p>
      <w:pPr>
        <w:spacing w:after="0" w:line="170" w:lineRule="exact"/>
        <w:rPr>
          <w:sz w:val="20"/>
          <w:szCs w:val="20"/>
          <w:color w:val="auto"/>
        </w:rPr>
      </w:pPr>
    </w:p>
    <w:p>
      <w:pPr>
        <w:ind w:firstLine="656"/>
        <w:spacing w:after="0" w:line="272" w:lineRule="auto"/>
        <w:tabs>
          <w:tab w:leader="none" w:pos="1317"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Deemed Payment of Principal and Interest; Settlement of Accrued Interest Notwithstanding Conversion</w:t>
      </w:r>
      <w:r>
        <w:rPr>
          <w:rFonts w:ascii="Arial" w:cs="Arial" w:eastAsia="Arial" w:hAnsi="Arial"/>
          <w:sz w:val="17"/>
          <w:szCs w:val="17"/>
          <w:color w:val="auto"/>
        </w:rPr>
        <w:t>. If a Holder converts a Note, then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will not adjust the Conversion Rate to account for any accrued and unpaid interest on such Note, and, except as provided in </w:t>
      </w:r>
      <w:r>
        <w:rPr>
          <w:rFonts w:ascii="Arial" w:cs="Arial" w:eastAsia="Arial" w:hAnsi="Arial"/>
          <w:sz w:val="17"/>
          <w:szCs w:val="17"/>
          <w:b w:val="1"/>
          <w:bCs w:val="1"/>
          <w:color w:val="auto"/>
        </w:rPr>
        <w:t>Section 5.02(D)</w:t>
      </w:r>
      <w:r>
        <w:rPr>
          <w:rFonts w:ascii="Arial" w:cs="Arial" w:eastAsia="Arial" w:hAnsi="Arial"/>
          <w:sz w:val="17"/>
          <w:szCs w:val="17"/>
          <w:color w:val="auto"/>
        </w:rPr>
        <w:t xml:space="preserve">, the Company’s payment or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Arial" w:cs="Arial" w:eastAsia="Arial" w:hAnsi="Arial"/>
          <w:sz w:val="17"/>
          <w:szCs w:val="17"/>
          <w:b w:val="1"/>
          <w:bCs w:val="1"/>
          <w:color w:val="auto"/>
        </w:rPr>
        <w:t>Section 5.02(D)</w:t>
      </w:r>
      <w:r>
        <w:rPr>
          <w:rFonts w:ascii="Arial" w:cs="Arial" w:eastAsia="Arial" w:hAnsi="Arial"/>
          <w:sz w:val="17"/>
          <w:szCs w:val="17"/>
          <w:color w:val="auto"/>
        </w:rPr>
        <w:t xml:space="preserve">, any accrued and unpaid interest on a converted Note will be deemed to be paid in full rather than cancelled, extinguished or forfeited. In addition, subject to </w:t>
      </w:r>
      <w:r>
        <w:rPr>
          <w:rFonts w:ascii="Arial" w:cs="Arial" w:eastAsia="Arial" w:hAnsi="Arial"/>
          <w:sz w:val="17"/>
          <w:szCs w:val="17"/>
          <w:b w:val="1"/>
          <w:bCs w:val="1"/>
          <w:color w:val="auto"/>
        </w:rPr>
        <w:t>Section 5.02(D)</w:t>
      </w:r>
      <w:r>
        <w:rPr>
          <w:rFonts w:ascii="Arial" w:cs="Arial" w:eastAsia="Arial" w:hAnsi="Arial"/>
          <w:sz w:val="17"/>
          <w:szCs w:val="17"/>
          <w:color w:val="auto"/>
        </w:rPr>
        <w:t>, if the Conversion Consideration for a Note consists of both cash and shares of the Common Stock, then accrued and unpaid interest that is deemed to be paid therewith will be deemed to be paid first out of such cash.</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7"/>
          <w:szCs w:val="17"/>
          <w:b w:val="1"/>
          <w:bCs w:val="1"/>
          <w:color w:val="auto"/>
        </w:rPr>
        <w:t>RESERVE AND STATUS OF COMMON STOCK ISSUED UPON CONVERSION.</w:t>
      </w:r>
    </w:p>
    <w:p>
      <w:pPr>
        <w:spacing w:after="0" w:line="229" w:lineRule="exact"/>
        <w:rPr>
          <w:sz w:val="20"/>
          <w:szCs w:val="20"/>
          <w:color w:val="auto"/>
        </w:rPr>
      </w:pPr>
    </w:p>
    <w:p>
      <w:pPr>
        <w:ind w:right="180" w:firstLine="656"/>
        <w:spacing w:after="0" w:line="259" w:lineRule="auto"/>
        <w:tabs>
          <w:tab w:leader="none" w:pos="1317"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Stock Reserve</w:t>
      </w:r>
      <w:r>
        <w:rPr>
          <w:rFonts w:ascii="Arial" w:cs="Arial" w:eastAsia="Arial" w:hAnsi="Arial"/>
          <w:sz w:val="18"/>
          <w:szCs w:val="18"/>
          <w:color w:val="auto"/>
        </w:rPr>
        <w:t>. At all times when any Notes are outstanding, the Company will reserve, out of its authorized but unissued and unreserved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of Common Stock,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Arial" w:cs="Arial" w:eastAsia="Arial" w:hAnsi="Arial"/>
          <w:sz w:val="18"/>
          <w:szCs w:val="18"/>
          <w:b w:val="1"/>
          <w:bCs w:val="1"/>
          <w:color w:val="auto"/>
        </w:rPr>
        <w:t>Section 5.07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56"/>
        <w:spacing w:after="0" w:line="297" w:lineRule="auto"/>
        <w:tabs>
          <w:tab w:leader="none" w:pos="1307"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Status of Conversion Shares; Listing</w:t>
      </w:r>
      <w:r>
        <w:rPr>
          <w:rFonts w:ascii="Arial" w:cs="Arial" w:eastAsia="Arial" w:hAnsi="Arial"/>
          <w:sz w:val="16"/>
          <w:szCs w:val="16"/>
          <w:color w:val="auto"/>
        </w:rPr>
        <w:t>. Each Conversion Share, if any, delivered upon conversion of any Note will be a newly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share and will be duly and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cause each Conversion Share, when delivered upon conversion of any Note, to be admitted for listing on such exchange or quotation on such system.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spacing w:after="0"/>
        <w:tabs>
          <w:tab w:leader="none" w:pos="130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7"/>
          <w:szCs w:val="17"/>
          <w:b w:val="1"/>
          <w:bCs w:val="1"/>
          <w:color w:val="auto"/>
        </w:rPr>
        <w:t>ADJUSTMENTS TO THE CONVERSION RATE.</w:t>
      </w:r>
    </w:p>
    <w:p>
      <w:pPr>
        <w:spacing w:after="0" w:line="229" w:lineRule="exact"/>
        <w:rPr>
          <w:sz w:val="20"/>
          <w:szCs w:val="20"/>
          <w:color w:val="auto"/>
        </w:rPr>
      </w:pPr>
    </w:p>
    <w:p>
      <w:pPr>
        <w:ind w:left="1320" w:hanging="66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Events Requiring an Adjustment to the Conversion Rate</w:t>
      </w:r>
      <w:r>
        <w:rPr>
          <w:rFonts w:ascii="Arial" w:cs="Arial" w:eastAsia="Arial" w:hAnsi="Arial"/>
          <w:sz w:val="18"/>
          <w:szCs w:val="18"/>
          <w:color w:val="auto"/>
        </w:rPr>
        <w:t>. The Conversion Rate will be adjusted from time to time as follows:</w:t>
      </w:r>
    </w:p>
    <w:p>
      <w:pPr>
        <w:spacing w:after="0" w:line="225" w:lineRule="exact"/>
        <w:rPr>
          <w:rFonts w:ascii="Arial" w:cs="Arial" w:eastAsia="Arial" w:hAnsi="Arial"/>
          <w:sz w:val="18"/>
          <w:szCs w:val="18"/>
          <w:color w:val="auto"/>
        </w:rPr>
      </w:pPr>
    </w:p>
    <w:p>
      <w:pPr>
        <w:ind w:left="660" w:right="20" w:firstLine="645"/>
        <w:spacing w:after="0" w:line="259" w:lineRule="auto"/>
        <w:tabs>
          <w:tab w:leader="none" w:pos="1978"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Stock Dividends, Splits and Combinations</w:t>
      </w:r>
      <w:r>
        <w:rPr>
          <w:rFonts w:ascii="Arial" w:cs="Arial" w:eastAsia="Arial" w:hAnsi="Arial"/>
          <w:sz w:val="18"/>
          <w:szCs w:val="18"/>
          <w:color w:val="auto"/>
        </w:rPr>
        <w:t>. If the Company issues solely shares of Common Stock as a dividend or distribution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all or substantially all shares of the Common Stock, or if the Company effects a stock split or a stock combination of the Common Stock (in each case excluding an issuance solely pursuant to a Common Stock Change Event, as to which </w:t>
      </w:r>
      <w:r>
        <w:rPr>
          <w:rFonts w:ascii="Arial" w:cs="Arial" w:eastAsia="Arial" w:hAnsi="Arial"/>
          <w:sz w:val="18"/>
          <w:szCs w:val="18"/>
          <w:b w:val="1"/>
          <w:bCs w:val="1"/>
          <w:color w:val="auto"/>
        </w:rPr>
        <w:t>Section 5.08</w:t>
      </w:r>
      <w:r>
        <w:rPr>
          <w:rFonts w:ascii="Arial" w:cs="Arial" w:eastAsia="Arial" w:hAnsi="Arial"/>
          <w:sz w:val="18"/>
          <w:szCs w:val="18"/>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127635</wp:posOffset>
            </wp:positionV>
            <wp:extent cx="1071880"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718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6"/>
              </w:rPr>
              <w:t>where:</w:t>
            </w:r>
          </w:p>
        </w:tc>
        <w:tc>
          <w:tcPr>
            <w:tcW w:w="46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1"/>
              </w:rPr>
              <w:t>the Conversion Rate in effect immediately before the Open of Business on the Ex-Dividend Date for such dividend or distribution,</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w w:val="98"/>
              </w:rPr>
              <w:t>or immediately before the Open of Business on the effective date of such stock split or stock combination, as applicable;</w:t>
            </w: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1"/>
              </w:rPr>
              <w:t>the Conversion Rate in effect immediately after the Open of Business on such Ex-Dividend Date or the Open of Business on such</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rPr>
              <w:t>effective date, as applicable;</w:t>
            </w: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1"/>
                <w:szCs w:val="11"/>
                <w:i w:val="1"/>
                <w:iCs w:val="1"/>
                <w:color w:val="auto"/>
              </w:rPr>
              <w:t>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5"/>
              </w:rPr>
              <w:t>the number of shares of Common Stock outstanding immediately before the Open of Business on such Ex-Dividend Date or</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rPr>
              <w:t>effective date, as applicable, without giving effect to such dividend, distribution, stock split or stock combination; and</w:t>
            </w: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1"/>
                <w:szCs w:val="11"/>
                <w:i w:val="1"/>
                <w:iCs w:val="1"/>
                <w:color w:val="auto"/>
              </w:rPr>
              <w:t>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3"/>
              </w:rPr>
              <w:t>the number of shares of Common Stock outstanding immediately after giving effect to such dividend, distribution, stock split or</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rPr>
              <w:t>stock combination.</w:t>
            </w:r>
          </w:p>
        </w:tc>
      </w:tr>
    </w:tbl>
    <w:p>
      <w:pPr>
        <w:spacing w:after="0" w:line="198"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For the avoidance of doubt, each adjustment to the Conversion Rate made pursuant to this </w:t>
      </w:r>
      <w:r>
        <w:rPr>
          <w:rFonts w:ascii="Arial" w:cs="Arial" w:eastAsia="Arial" w:hAnsi="Arial"/>
          <w:sz w:val="16"/>
          <w:szCs w:val="16"/>
          <w:b w:val="1"/>
          <w:bCs w:val="1"/>
          <w:color w:val="auto"/>
        </w:rPr>
        <w:t>Section 5.05(A)(i)</w:t>
      </w:r>
      <w:r>
        <w:rPr>
          <w:rFonts w:ascii="Arial" w:cs="Arial" w:eastAsia="Arial" w:hAnsi="Arial"/>
          <w:sz w:val="16"/>
          <w:szCs w:val="16"/>
          <w:color w:val="auto"/>
        </w:rPr>
        <w:t xml:space="preserve"> will become effective as of the time set forth in the preceding definition of </w:t>
      </w:r>
      <w:r>
        <w:rPr>
          <w:rFonts w:ascii="Arial" w:cs="Arial" w:eastAsia="Arial" w:hAnsi="Arial"/>
          <w:sz w:val="16"/>
          <w:szCs w:val="16"/>
          <w:i w:val="1"/>
          <w:iCs w:val="1"/>
          <w:color w:val="auto"/>
        </w:rPr>
        <w:t>CR</w:t>
      </w:r>
      <w:r>
        <w:rPr>
          <w:rFonts w:ascii="Arial" w:cs="Arial" w:eastAsia="Arial" w:hAnsi="Arial"/>
          <w:sz w:val="10"/>
          <w:szCs w:val="10"/>
          <w:i w:val="1"/>
          <w:iCs w:val="1"/>
          <w:color w:val="auto"/>
        </w:rPr>
        <w:t>1</w:t>
      </w:r>
      <w:r>
        <w:rPr>
          <w:rFonts w:ascii="Arial" w:cs="Arial" w:eastAsia="Arial" w:hAnsi="Arial"/>
          <w:sz w:val="16"/>
          <w:szCs w:val="16"/>
          <w:color w:val="auto"/>
        </w:rPr>
        <w:t xml:space="preserve">. If any dividend, distribution, stock split or stock combination of the type described in this </w:t>
      </w:r>
      <w:r>
        <w:rPr>
          <w:rFonts w:ascii="Arial" w:cs="Arial" w:eastAsia="Arial" w:hAnsi="Arial"/>
          <w:sz w:val="16"/>
          <w:szCs w:val="16"/>
          <w:b w:val="1"/>
          <w:bCs w:val="1"/>
          <w:color w:val="auto"/>
        </w:rPr>
        <w:t>Section 5.05(A)</w:t>
      </w:r>
    </w:p>
    <w:p>
      <w:pPr>
        <w:spacing w:after="0" w:line="1" w:lineRule="exact"/>
        <w:rPr>
          <w:sz w:val="20"/>
          <w:szCs w:val="20"/>
          <w:color w:val="auto"/>
        </w:rPr>
      </w:pPr>
    </w:p>
    <w:p>
      <w:pPr>
        <w:ind w:left="660" w:right="180" w:hanging="4"/>
        <w:spacing w:after="0" w:line="277" w:lineRule="auto"/>
        <w:tabs>
          <w:tab w:leader="none" w:pos="875"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173" w:lineRule="exact"/>
        <w:rPr>
          <w:rFonts w:ascii="Arial" w:cs="Arial" w:eastAsia="Arial" w:hAnsi="Arial"/>
          <w:sz w:val="17"/>
          <w:szCs w:val="17"/>
          <w:b w:val="1"/>
          <w:bCs w:val="1"/>
          <w:color w:val="auto"/>
        </w:rPr>
      </w:pPr>
    </w:p>
    <w:p>
      <w:pPr>
        <w:ind w:left="660" w:right="100" w:firstLine="645"/>
        <w:spacing w:after="0" w:line="277" w:lineRule="auto"/>
        <w:tabs>
          <w:tab w:leader="none" w:pos="1987"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Rights, Options and Warrants</w:t>
      </w:r>
      <w:r>
        <w:rPr>
          <w:rFonts w:ascii="Arial" w:cs="Arial" w:eastAsia="Arial" w:hAnsi="Arial"/>
          <w:sz w:val="18"/>
          <w:szCs w:val="18"/>
          <w:color w:val="auto"/>
        </w:rPr>
        <w:t>. If the Company distributes, to all or substantially all holders of Common Stock, rights, options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(other than rights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2" w:name="page53"/>
    <w:bookmarkEnd w:id="52"/>
    <w:p>
      <w:pPr>
        <w:ind w:right="100"/>
        <w:spacing w:after="0" w:line="277" w:lineRule="auto"/>
        <w:rPr>
          <w:sz w:val="20"/>
          <w:szCs w:val="20"/>
          <w:color w:val="auto"/>
        </w:rPr>
      </w:pPr>
      <w:r>
        <w:rPr>
          <w:rFonts w:ascii="Arial" w:cs="Arial" w:eastAsia="Arial" w:hAnsi="Arial"/>
          <w:sz w:val="17"/>
          <w:szCs w:val="17"/>
          <w:color w:val="auto"/>
        </w:rPr>
        <w:t xml:space="preserve">issued or otherwise distributed pursuant to a stockholder rights plan, as to which the provisions set forth in </w:t>
      </w:r>
      <w:r>
        <w:rPr>
          <w:rFonts w:ascii="Arial" w:cs="Arial" w:eastAsia="Arial" w:hAnsi="Arial"/>
          <w:sz w:val="17"/>
          <w:szCs w:val="17"/>
          <w:b w:val="1"/>
          <w:bCs w:val="1"/>
          <w:color w:val="auto"/>
        </w:rPr>
        <w:t>Sections 5.05(A)(iii)(1)</w:t>
      </w:r>
      <w:r>
        <w:rPr>
          <w:rFonts w:ascii="Arial" w:cs="Arial" w:eastAsia="Arial" w:hAnsi="Arial"/>
          <w:sz w:val="17"/>
          <w:szCs w:val="17"/>
          <w:color w:val="auto"/>
        </w:rPr>
        <w:t xml:space="preserve"> and </w:t>
      </w:r>
      <w:r>
        <w:rPr>
          <w:rFonts w:ascii="Arial" w:cs="Arial" w:eastAsia="Arial" w:hAnsi="Arial"/>
          <w:sz w:val="17"/>
          <w:szCs w:val="17"/>
          <w:b w:val="1"/>
          <w:bCs w:val="1"/>
          <w:color w:val="auto"/>
        </w:rPr>
        <w:t>5.05(F)</w:t>
      </w:r>
      <w:r>
        <w:rPr>
          <w:rFonts w:ascii="Arial" w:cs="Arial" w:eastAsia="Arial" w:hAnsi="Arial"/>
          <w:sz w:val="17"/>
          <w:szCs w:val="17"/>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118745</wp:posOffset>
            </wp:positionV>
            <wp:extent cx="1071880" cy="351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188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6"/>
              </w:rPr>
              <w:t>where:</w:t>
            </w:r>
          </w:p>
        </w:tc>
        <w:tc>
          <w:tcPr>
            <w:tcW w:w="460" w:type="dxa"/>
            <w:vAlign w:val="bottom"/>
          </w:tcPr>
          <w:p>
            <w:pPr>
              <w:spacing w:after="0"/>
              <w:rPr>
                <w:sz w:val="20"/>
                <w:szCs w:val="20"/>
                <w:color w:val="auto"/>
              </w:rPr>
            </w:pPr>
          </w:p>
        </w:tc>
        <w:tc>
          <w:tcPr>
            <w:tcW w:w="974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40" w:type="dxa"/>
            <w:vAlign w:val="bottom"/>
          </w:tcPr>
          <w:p>
            <w:pPr>
              <w:ind w:left="300"/>
              <w:spacing w:after="0"/>
              <w:rPr>
                <w:sz w:val="20"/>
                <w:szCs w:val="20"/>
                <w:color w:val="auto"/>
              </w:rPr>
            </w:pPr>
            <w:r>
              <w:rPr>
                <w:rFonts w:ascii="Arial" w:cs="Arial" w:eastAsia="Arial" w:hAnsi="Arial"/>
                <w:sz w:val="18"/>
                <w:szCs w:val="18"/>
                <w:color w:val="auto"/>
              </w:rPr>
              <w:t>the Conversion Rate in effect immediately before the Open of Business on the Ex-Dividend Date for such distribution;</w:t>
            </w:r>
          </w:p>
        </w:tc>
      </w:tr>
      <w:tr>
        <w:trPr>
          <w:trHeight w:val="432"/>
        </w:trPr>
        <w:tc>
          <w:tcPr>
            <w:tcW w:w="54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40" w:type="dxa"/>
            <w:vAlign w:val="bottom"/>
          </w:tcPr>
          <w:p>
            <w:pPr>
              <w:ind w:left="30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32"/>
        </w:trPr>
        <w:tc>
          <w:tcPr>
            <w:tcW w:w="540" w:type="dxa"/>
            <w:vAlign w:val="bottom"/>
          </w:tcPr>
          <w:p>
            <w:pPr>
              <w:spacing w:after="0"/>
              <w:rPr>
                <w:sz w:val="20"/>
                <w:szCs w:val="20"/>
                <w:color w:val="auto"/>
              </w:rPr>
            </w:pPr>
            <w:r>
              <w:rPr>
                <w:rFonts w:ascii="Arial" w:cs="Arial" w:eastAsia="Arial" w:hAnsi="Arial"/>
                <w:sz w:val="18"/>
                <w:szCs w:val="18"/>
                <w:i w:val="1"/>
                <w:iCs w:val="1"/>
                <w:color w:val="auto"/>
              </w:rPr>
              <w:t>OS</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40" w:type="dxa"/>
            <w:vAlign w:val="bottom"/>
          </w:tcPr>
          <w:p>
            <w:pPr>
              <w:ind w:left="300"/>
              <w:spacing w:after="0"/>
              <w:rPr>
                <w:sz w:val="20"/>
                <w:szCs w:val="20"/>
                <w:color w:val="auto"/>
              </w:rPr>
            </w:pPr>
            <w:r>
              <w:rPr>
                <w:rFonts w:ascii="Arial" w:cs="Arial" w:eastAsia="Arial" w:hAnsi="Arial"/>
                <w:sz w:val="18"/>
                <w:szCs w:val="18"/>
                <w:color w:val="auto"/>
                <w:w w:val="97"/>
              </w:rPr>
              <w:t>the number of shares of Common Stock outstanding immediately before the Open of Business on such Ex-Dividend Date;</w:t>
            </w:r>
          </w:p>
        </w:tc>
      </w:tr>
      <w:tr>
        <w:trPr>
          <w:trHeight w:val="432"/>
        </w:trPr>
        <w:tc>
          <w:tcPr>
            <w:tcW w:w="540" w:type="dxa"/>
            <w:vAlign w:val="bottom"/>
          </w:tcPr>
          <w:p>
            <w:pPr>
              <w:spacing w:after="0"/>
              <w:rPr>
                <w:sz w:val="20"/>
                <w:szCs w:val="20"/>
                <w:color w:val="auto"/>
              </w:rPr>
            </w:pPr>
            <w:r>
              <w:rPr>
                <w:rFonts w:ascii="Arial" w:cs="Arial" w:eastAsia="Arial" w:hAnsi="Arial"/>
                <w:sz w:val="18"/>
                <w:szCs w:val="18"/>
                <w:i w:val="1"/>
                <w:iCs w:val="1"/>
                <w:color w:val="auto"/>
              </w:rPr>
              <w:t>X</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40" w:type="dxa"/>
            <w:vAlign w:val="bottom"/>
          </w:tcPr>
          <w:p>
            <w:pPr>
              <w:ind w:left="300"/>
              <w:spacing w:after="0"/>
              <w:rPr>
                <w:sz w:val="20"/>
                <w:szCs w:val="20"/>
                <w:color w:val="auto"/>
              </w:rPr>
            </w:pPr>
            <w:r>
              <w:rPr>
                <w:rFonts w:ascii="Arial" w:cs="Arial" w:eastAsia="Arial" w:hAnsi="Arial"/>
                <w:sz w:val="18"/>
                <w:szCs w:val="18"/>
                <w:color w:val="auto"/>
              </w:rPr>
              <w:t>the total number of shares of Common Stock issuable pursuant to such rights, options or warrants; and</w:t>
            </w: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Y</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740" w:type="dxa"/>
            <w:vAlign w:val="bottom"/>
          </w:tcPr>
          <w:p>
            <w:pPr>
              <w:ind w:left="300"/>
              <w:spacing w:after="0"/>
              <w:rPr>
                <w:sz w:val="20"/>
                <w:szCs w:val="20"/>
                <w:color w:val="auto"/>
              </w:rPr>
            </w:pPr>
            <w:r>
              <w:rPr>
                <w:rFonts w:ascii="Arial" w:cs="Arial" w:eastAsia="Arial" w:hAnsi="Arial"/>
                <w:sz w:val="18"/>
                <w:szCs w:val="18"/>
                <w:color w:val="auto"/>
                <w:w w:val="94"/>
              </w:rPr>
              <w:t>a number of shares of Common Stock obtained by dividing (x) the aggregate price payable to exercise such rights, options or</w:t>
            </w:r>
          </w:p>
        </w:tc>
      </w:t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warrants by (y) the average of the Last Reported Sale Prices per share of Common Stock for the ten (10) consecutive Trading Days</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ending on, and including, the Trading Day immediately before the date such distribution is announced.</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 To the extent such rights, options or warrants are not so distributed, the Conversion Rate will be readjusted to the Conversion Rate that would then be in effect had the Ex-Dividend Date for the distribution of such rights, options or warrants not occurred.</w:t>
      </w:r>
    </w:p>
    <w:p>
      <w:pPr>
        <w:spacing w:after="0" w:line="18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For the avoidance of doubt, each adjustment to the Conversion Rate made pursuant to this </w:t>
      </w:r>
      <w:r>
        <w:rPr>
          <w:rFonts w:ascii="Arial" w:cs="Arial" w:eastAsia="Arial" w:hAnsi="Arial"/>
          <w:sz w:val="18"/>
          <w:szCs w:val="18"/>
          <w:b w:val="1"/>
          <w:bCs w:val="1"/>
          <w:color w:val="auto"/>
        </w:rPr>
        <w:t>Section 5.05(A)(ii)</w:t>
      </w:r>
      <w:r>
        <w:rPr>
          <w:rFonts w:ascii="Arial" w:cs="Arial" w:eastAsia="Arial" w:hAnsi="Arial"/>
          <w:sz w:val="18"/>
          <w:szCs w:val="18"/>
          <w:color w:val="auto"/>
        </w:rPr>
        <w:t xml:space="preserve"> will become effective as of the time set forth in the preceding definition of </w:t>
      </w: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r>
        <w:rPr>
          <w:rFonts w:ascii="Arial" w:cs="Arial" w:eastAsia="Arial" w:hAnsi="Arial"/>
          <w:sz w:val="18"/>
          <w:szCs w:val="18"/>
          <w:color w:val="auto"/>
        </w:rPr>
        <w:t>.</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37" w:right="259" w:bottom="1440" w:gutter="0" w:footer="0" w:header="0"/>
        </w:sectPr>
      </w:pPr>
    </w:p>
    <w:bookmarkStart w:id="53" w:name="page54"/>
    <w:bookmarkEnd w:id="53"/>
    <w:p>
      <w:pPr>
        <w:spacing w:after="0" w:line="295"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b w:val="1"/>
          <w:bCs w:val="1"/>
          <w:color w:val="auto"/>
        </w:rPr>
        <w:t>Section 5.05(A)(ii)</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5.01(C)(i)(3)(a)(I)</w:t>
      </w:r>
      <w:r>
        <w:rPr>
          <w:rFonts w:ascii="Arial" w:cs="Arial" w:eastAsia="Arial" w:hAnsi="Arial"/>
          <w:sz w:val="16"/>
          <w:szCs w:val="16"/>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w:t>
      </w:r>
    </w:p>
    <w:p>
      <w:pPr>
        <w:spacing w:after="0" w:line="160" w:lineRule="exact"/>
        <w:rPr>
          <w:sz w:val="20"/>
          <w:szCs w:val="20"/>
          <w:color w:val="auto"/>
        </w:rPr>
      </w:pPr>
    </w:p>
    <w:p>
      <w:pPr>
        <w:ind w:left="1340" w:hanging="695"/>
        <w:spacing w:after="0"/>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Spin-Offs and Other Distributed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240" w:firstLine="1301"/>
        <w:spacing w:after="0" w:line="264" w:lineRule="auto"/>
        <w:tabs>
          <w:tab w:leader="none" w:pos="2592"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Distributions Other than Spin-Offs</w:t>
      </w:r>
      <w:r>
        <w:rPr>
          <w:rFonts w:ascii="Arial" w:cs="Arial" w:eastAsia="Arial" w:hAnsi="Arial"/>
          <w:sz w:val="18"/>
          <w:szCs w:val="18"/>
          <w:color w:val="auto"/>
        </w:rPr>
        <w:t>. If the Company distributes shares of its Capital Stock, evidences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or other assets or property of the Company, or rights, options or warrants to acquire Capital Stock of the Company or other securities, to all or substantially all holders of the Common Stock, excluding:</w:t>
      </w:r>
    </w:p>
    <w:p>
      <w:pPr>
        <w:spacing w:after="0" w:line="181" w:lineRule="exact"/>
        <w:rPr>
          <w:sz w:val="20"/>
          <w:szCs w:val="20"/>
          <w:color w:val="auto"/>
        </w:rPr>
      </w:pPr>
    </w:p>
    <w:p>
      <w:pPr>
        <w:ind w:left="1300" w:right="140" w:firstLine="641"/>
        <w:spacing w:after="0" w:line="277" w:lineRule="auto"/>
        <w:tabs>
          <w:tab w:leader="none" w:pos="26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dividends, distributions, rights, options or warrants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xml:space="preserve">) pursuant to </w:t>
      </w:r>
      <w:r>
        <w:rPr>
          <w:rFonts w:ascii="Arial" w:cs="Arial" w:eastAsia="Arial" w:hAnsi="Arial"/>
          <w:sz w:val="18"/>
          <w:szCs w:val="18"/>
          <w:b w:val="1"/>
          <w:bCs w:val="1"/>
          <w:color w:val="auto"/>
        </w:rPr>
        <w:t>Section 5.05(A)(i)</w:t>
      </w:r>
      <w:r>
        <w:rPr>
          <w:rFonts w:ascii="Arial" w:cs="Arial" w:eastAsia="Arial" w:hAnsi="Arial"/>
          <w:sz w:val="18"/>
          <w:szCs w:val="18"/>
          <w:color w:val="auto"/>
        </w:rPr>
        <w:t xml:space="preserve"> or </w:t>
      </w:r>
      <w:r>
        <w:rPr>
          <w:rFonts w:ascii="Arial" w:cs="Arial" w:eastAsia="Arial" w:hAnsi="Arial"/>
          <w:sz w:val="18"/>
          <w:szCs w:val="18"/>
          <w:b w:val="1"/>
          <w:bCs w:val="1"/>
          <w:color w:val="auto"/>
        </w:rPr>
        <w:t>5.05(A)(ii)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right="180" w:firstLine="641"/>
        <w:spacing w:after="0" w:line="264" w:lineRule="auto"/>
        <w:tabs>
          <w:tab w:leader="none" w:pos="26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dividends or distributions paid exclusively in cash for which an adjustment to the Conversion Rate is required (or would be required assuming the Dividend Threshold were zero and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xml:space="preserve">) pursuant to </w:t>
      </w:r>
      <w:r>
        <w:rPr>
          <w:rFonts w:ascii="Arial" w:cs="Arial" w:eastAsia="Arial" w:hAnsi="Arial"/>
          <w:sz w:val="18"/>
          <w:szCs w:val="18"/>
          <w:b w:val="1"/>
          <w:bCs w:val="1"/>
          <w:color w:val="auto"/>
        </w:rPr>
        <w:t>Section 5.05(A)(iv)</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600" w:hanging="659"/>
        <w:spacing w:after="0"/>
        <w:tabs>
          <w:tab w:leader="none" w:pos="2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rights issued or otherwise distributed pursuant to a stockholder rights plan, except to the extent provided in</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b w:val="1"/>
          <w:bCs w:val="1"/>
          <w:color w:val="auto"/>
        </w:rPr>
        <w:t>Section 5.05(F)</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300" w:right="200" w:firstLine="641"/>
        <w:spacing w:after="0" w:line="277" w:lineRule="auto"/>
        <w:tabs>
          <w:tab w:leader="none" w:pos="26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Spin-Offs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Section 5.05(A)(iii)(2)</w:t>
      </w:r>
      <w:r>
        <w:rPr>
          <w:rFonts w:ascii="Arial" w:cs="Arial" w:eastAsia="Arial" w:hAnsi="Arial"/>
          <w:sz w:val="18"/>
          <w:szCs w:val="18"/>
          <w:color w:val="auto"/>
        </w:rPr>
        <w:t>; and</w:t>
      </w:r>
    </w:p>
    <w:p>
      <w:pPr>
        <w:spacing w:after="0" w:line="166" w:lineRule="exact"/>
        <w:rPr>
          <w:rFonts w:ascii="Arial" w:cs="Arial" w:eastAsia="Arial" w:hAnsi="Arial"/>
          <w:sz w:val="18"/>
          <w:szCs w:val="18"/>
          <w:color w:val="auto"/>
        </w:rPr>
      </w:pPr>
    </w:p>
    <w:p>
      <w:pPr>
        <w:ind w:left="2600" w:hanging="659"/>
        <w:spacing w:after="0"/>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 distribution solely pursuant to a Common Stock Change Event, as to which </w:t>
      </w:r>
      <w:r>
        <w:rPr>
          <w:rFonts w:ascii="Arial" w:cs="Arial" w:eastAsia="Arial" w:hAnsi="Arial"/>
          <w:sz w:val="18"/>
          <w:szCs w:val="18"/>
          <w:b w:val="1"/>
          <w:bCs w:val="1"/>
          <w:color w:val="auto"/>
        </w:rPr>
        <w:t>Section 5.08</w:t>
      </w:r>
      <w:r>
        <w:rPr>
          <w:rFonts w:ascii="Arial" w:cs="Arial" w:eastAsia="Arial" w:hAnsi="Arial"/>
          <w:sz w:val="18"/>
          <w:szCs w:val="18"/>
          <w:color w:val="auto"/>
        </w:rPr>
        <w:t xml:space="preserve"> will apply,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152400</wp:posOffset>
            </wp:positionV>
            <wp:extent cx="1149350" cy="3689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49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640"/>
        <w:spacing w:after="0"/>
        <w:tabs>
          <w:tab w:leader="none" w:pos="1260" w:val="left"/>
          <w:tab w:leader="none" w:pos="192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Conversion Rate in effect immediately before the Open of</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900" w:top="337" w:right="299" w:bottom="1440" w:gutter="0" w:footer="0" w:header="0"/>
        </w:sectPr>
      </w:pPr>
    </w:p>
    <w:bookmarkStart w:id="54" w:name="page55"/>
    <w:bookmarkEnd w:id="54"/>
    <w:tbl>
      <w:tblPr>
        <w:tblLayout w:type="fixed"/>
        <w:tblInd w:w="1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Business on the Ex-Dividend Date for such distribution;</w:t>
            </w:r>
          </w:p>
        </w:tc>
      </w:tr>
      <w:tr>
        <w:trPr>
          <w:trHeight w:val="432"/>
        </w:trPr>
        <w:tc>
          <w:tcPr>
            <w:tcW w:w="48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0" w:type="dxa"/>
            <w:vAlign w:val="bottom"/>
          </w:tcPr>
          <w:p>
            <w:pPr>
              <w:ind w:left="30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18"/>
        </w:trPr>
        <w:tc>
          <w:tcPr>
            <w:tcW w:w="480" w:type="dxa"/>
            <w:vAlign w:val="bottom"/>
          </w:tcPr>
          <w:p>
            <w:pPr>
              <w:spacing w:after="0"/>
              <w:rPr>
                <w:sz w:val="20"/>
                <w:szCs w:val="20"/>
                <w:color w:val="auto"/>
              </w:rPr>
            </w:pPr>
            <w:r>
              <w:rPr>
                <w:rFonts w:ascii="Arial" w:cs="Arial" w:eastAsia="Arial" w:hAnsi="Arial"/>
                <w:sz w:val="18"/>
                <w:szCs w:val="18"/>
                <w:i w:val="1"/>
                <w:iCs w:val="1"/>
                <w:color w:val="auto"/>
              </w:rPr>
              <w:t>SP</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0" w:type="dxa"/>
            <w:vAlign w:val="bottom"/>
          </w:tcPr>
          <w:p>
            <w:pPr>
              <w:ind w:left="300"/>
              <w:spacing w:after="0"/>
              <w:rPr>
                <w:sz w:val="20"/>
                <w:szCs w:val="20"/>
                <w:color w:val="auto"/>
              </w:rPr>
            </w:pPr>
            <w:r>
              <w:rPr>
                <w:rFonts w:ascii="Arial" w:cs="Arial" w:eastAsia="Arial" w:hAnsi="Arial"/>
                <w:sz w:val="18"/>
                <w:szCs w:val="18"/>
                <w:color w:val="auto"/>
                <w:w w:val="91"/>
              </w:rPr>
              <w:t>the average of the Last Reported Sale Prices per share of Common Stock for the ten (10) consecutive Trading Days</w:t>
            </w:r>
          </w:p>
        </w:tc>
      </w:tr>
      <w:tr>
        <w:trPr>
          <w:trHeight w:val="230"/>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ending on, and including, the Trading Day immediately before such Ex-Dividend Date; and</w:t>
            </w:r>
          </w:p>
        </w:tc>
      </w:tr>
      <w:tr>
        <w:trPr>
          <w:trHeight w:val="418"/>
        </w:trPr>
        <w:tc>
          <w:tcPr>
            <w:tcW w:w="480" w:type="dxa"/>
            <w:vAlign w:val="bottom"/>
          </w:tcPr>
          <w:p>
            <w:pPr>
              <w:spacing w:after="0"/>
              <w:rPr>
                <w:sz w:val="20"/>
                <w:szCs w:val="20"/>
                <w:color w:val="auto"/>
              </w:rPr>
            </w:pPr>
            <w:r>
              <w:rPr>
                <w:rFonts w:ascii="Arial" w:cs="Arial" w:eastAsia="Arial" w:hAnsi="Arial"/>
                <w:sz w:val="18"/>
                <w:szCs w:val="18"/>
                <w:i w:val="1"/>
                <w:iCs w:val="1"/>
                <w:color w:val="auto"/>
              </w:rPr>
              <w:t>FMV</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0" w:type="dxa"/>
            <w:vAlign w:val="bottom"/>
          </w:tcPr>
          <w:p>
            <w:pPr>
              <w:ind w:left="320"/>
              <w:spacing w:after="0"/>
              <w:rPr>
                <w:sz w:val="20"/>
                <w:szCs w:val="20"/>
                <w:color w:val="auto"/>
              </w:rPr>
            </w:pPr>
            <w:r>
              <w:rPr>
                <w:rFonts w:ascii="Arial" w:cs="Arial" w:eastAsia="Arial" w:hAnsi="Arial"/>
                <w:sz w:val="18"/>
                <w:szCs w:val="18"/>
                <w:color w:val="auto"/>
                <w:w w:val="90"/>
              </w:rPr>
              <w:t>the fair market value (as determined by the Board of Directors), as of such Ex-Dividend Date, of the shares of Capital</w:t>
            </w:r>
          </w:p>
        </w:tc>
      </w:tr>
      <w:tr>
        <w:trPr>
          <w:trHeight w:val="216"/>
        </w:trPr>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0"/>
              </w:rPr>
              <w:t>Stock, evidences of indebtedness, assets, property, rights, options or warrants distributed per share of Common Stock</w:t>
            </w:r>
          </w:p>
        </w:tc>
      </w:tr>
      <w:tr>
        <w:trPr>
          <w:trHeight w:val="230"/>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pursuant to such distribution;</w:t>
            </w:r>
          </w:p>
        </w:tc>
      </w:tr>
    </w:tbl>
    <w:p>
      <w:pPr>
        <w:spacing w:after="0" w:line="202" w:lineRule="exact"/>
        <w:rPr>
          <w:sz w:val="20"/>
          <w:szCs w:val="20"/>
          <w:color w:val="auto"/>
        </w:rPr>
      </w:pPr>
    </w:p>
    <w:p>
      <w:pPr>
        <w:ind w:left="100" w:right="40"/>
        <w:spacing w:after="0" w:line="27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w:t>
      </w:r>
      <w:r>
        <w:rPr>
          <w:rFonts w:ascii="Arial" w:cs="Arial" w:eastAsia="Arial" w:hAnsi="Arial"/>
          <w:sz w:val="17"/>
          <w:szCs w:val="17"/>
          <w:i w:val="1"/>
          <w:iCs w:val="1"/>
          <w:color w:val="auto"/>
        </w:rPr>
        <w:t xml:space="preserve"> FMV </w:t>
      </w:r>
      <w:r>
        <w:rPr>
          <w:rFonts w:ascii="Arial" w:cs="Arial" w:eastAsia="Arial" w:hAnsi="Arial"/>
          <w:sz w:val="17"/>
          <w:szCs w:val="17"/>
          <w:color w:val="auto"/>
        </w:rPr>
        <w:t>is equal to or greater than</w:t>
      </w:r>
      <w:r>
        <w:rPr>
          <w:rFonts w:ascii="Arial" w:cs="Arial" w:eastAsia="Arial" w:hAnsi="Arial"/>
          <w:sz w:val="17"/>
          <w:szCs w:val="17"/>
          <w:i w:val="1"/>
          <w:iCs w:val="1"/>
          <w:color w:val="auto"/>
        </w:rPr>
        <w:t xml:space="preserve"> SP</w:t>
      </w:r>
      <w:r>
        <w:rPr>
          <w:rFonts w:ascii="Arial" w:cs="Arial" w:eastAsia="Arial" w:hAnsi="Arial"/>
          <w:sz w:val="17"/>
          <w:szCs w:val="17"/>
          <w:color w:val="auto"/>
        </w:rPr>
        <w:t>, then, in lieu of the foregoing adjustment to the Conversion Rate, each Holder</w:t>
      </w:r>
      <w:r>
        <w:rPr>
          <w:rFonts w:ascii="Arial" w:cs="Arial" w:eastAsia="Arial" w:hAnsi="Arial"/>
          <w:sz w:val="17"/>
          <w:szCs w:val="17"/>
          <w:i w:val="1"/>
          <w:iCs w:val="1"/>
          <w:color w:val="auto"/>
        </w:rPr>
        <w:t xml:space="preserve"> </w:t>
      </w:r>
      <w:r>
        <w:rPr>
          <w:rFonts w:ascii="Arial" w:cs="Arial" w:eastAsia="Arial" w:hAnsi="Arial"/>
          <w:sz w:val="17"/>
          <w:szCs w:val="17"/>
          <w:color w:val="auto"/>
        </w:rPr>
        <w:t>will receive, for each $1,000 principal amount of Notes held by such Holder on the record date for such distribution, at the same time and on the same terms as holders of Common Stock,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73"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66" w:lineRule="exact"/>
        <w:rPr>
          <w:sz w:val="20"/>
          <w:szCs w:val="20"/>
          <w:color w:val="auto"/>
        </w:rPr>
      </w:pPr>
    </w:p>
    <w:p>
      <w:pPr>
        <w:ind w:left="100" w:right="100"/>
        <w:spacing w:after="0" w:line="282" w:lineRule="auto"/>
        <w:rPr>
          <w:sz w:val="20"/>
          <w:szCs w:val="20"/>
          <w:color w:val="auto"/>
        </w:rPr>
      </w:pPr>
      <w:r>
        <w:rPr>
          <w:rFonts w:ascii="Arial" w:cs="Arial" w:eastAsia="Arial" w:hAnsi="Arial"/>
          <w:sz w:val="18"/>
          <w:szCs w:val="18"/>
          <w:color w:val="auto"/>
        </w:rPr>
        <w:t xml:space="preserve">For the avoidance of doubt, each adjustment to the Conversion Rate made pursuant to this </w:t>
      </w:r>
      <w:r>
        <w:rPr>
          <w:rFonts w:ascii="Arial" w:cs="Arial" w:eastAsia="Arial" w:hAnsi="Arial"/>
          <w:sz w:val="18"/>
          <w:szCs w:val="18"/>
          <w:b w:val="1"/>
          <w:bCs w:val="1"/>
          <w:color w:val="auto"/>
        </w:rPr>
        <w:t>Section 5.05(A)(iii)(1)</w:t>
      </w:r>
      <w:r>
        <w:rPr>
          <w:rFonts w:ascii="Arial" w:cs="Arial" w:eastAsia="Arial" w:hAnsi="Arial"/>
          <w:sz w:val="18"/>
          <w:szCs w:val="18"/>
          <w:color w:val="auto"/>
        </w:rPr>
        <w:t xml:space="preserve"> will become effective as of the time set forth in the preceding definition of </w:t>
      </w: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r>
        <w:rPr>
          <w:rFonts w:ascii="Arial" w:cs="Arial" w:eastAsia="Arial" w:hAnsi="Arial"/>
          <w:sz w:val="18"/>
          <w:szCs w:val="18"/>
          <w:color w:val="auto"/>
        </w:rPr>
        <w:t>.</w:t>
      </w:r>
    </w:p>
    <w:p>
      <w:pPr>
        <w:spacing w:after="0" w:line="166" w:lineRule="exact"/>
        <w:rPr>
          <w:sz w:val="20"/>
          <w:szCs w:val="20"/>
          <w:color w:val="auto"/>
        </w:rPr>
      </w:pPr>
    </w:p>
    <w:p>
      <w:pPr>
        <w:ind w:left="100" w:firstLine="1301"/>
        <w:spacing w:after="0" w:line="276" w:lineRule="auto"/>
        <w:tabs>
          <w:tab w:leader="none" w:pos="2052"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Spin-Offs</w:t>
      </w:r>
      <w:r>
        <w:rPr>
          <w:rFonts w:ascii="Arial" w:cs="Arial" w:eastAsia="Arial" w:hAnsi="Arial"/>
          <w:sz w:val="17"/>
          <w:szCs w:val="17"/>
          <w:color w:val="auto"/>
        </w:rPr>
        <w:t>. If the Company distributes or dividends shares of Capital Stock of any class or series, or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equity interests, of or relating to an Affiliate, a Subsidiary or other business unit of the Company to all or substantially all holders of the Common Stock (other than solely pursuant to a Common Stock Change Event, as to which </w:t>
      </w:r>
      <w:r>
        <w:rPr>
          <w:rFonts w:ascii="Arial" w:cs="Arial" w:eastAsia="Arial" w:hAnsi="Arial"/>
          <w:sz w:val="17"/>
          <w:szCs w:val="17"/>
          <w:b w:val="1"/>
          <w:bCs w:val="1"/>
          <w:color w:val="auto"/>
        </w:rPr>
        <w:t>Section 5.08</w:t>
      </w:r>
      <w:r>
        <w:rPr>
          <w:rFonts w:ascii="Arial" w:cs="Arial" w:eastAsia="Arial" w:hAnsi="Arial"/>
          <w:sz w:val="17"/>
          <w:szCs w:val="17"/>
          <w:color w:val="auto"/>
        </w:rPr>
        <w:t xml:space="preserve"> will apply), and such Capital Stock or equity interests are listed or quoted (or will be listed or quoted upon the consummation of the transaction) on a U.S. national securities exchange (a “</w:t>
      </w:r>
      <w:r>
        <w:rPr>
          <w:rFonts w:ascii="Arial" w:cs="Arial" w:eastAsia="Arial" w:hAnsi="Arial"/>
          <w:sz w:val="17"/>
          <w:szCs w:val="17"/>
          <w:b w:val="1"/>
          <w:bCs w:val="1"/>
          <w:color w:val="auto"/>
        </w:rPr>
        <w:t>Spin-Off</w:t>
      </w:r>
      <w:r>
        <w:rPr>
          <w:rFonts w:ascii="Arial" w:cs="Arial" w:eastAsia="Arial" w:hAnsi="Arial"/>
          <w:sz w:val="17"/>
          <w:szCs w:val="17"/>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118745</wp:posOffset>
            </wp:positionV>
            <wp:extent cx="1235075"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50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55" w:name="page56"/>
    <w:bookmarkEnd w:id="55"/>
    <w:tbl>
      <w:tblPr>
        <w:tblLayout w:type="fixed"/>
        <w:tblInd w:w="1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6"/>
              </w:rPr>
              <w:t>where:</w:t>
            </w:r>
          </w:p>
        </w:tc>
        <w:tc>
          <w:tcPr>
            <w:tcW w:w="460" w:type="dxa"/>
            <w:vAlign w:val="bottom"/>
          </w:tcPr>
          <w:p>
            <w:pPr>
              <w:spacing w:after="0"/>
              <w:rPr>
                <w:sz w:val="20"/>
                <w:szCs w:val="20"/>
                <w:color w:val="auto"/>
              </w:rPr>
            </w:pPr>
          </w:p>
        </w:tc>
        <w:tc>
          <w:tcPr>
            <w:tcW w:w="906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60" w:type="dxa"/>
            <w:vAlign w:val="bottom"/>
          </w:tcPr>
          <w:p>
            <w:pPr>
              <w:ind w:left="300"/>
              <w:spacing w:after="0"/>
              <w:rPr>
                <w:sz w:val="20"/>
                <w:szCs w:val="20"/>
                <w:color w:val="auto"/>
              </w:rPr>
            </w:pPr>
            <w:r>
              <w:rPr>
                <w:rFonts w:ascii="Arial" w:cs="Arial" w:eastAsia="Arial" w:hAnsi="Arial"/>
                <w:sz w:val="18"/>
                <w:szCs w:val="18"/>
                <w:color w:val="auto"/>
                <w:w w:val="90"/>
              </w:rPr>
              <w:t>the Conversion Rate in effect immediately before the Close of Business on the last Trading Day of the Spin-Off Valuation</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tcPr>
          <w:p>
            <w:pPr>
              <w:ind w:left="300"/>
              <w:spacing w:after="0"/>
              <w:rPr>
                <w:sz w:val="20"/>
                <w:szCs w:val="20"/>
                <w:color w:val="auto"/>
              </w:rPr>
            </w:pPr>
            <w:r>
              <w:rPr>
                <w:rFonts w:ascii="Arial" w:cs="Arial" w:eastAsia="Arial" w:hAnsi="Arial"/>
                <w:sz w:val="18"/>
                <w:szCs w:val="18"/>
                <w:color w:val="auto"/>
              </w:rPr>
              <w:t>Period for such Spin-Off;</w:t>
            </w: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60" w:type="dxa"/>
            <w:vAlign w:val="bottom"/>
          </w:tcPr>
          <w:p>
            <w:pPr>
              <w:ind w:left="300"/>
              <w:spacing w:after="0"/>
              <w:rPr>
                <w:sz w:val="20"/>
                <w:szCs w:val="20"/>
                <w:color w:val="auto"/>
              </w:rPr>
            </w:pPr>
            <w:r>
              <w:rPr>
                <w:rFonts w:ascii="Arial" w:cs="Arial" w:eastAsia="Arial" w:hAnsi="Arial"/>
                <w:sz w:val="18"/>
                <w:szCs w:val="18"/>
                <w:color w:val="auto"/>
                <w:w w:val="92"/>
              </w:rPr>
              <w:t>the Conversion Rate in effect immediately after the Close of Business on the last Trading Day of the Spin-Off Valuation</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tcPr>
          <w:p>
            <w:pPr>
              <w:ind w:left="300"/>
              <w:spacing w:after="0"/>
              <w:rPr>
                <w:sz w:val="20"/>
                <w:szCs w:val="20"/>
                <w:color w:val="auto"/>
              </w:rPr>
            </w:pPr>
            <w:r>
              <w:rPr>
                <w:rFonts w:ascii="Arial" w:cs="Arial" w:eastAsia="Arial" w:hAnsi="Arial"/>
                <w:sz w:val="18"/>
                <w:szCs w:val="18"/>
                <w:color w:val="auto"/>
              </w:rPr>
              <w:t>Period;</w:t>
            </w:r>
          </w:p>
        </w:tc>
      </w:tr>
      <w:tr>
        <w:trPr>
          <w:trHeight w:val="414"/>
        </w:trPr>
        <w:tc>
          <w:tcPr>
            <w:tcW w:w="540" w:type="dxa"/>
            <w:vAlign w:val="bottom"/>
          </w:tcPr>
          <w:p>
            <w:pPr>
              <w:spacing w:after="0"/>
              <w:rPr>
                <w:sz w:val="20"/>
                <w:szCs w:val="20"/>
                <w:color w:val="auto"/>
              </w:rPr>
            </w:pPr>
            <w:r>
              <w:rPr>
                <w:rFonts w:ascii="Arial" w:cs="Arial" w:eastAsia="Arial" w:hAnsi="Arial"/>
                <w:sz w:val="18"/>
                <w:szCs w:val="18"/>
                <w:i w:val="1"/>
                <w:iCs w:val="1"/>
                <w:color w:val="auto"/>
              </w:rPr>
              <w:t>FMV</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60" w:type="dxa"/>
            <w:vAlign w:val="bottom"/>
          </w:tcPr>
          <w:p>
            <w:pPr>
              <w:ind w:left="320"/>
              <w:spacing w:after="0"/>
              <w:rPr>
                <w:sz w:val="20"/>
                <w:szCs w:val="20"/>
                <w:color w:val="auto"/>
              </w:rPr>
            </w:pPr>
            <w:r>
              <w:rPr>
                <w:rFonts w:ascii="Arial" w:cs="Arial" w:eastAsia="Arial" w:hAnsi="Arial"/>
                <w:sz w:val="18"/>
                <w:szCs w:val="18"/>
                <w:color w:val="auto"/>
                <w:w w:val="92"/>
              </w:rPr>
              <w:t>the product of (x) the average of the Last Reported Sale Prices per share or unit of the Capital Stock or equity interests</w:t>
            </w:r>
          </w:p>
        </w:tc>
      </w:tr>
      <w:tr>
        <w:trPr>
          <w:trHeight w:val="220"/>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60" w:type="dxa"/>
            <w:vAlign w:val="bottom"/>
          </w:tcPr>
          <w:p>
            <w:pPr>
              <w:ind w:left="300"/>
              <w:spacing w:after="0"/>
              <w:rPr>
                <w:sz w:val="20"/>
                <w:szCs w:val="20"/>
                <w:color w:val="auto"/>
              </w:rPr>
            </w:pPr>
            <w:r>
              <w:rPr>
                <w:rFonts w:ascii="Arial" w:cs="Arial" w:eastAsia="Arial" w:hAnsi="Arial"/>
                <w:sz w:val="18"/>
                <w:szCs w:val="18"/>
                <w:color w:val="auto"/>
                <w:w w:val="98"/>
              </w:rPr>
              <w:t>distributed in such Spin-Off over the ten (10) consecutive Trading Day period (the “</w:t>
            </w:r>
            <w:r>
              <w:rPr>
                <w:rFonts w:ascii="Arial" w:cs="Arial" w:eastAsia="Arial" w:hAnsi="Arial"/>
                <w:sz w:val="18"/>
                <w:szCs w:val="18"/>
                <w:b w:val="1"/>
                <w:bCs w:val="1"/>
                <w:color w:val="auto"/>
                <w:w w:val="98"/>
              </w:rPr>
              <w:t>Spin-Off Valuation Period</w:t>
            </w:r>
            <w:r>
              <w:rPr>
                <w:rFonts w:ascii="Arial" w:cs="Arial" w:eastAsia="Arial" w:hAnsi="Arial"/>
                <w:sz w:val="18"/>
                <w:szCs w:val="18"/>
                <w:color w:val="auto"/>
                <w:w w:val="98"/>
              </w:rPr>
              <w:t>”)</w:t>
            </w:r>
          </w:p>
        </w:tc>
      </w:t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Arial" w:cs="Arial" w:eastAsia="Arial" w:hAnsi="Arial"/>
                <w:sz w:val="18"/>
                <w:szCs w:val="18"/>
                <w:color w:val="auto"/>
                <w:w w:val="92"/>
              </w:rPr>
              <w:t>beginning on, and including, the Ex-Dividend Date for such Spin-Off (such average to be determined as if references to</w:t>
            </w:r>
          </w:p>
        </w:tc>
      </w:t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Arial" w:cs="Arial" w:eastAsia="Arial" w:hAnsi="Arial"/>
                <w:sz w:val="18"/>
                <w:szCs w:val="18"/>
                <w:color w:val="auto"/>
                <w:w w:val="93"/>
              </w:rPr>
              <w:t>Common Stock in the definitions of Last Reported Sale Price, Trading Day and Market Disruption Event were instead</w:t>
            </w:r>
          </w:p>
        </w:tc>
      </w:t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Arial" w:cs="Arial" w:eastAsia="Arial" w:hAnsi="Arial"/>
                <w:sz w:val="18"/>
                <w:szCs w:val="18"/>
                <w:color w:val="auto"/>
                <w:w w:val="90"/>
              </w:rPr>
              <w:t>references to such Capital Stock or equity interests); and (y) the number of shares or units of such Capital Stock or equity</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tcPr>
          <w:p>
            <w:pPr>
              <w:ind w:left="300"/>
              <w:spacing w:after="0"/>
              <w:rPr>
                <w:sz w:val="20"/>
                <w:szCs w:val="20"/>
                <w:color w:val="auto"/>
              </w:rPr>
            </w:pPr>
            <w:r>
              <w:rPr>
                <w:rFonts w:ascii="Arial" w:cs="Arial" w:eastAsia="Arial" w:hAnsi="Arial"/>
                <w:sz w:val="18"/>
                <w:szCs w:val="18"/>
                <w:color w:val="auto"/>
              </w:rPr>
              <w:t>interests distributed per share of Common Stock in such Spin-Off; and</w:t>
            </w: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SP</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60" w:type="dxa"/>
            <w:vAlign w:val="bottom"/>
          </w:tcPr>
          <w:p>
            <w:pPr>
              <w:ind w:left="300"/>
              <w:spacing w:after="0"/>
              <w:rPr>
                <w:sz w:val="20"/>
                <w:szCs w:val="20"/>
                <w:color w:val="auto"/>
              </w:rPr>
            </w:pPr>
            <w:r>
              <w:rPr>
                <w:rFonts w:ascii="Arial" w:cs="Arial" w:eastAsia="Arial" w:hAnsi="Arial"/>
                <w:sz w:val="18"/>
                <w:szCs w:val="18"/>
                <w:color w:val="auto"/>
                <w:w w:val="90"/>
              </w:rPr>
              <w:t>the average of the Last Reported Sale Prices per share of Common Stock for each Trading Day in the Spin-Off Valuation</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tcPr>
          <w:p>
            <w:pPr>
              <w:ind w:left="300"/>
              <w:spacing w:after="0"/>
              <w:rPr>
                <w:sz w:val="20"/>
                <w:szCs w:val="20"/>
                <w:color w:val="auto"/>
              </w:rPr>
            </w:pPr>
            <w:r>
              <w:rPr>
                <w:rFonts w:ascii="Arial" w:cs="Arial" w:eastAsia="Arial" w:hAnsi="Arial"/>
                <w:sz w:val="18"/>
                <w:szCs w:val="18"/>
                <w:color w:val="auto"/>
              </w:rPr>
              <w:t>Period.</w:t>
            </w:r>
          </w:p>
        </w:tc>
      </w:tr>
    </w:tbl>
    <w:p>
      <w:pPr>
        <w:spacing w:after="0" w:line="198" w:lineRule="exact"/>
        <w:rPr>
          <w:sz w:val="20"/>
          <w:szCs w:val="20"/>
          <w:color w:val="auto"/>
        </w:rPr>
      </w:pPr>
    </w:p>
    <w:p>
      <w:pPr>
        <w:ind w:left="100"/>
        <w:spacing w:after="0" w:line="291"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b w:val="1"/>
          <w:bCs w:val="1"/>
          <w:color w:val="auto"/>
        </w:rPr>
        <w:t>Section 5.05(A)(iii)(2)</w:t>
      </w:r>
      <w:r>
        <w:rPr>
          <w:rFonts w:ascii="Arial" w:cs="Arial" w:eastAsia="Arial" w:hAnsi="Arial"/>
          <w:sz w:val="16"/>
          <w:szCs w:val="16"/>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a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60" w:lineRule="exact"/>
        <w:rPr>
          <w:sz w:val="20"/>
          <w:szCs w:val="20"/>
          <w:color w:val="auto"/>
        </w:rPr>
      </w:pPr>
    </w:p>
    <w:p>
      <w:pPr>
        <w:ind w:left="100" w:right="140"/>
        <w:spacing w:after="0" w:line="266" w:lineRule="auto"/>
        <w:rPr>
          <w:sz w:val="20"/>
          <w:szCs w:val="20"/>
          <w:color w:val="auto"/>
        </w:rPr>
      </w:pPr>
      <w:r>
        <w:rPr>
          <w:rFonts w:ascii="Arial" w:cs="Arial" w:eastAsia="Arial" w:hAnsi="Arial"/>
          <w:sz w:val="18"/>
          <w:szCs w:val="18"/>
          <w:color w:val="auto"/>
        </w:rPr>
        <w:t xml:space="preserve">To the extent any dividend or distribution of the type set forth in this </w:t>
      </w:r>
      <w:r>
        <w:rPr>
          <w:rFonts w:ascii="Arial" w:cs="Arial" w:eastAsia="Arial" w:hAnsi="Arial"/>
          <w:sz w:val="18"/>
          <w:szCs w:val="18"/>
          <w:b w:val="1"/>
          <w:bCs w:val="1"/>
          <w:color w:val="auto"/>
        </w:rPr>
        <w:t>Section 5.05(A)(iii)(2)</w:t>
      </w:r>
      <w:r>
        <w:rPr>
          <w:rFonts w:ascii="Arial" w:cs="Arial" w:eastAsia="Arial" w:hAnsi="Arial"/>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76" w:lineRule="exact"/>
        <w:rPr>
          <w:sz w:val="20"/>
          <w:szCs w:val="20"/>
          <w:color w:val="auto"/>
        </w:rPr>
      </w:pPr>
    </w:p>
    <w:p>
      <w:pPr>
        <w:ind w:left="100" w:right="80"/>
        <w:spacing w:after="0" w:line="282" w:lineRule="auto"/>
        <w:rPr>
          <w:sz w:val="20"/>
          <w:szCs w:val="20"/>
          <w:color w:val="auto"/>
        </w:rPr>
      </w:pPr>
      <w:r>
        <w:rPr>
          <w:rFonts w:ascii="Arial" w:cs="Arial" w:eastAsia="Arial" w:hAnsi="Arial"/>
          <w:sz w:val="18"/>
          <w:szCs w:val="18"/>
          <w:color w:val="auto"/>
        </w:rPr>
        <w:t xml:space="preserve">For the avoidance of doubt, each adjustment to the Conversion Rate made pursuant to this </w:t>
      </w:r>
      <w:r>
        <w:rPr>
          <w:rFonts w:ascii="Arial" w:cs="Arial" w:eastAsia="Arial" w:hAnsi="Arial"/>
          <w:sz w:val="18"/>
          <w:szCs w:val="18"/>
          <w:b w:val="1"/>
          <w:bCs w:val="1"/>
          <w:color w:val="auto"/>
        </w:rPr>
        <w:t>Section 5.05(A)(iii)(2)</w:t>
      </w:r>
      <w:r>
        <w:rPr>
          <w:rFonts w:ascii="Arial" w:cs="Arial" w:eastAsia="Arial" w:hAnsi="Arial"/>
          <w:sz w:val="18"/>
          <w:szCs w:val="18"/>
          <w:color w:val="auto"/>
        </w:rPr>
        <w:t xml:space="preserve"> will become effective as of the time set</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60"/>
          </w:cols>
          <w:pgMar w:left="1440" w:top="341" w:right="299" w:bottom="1440" w:gutter="0" w:footer="0" w:header="0"/>
        </w:sectPr>
      </w:pPr>
    </w:p>
    <w:bookmarkStart w:id="56" w:name="page57"/>
    <w:bookmarkEnd w:id="56"/>
    <w:p>
      <w:pPr>
        <w:ind w:left="640"/>
        <w:spacing w:after="0"/>
        <w:rPr>
          <w:sz w:val="20"/>
          <w:szCs w:val="20"/>
          <w:color w:val="auto"/>
        </w:rPr>
      </w:pPr>
      <w:r>
        <w:rPr>
          <w:rFonts w:ascii="Arial" w:cs="Arial" w:eastAsia="Arial" w:hAnsi="Arial"/>
          <w:sz w:val="18"/>
          <w:szCs w:val="18"/>
          <w:color w:val="auto"/>
        </w:rPr>
        <w:t xml:space="preserve">forth in the preceding definition of </w:t>
      </w: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r>
        <w:rPr>
          <w:rFonts w:ascii="Arial" w:cs="Arial" w:eastAsia="Arial" w:hAnsi="Arial"/>
          <w:sz w:val="18"/>
          <w:szCs w:val="18"/>
          <w:color w:val="auto"/>
        </w:rPr>
        <w:t>.</w:t>
      </w:r>
    </w:p>
    <w:p>
      <w:pPr>
        <w:spacing w:after="0" w:line="225" w:lineRule="exact"/>
        <w:rPr>
          <w:sz w:val="20"/>
          <w:szCs w:val="20"/>
          <w:color w:val="auto"/>
        </w:rPr>
      </w:pPr>
    </w:p>
    <w:p>
      <w:pPr>
        <w:ind w:right="100" w:firstLine="645"/>
        <w:spacing w:after="0" w:line="264" w:lineRule="auto"/>
        <w:tabs>
          <w:tab w:leader="none" w:pos="1313"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Cash Dividends or Distributions</w:t>
      </w:r>
      <w:r>
        <w:rPr>
          <w:rFonts w:ascii="Arial" w:cs="Arial" w:eastAsia="Arial" w:hAnsi="Arial"/>
          <w:sz w:val="18"/>
          <w:szCs w:val="18"/>
          <w:color w:val="auto"/>
        </w:rPr>
        <w:t>. If any cash dividend or distribution is made to all or substantially all holders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 regular quarterly cash dividend that does not exceed the Dividend Threshold per share of Common Stock),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124460</wp:posOffset>
            </wp:positionV>
            <wp:extent cx="1149350" cy="394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93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6"/>
              </w:rPr>
              <w:t>where:</w:t>
            </w:r>
          </w:p>
        </w:tc>
        <w:tc>
          <w:tcPr>
            <w:tcW w:w="46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1"/>
              </w:rPr>
              <w:t>the Conversion Rate in effect immediately before the Open of Business on the Ex-Dividend Date for such dividend or distribution;</w:t>
            </w:r>
          </w:p>
        </w:tc>
      </w:tr>
      <w:tr>
        <w:trPr>
          <w:trHeight w:val="432"/>
        </w:trPr>
        <w:tc>
          <w:tcPr>
            <w:tcW w:w="54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32"/>
        </w:trPr>
        <w:tc>
          <w:tcPr>
            <w:tcW w:w="540" w:type="dxa"/>
            <w:vAlign w:val="bottom"/>
          </w:tcPr>
          <w:p>
            <w:pPr>
              <w:spacing w:after="0"/>
              <w:rPr>
                <w:sz w:val="20"/>
                <w:szCs w:val="20"/>
                <w:color w:val="auto"/>
              </w:rPr>
            </w:pPr>
            <w:r>
              <w:rPr>
                <w:rFonts w:ascii="Arial" w:cs="Arial" w:eastAsia="Arial" w:hAnsi="Arial"/>
                <w:sz w:val="18"/>
                <w:szCs w:val="18"/>
                <w:i w:val="1"/>
                <w:iCs w:val="1"/>
                <w:color w:val="auto"/>
              </w:rPr>
              <w:t>SP</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6"/>
              </w:rPr>
              <w:t>the Last Reported Sale Price per share of Common Stock on the Trading Day immediately before such Ex-Dividend Date;</w:t>
            </w:r>
          </w:p>
        </w:tc>
      </w:tr>
      <w:tr>
        <w:trPr>
          <w:trHeight w:val="418"/>
        </w:trPr>
        <w:tc>
          <w:tcPr>
            <w:tcW w:w="540" w:type="dxa"/>
            <w:vAlign w:val="bottom"/>
          </w:tcPr>
          <w:p>
            <w:pPr>
              <w:spacing w:after="0"/>
              <w:rPr>
                <w:sz w:val="20"/>
                <w:szCs w:val="20"/>
                <w:color w:val="auto"/>
              </w:rPr>
            </w:pPr>
            <w:r>
              <w:rPr>
                <w:rFonts w:ascii="Arial" w:cs="Arial" w:eastAsia="Arial" w:hAnsi="Arial"/>
                <w:sz w:val="18"/>
                <w:szCs w:val="18"/>
                <w:i w:val="1"/>
                <w:iCs w:val="1"/>
                <w:color w:val="auto"/>
              </w:rPr>
              <w:t>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8"/>
              </w:rPr>
              <w:t>an amount (subject to the proviso below, the “</w:t>
            </w:r>
            <w:r>
              <w:rPr>
                <w:rFonts w:ascii="Arial" w:cs="Arial" w:eastAsia="Arial" w:hAnsi="Arial"/>
                <w:sz w:val="18"/>
                <w:szCs w:val="18"/>
                <w:b w:val="1"/>
                <w:bCs w:val="1"/>
                <w:color w:val="auto"/>
                <w:w w:val="98"/>
              </w:rPr>
              <w:t>Dividend Threshold</w:t>
            </w:r>
            <w:r>
              <w:rPr>
                <w:rFonts w:ascii="Arial" w:cs="Arial" w:eastAsia="Arial" w:hAnsi="Arial"/>
                <w:sz w:val="18"/>
                <w:szCs w:val="18"/>
                <w:color w:val="auto"/>
                <w:w w:val="98"/>
              </w:rPr>
              <w:t>”) initially equal to $0.11 per share of Common Stock;</w:t>
            </w:r>
          </w:p>
        </w:tc>
      </w:t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300"/>
              <w:spacing w:after="0"/>
              <w:rPr>
                <w:sz w:val="20"/>
                <w:szCs w:val="20"/>
                <w:color w:val="auto"/>
              </w:rPr>
            </w:pPr>
            <w:r>
              <w:rPr>
                <w:rFonts w:ascii="Arial" w:cs="Arial" w:eastAsia="Arial" w:hAnsi="Arial"/>
                <w:sz w:val="18"/>
                <w:szCs w:val="18"/>
                <w:i w:val="1"/>
                <w:iCs w:val="1"/>
                <w:color w:val="auto"/>
                <w:w w:val="91"/>
              </w:rPr>
              <w:t>provided</w:t>
            </w:r>
            <w:r>
              <w:rPr>
                <w:rFonts w:ascii="Arial" w:cs="Arial" w:eastAsia="Arial" w:hAnsi="Arial"/>
                <w:sz w:val="18"/>
                <w:szCs w:val="18"/>
                <w:color w:val="auto"/>
                <w:w w:val="91"/>
              </w:rPr>
              <w:t>,</w:t>
            </w:r>
            <w:r>
              <w:rPr>
                <w:rFonts w:ascii="Arial" w:cs="Arial" w:eastAsia="Arial" w:hAnsi="Arial"/>
                <w:sz w:val="18"/>
                <w:szCs w:val="18"/>
                <w:i w:val="1"/>
                <w:iCs w:val="1"/>
                <w:color w:val="auto"/>
                <w:w w:val="91"/>
              </w:rPr>
              <w:t xml:space="preserve"> however</w:t>
            </w:r>
            <w:r>
              <w:rPr>
                <w:rFonts w:ascii="Arial" w:cs="Arial" w:eastAsia="Arial" w:hAnsi="Arial"/>
                <w:sz w:val="18"/>
                <w:szCs w:val="18"/>
                <w:color w:val="auto"/>
                <w:w w:val="91"/>
              </w:rPr>
              <w:t>, that (x) if such dividend or distribution is not a regular quarterly cash dividend on the Common Stock, then the</w:t>
            </w:r>
          </w:p>
        </w:tc>
      </w:t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w w:val="96"/>
              </w:rPr>
              <w:t>Dividend Threshold will be deemed to be zero dollars ($0.00) per share of Common Stock with respect to such dividend or</w:t>
            </w:r>
          </w:p>
        </w:tc>
      </w:tr>
      <w:tr>
        <w:trPr>
          <w:trHeight w:val="212"/>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w w:val="90"/>
              </w:rPr>
              <w:t>distribution; and (y) the Dividend Threshold will be adjusted in the same manner as, and at the same time and for the same events</w:t>
            </w:r>
          </w:p>
        </w:tc>
      </w:tr>
      <w:tr>
        <w:trPr>
          <w:trHeight w:val="220"/>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w w:val="92"/>
              </w:rPr>
              <w:t xml:space="preserve">for which, the Conversion Price is adjusted as a result of the operation of </w:t>
            </w:r>
            <w:r>
              <w:rPr>
                <w:rFonts w:ascii="Arial" w:cs="Arial" w:eastAsia="Arial" w:hAnsi="Arial"/>
                <w:sz w:val="18"/>
                <w:szCs w:val="18"/>
                <w:b w:val="1"/>
                <w:bCs w:val="1"/>
                <w:color w:val="auto"/>
                <w:w w:val="92"/>
              </w:rPr>
              <w:t>Section 5.05(A)</w:t>
            </w:r>
            <w:r>
              <w:rPr>
                <w:rFonts w:ascii="Arial" w:cs="Arial" w:eastAsia="Arial" w:hAnsi="Arial"/>
                <w:sz w:val="18"/>
                <w:szCs w:val="18"/>
                <w:color w:val="auto"/>
                <w:w w:val="92"/>
              </w:rPr>
              <w:t xml:space="preserve"> (other than this </w:t>
            </w:r>
            <w:r>
              <w:rPr>
                <w:rFonts w:ascii="Arial" w:cs="Arial" w:eastAsia="Arial" w:hAnsi="Arial"/>
                <w:sz w:val="18"/>
                <w:szCs w:val="18"/>
                <w:b w:val="1"/>
                <w:bCs w:val="1"/>
                <w:color w:val="auto"/>
                <w:w w:val="92"/>
              </w:rPr>
              <w:t>Section 5.05(A)(iv)</w:t>
            </w:r>
            <w:r>
              <w:rPr>
                <w:rFonts w:ascii="Arial" w:cs="Arial" w:eastAsia="Arial" w:hAnsi="Arial"/>
                <w:sz w:val="18"/>
                <w:szCs w:val="18"/>
                <w:color w:val="auto"/>
                <w:w w:val="92"/>
              </w:rPr>
              <w:t>);</w:t>
            </w: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rPr>
              <w:t>and</w:t>
            </w:r>
          </w:p>
        </w:tc>
      </w:tr>
      <w:tr>
        <w:trPr>
          <w:trHeight w:val="432"/>
        </w:trPr>
        <w:tc>
          <w:tcPr>
            <w:tcW w:w="540" w:type="dxa"/>
            <w:vAlign w:val="bottom"/>
          </w:tcPr>
          <w:p>
            <w:pPr>
              <w:spacing w:after="0"/>
              <w:rPr>
                <w:sz w:val="20"/>
                <w:szCs w:val="20"/>
                <w:color w:val="auto"/>
              </w:rPr>
            </w:pPr>
            <w:r>
              <w:rPr>
                <w:rFonts w:ascii="Arial" w:cs="Arial" w:eastAsia="Arial" w:hAnsi="Arial"/>
                <w:sz w:val="18"/>
                <w:szCs w:val="18"/>
                <w:i w:val="1"/>
                <w:iCs w:val="1"/>
                <w:color w:val="auto"/>
              </w:rPr>
              <w:t>D</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rPr>
              <w:t>the cash amount distributed per share of Common Stock in such dividend or distribution;</w:t>
            </w: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w:t>
      </w:r>
      <w:r>
        <w:rPr>
          <w:rFonts w:ascii="Arial" w:cs="Arial" w:eastAsia="Arial" w:hAnsi="Arial"/>
          <w:sz w:val="17"/>
          <w:szCs w:val="17"/>
          <w:i w:val="1"/>
          <w:iCs w:val="1"/>
          <w:color w:val="auto"/>
        </w:rPr>
        <w:t xml:space="preserve"> D </w:t>
      </w:r>
      <w:r>
        <w:rPr>
          <w:rFonts w:ascii="Arial" w:cs="Arial" w:eastAsia="Arial" w:hAnsi="Arial"/>
          <w:sz w:val="17"/>
          <w:szCs w:val="17"/>
          <w:color w:val="auto"/>
        </w:rPr>
        <w:t>is equal to or greater than</w:t>
      </w:r>
      <w:r>
        <w:rPr>
          <w:rFonts w:ascii="Arial" w:cs="Arial" w:eastAsia="Arial" w:hAnsi="Arial"/>
          <w:sz w:val="17"/>
          <w:szCs w:val="17"/>
          <w:i w:val="1"/>
          <w:iCs w:val="1"/>
          <w:color w:val="auto"/>
        </w:rPr>
        <w:t xml:space="preserve"> SP</w:t>
      </w:r>
      <w:r>
        <w:rPr>
          <w:rFonts w:ascii="Arial" w:cs="Arial" w:eastAsia="Arial" w:hAnsi="Arial"/>
          <w:sz w:val="17"/>
          <w:szCs w:val="17"/>
          <w:color w:val="auto"/>
        </w:rPr>
        <w:t>, then, in lieu of the foregoing adjustment to the Conversion Rate, each Holder will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for each $1,000 principal amount of Notes held by such Holder on the record date for such dividend or distribution, at the same time and on the same terms as holders of Common Stock, the amount of cash that such Holder would have received if such Holder had owned, on such record date, a number of shares of Common Stock equal to the Conversion Rate in effect on such record date.</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the extent such dividend or distribution is declared but not made or paid, the Conversion Rate will be readjusted to the Conversion Rate that would then be in effect</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had the adjustment been made on the basis of only the dividend or distribution, if any, actually made or paid.</w:t>
      </w:r>
    </w:p>
    <w:p>
      <w:pPr>
        <w:spacing w:after="0" w:line="221" w:lineRule="exact"/>
        <w:rPr>
          <w:sz w:val="20"/>
          <w:szCs w:val="20"/>
          <w:color w:val="auto"/>
        </w:rPr>
      </w:pPr>
    </w:p>
    <w:p>
      <w:pPr>
        <w:ind w:left="660" w:right="220"/>
        <w:spacing w:after="0" w:line="282" w:lineRule="auto"/>
        <w:rPr>
          <w:sz w:val="20"/>
          <w:szCs w:val="20"/>
          <w:color w:val="auto"/>
        </w:rPr>
      </w:pPr>
      <w:r>
        <w:rPr>
          <w:rFonts w:ascii="Arial" w:cs="Arial" w:eastAsia="Arial" w:hAnsi="Arial"/>
          <w:sz w:val="18"/>
          <w:szCs w:val="18"/>
          <w:color w:val="auto"/>
        </w:rPr>
        <w:t xml:space="preserve">For the avoidance of doubt, each adjustment to the Conversion Rate made pursuant to this </w:t>
      </w:r>
      <w:r>
        <w:rPr>
          <w:rFonts w:ascii="Arial" w:cs="Arial" w:eastAsia="Arial" w:hAnsi="Arial"/>
          <w:sz w:val="18"/>
          <w:szCs w:val="18"/>
          <w:b w:val="1"/>
          <w:bCs w:val="1"/>
          <w:color w:val="auto"/>
        </w:rPr>
        <w:t>Section 5.05(A)(iv)</w:t>
      </w:r>
      <w:r>
        <w:rPr>
          <w:rFonts w:ascii="Arial" w:cs="Arial" w:eastAsia="Arial" w:hAnsi="Arial"/>
          <w:sz w:val="18"/>
          <w:szCs w:val="18"/>
          <w:color w:val="auto"/>
        </w:rPr>
        <w:t xml:space="preserve"> will become effective as of the time set forth in the preceding definition of </w:t>
      </w: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r>
        <w:rPr>
          <w:rFonts w:ascii="Arial" w:cs="Arial" w:eastAsia="Arial" w:hAnsi="Arial"/>
          <w:sz w:val="18"/>
          <w:szCs w:val="18"/>
          <w:color w:val="auto"/>
        </w:rPr>
        <w:t>.</w:t>
      </w:r>
    </w:p>
    <w:p>
      <w:pPr>
        <w:spacing w:after="0" w:line="166" w:lineRule="exact"/>
        <w:rPr>
          <w:sz w:val="20"/>
          <w:szCs w:val="20"/>
          <w:color w:val="auto"/>
        </w:rPr>
      </w:pPr>
    </w:p>
    <w:p>
      <w:pPr>
        <w:ind w:left="660" w:right="60" w:firstLine="645"/>
        <w:spacing w:after="0" w:line="276" w:lineRule="auto"/>
        <w:tabs>
          <w:tab w:leader="none" w:pos="1964"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Tender Offers or Exchange Offers</w:t>
      </w:r>
      <w:r>
        <w:rPr>
          <w:rFonts w:ascii="Arial" w:cs="Arial" w:eastAsia="Arial" w:hAnsi="Arial"/>
          <w:sz w:val="17"/>
          <w:szCs w:val="17"/>
          <w:color w:val="auto"/>
        </w:rPr>
        <w:t>. If the Company or any of its Subsidiaries makes a payment in respect of a tender offer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offer for shares of Common Stock, and the value (determined as of the Expiration Time by the Board of Directors) of the cash and other consideration paid per share of Common Stock in such tender or exchange offer exceeds the Last Reported Sale Price per share of Common Stock on the Trading Day immediately after the last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118745</wp:posOffset>
            </wp:positionV>
            <wp:extent cx="1560830" cy="403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08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w w:val="96"/>
              </w:rPr>
              <w:t>where:</w:t>
            </w:r>
          </w:p>
        </w:tc>
        <w:tc>
          <w:tcPr>
            <w:tcW w:w="460" w:type="dxa"/>
            <w:vAlign w:val="bottom"/>
          </w:tcPr>
          <w:p>
            <w:pPr>
              <w:spacing w:after="0"/>
              <w:rPr>
                <w:sz w:val="20"/>
                <w:szCs w:val="20"/>
                <w:color w:val="auto"/>
              </w:rPr>
            </w:pPr>
          </w:p>
        </w:tc>
        <w:tc>
          <w:tcPr>
            <w:tcW w:w="9800" w:type="dxa"/>
            <w:vAlign w:val="bottom"/>
          </w:tcPr>
          <w:p>
            <w:pPr>
              <w:spacing w:after="0"/>
              <w:rPr>
                <w:sz w:val="20"/>
                <w:szCs w:val="20"/>
                <w:color w:val="auto"/>
              </w:rPr>
            </w:pP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0" w:type="dxa"/>
            <w:vAlign w:val="bottom"/>
          </w:tcPr>
          <w:p>
            <w:pPr>
              <w:ind w:left="300"/>
              <w:spacing w:after="0"/>
              <w:rPr>
                <w:sz w:val="20"/>
                <w:szCs w:val="20"/>
                <w:color w:val="auto"/>
              </w:rPr>
            </w:pPr>
            <w:r>
              <w:rPr>
                <w:rFonts w:ascii="Arial" w:cs="Arial" w:eastAsia="Arial" w:hAnsi="Arial"/>
                <w:sz w:val="18"/>
                <w:szCs w:val="18"/>
                <w:color w:val="auto"/>
                <w:w w:val="94"/>
              </w:rPr>
              <w:t>the Conversion Rate in effect immediately before the Close of Business on the last Trading Day of the Tender/Exchange Offer</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Valuation Period for such tender or exchange offer;</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0" w:type="dxa"/>
            <w:vAlign w:val="bottom"/>
          </w:tcPr>
          <w:p>
            <w:pPr>
              <w:ind w:left="300"/>
              <w:spacing w:after="0"/>
              <w:rPr>
                <w:sz w:val="20"/>
                <w:szCs w:val="20"/>
                <w:color w:val="auto"/>
              </w:rPr>
            </w:pPr>
            <w:r>
              <w:rPr>
                <w:rFonts w:ascii="Arial" w:cs="Arial" w:eastAsia="Arial" w:hAnsi="Arial"/>
                <w:sz w:val="18"/>
                <w:szCs w:val="18"/>
                <w:color w:val="auto"/>
                <w:w w:val="96"/>
              </w:rPr>
              <w:t>the Conversion Rate in effect immediately after the Close of Business on the last Trading Day of the Tender/Exchange Offer</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Valuation Period;</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i w:val="1"/>
                <w:iCs w:val="1"/>
                <w:color w:val="auto"/>
              </w:rPr>
              <w:t>AC</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0" w:type="dxa"/>
            <w:vAlign w:val="bottom"/>
          </w:tcPr>
          <w:p>
            <w:pPr>
              <w:ind w:left="300"/>
              <w:spacing w:after="0"/>
              <w:rPr>
                <w:sz w:val="20"/>
                <w:szCs w:val="20"/>
                <w:color w:val="auto"/>
              </w:rPr>
            </w:pPr>
            <w:r>
              <w:rPr>
                <w:rFonts w:ascii="Arial" w:cs="Arial" w:eastAsia="Arial" w:hAnsi="Arial"/>
                <w:sz w:val="18"/>
                <w:szCs w:val="18"/>
                <w:color w:val="auto"/>
                <w:w w:val="94"/>
              </w:rPr>
              <w:t>the aggregate value (determined as of the time (the “</w:t>
            </w:r>
            <w:r>
              <w:rPr>
                <w:rFonts w:ascii="Arial" w:cs="Arial" w:eastAsia="Arial" w:hAnsi="Arial"/>
                <w:sz w:val="18"/>
                <w:szCs w:val="18"/>
                <w:b w:val="1"/>
                <w:bCs w:val="1"/>
                <w:color w:val="auto"/>
                <w:w w:val="94"/>
              </w:rPr>
              <w:t>Expiration Time</w:t>
            </w:r>
            <w:r>
              <w:rPr>
                <w:rFonts w:ascii="Arial" w:cs="Arial" w:eastAsia="Arial" w:hAnsi="Arial"/>
                <w:sz w:val="18"/>
                <w:szCs w:val="18"/>
                <w:color w:val="auto"/>
                <w:w w:val="94"/>
              </w:rPr>
              <w:t>”) such tender or exchange offer expires by the Board of</w:t>
            </w:r>
          </w:p>
        </w:tc>
      </w:tr>
      <w:tr>
        <w:trPr>
          <w:trHeight w:val="216"/>
        </w:trPr>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w w:val="97"/>
              </w:rPr>
              <w:t>Directors) of all cash and other consideration paid for shares of Common Stock purchased or exchanged in such tender or</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exchange offer;</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1"/>
                <w:szCs w:val="11"/>
                <w:i w:val="1"/>
                <w:iCs w:val="1"/>
                <w:color w:val="auto"/>
              </w:rPr>
              <w:t>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0" w:type="dxa"/>
            <w:vAlign w:val="bottom"/>
          </w:tcPr>
          <w:p>
            <w:pPr>
              <w:ind w:left="300"/>
              <w:spacing w:after="0"/>
              <w:rPr>
                <w:sz w:val="20"/>
                <w:szCs w:val="20"/>
                <w:color w:val="auto"/>
              </w:rPr>
            </w:pPr>
            <w:r>
              <w:rPr>
                <w:rFonts w:ascii="Arial" w:cs="Arial" w:eastAsia="Arial" w:hAnsi="Arial"/>
                <w:sz w:val="18"/>
                <w:szCs w:val="18"/>
                <w:color w:val="auto"/>
                <w:w w:val="95"/>
              </w:rPr>
              <w:t>the number of shares of Common Stock outstanding immediately before the Expiration Time (including all shares of Common</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Stock accepted for purchase or exchange in such tender or exchange offer);</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1"/>
                <w:szCs w:val="11"/>
                <w:i w:val="1"/>
                <w:iCs w:val="1"/>
                <w:color w:val="auto"/>
              </w:rPr>
              <w:t>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0" w:type="dxa"/>
            <w:vAlign w:val="bottom"/>
          </w:tcPr>
          <w:p>
            <w:pPr>
              <w:ind w:left="300"/>
              <w:spacing w:after="0"/>
              <w:rPr>
                <w:sz w:val="20"/>
                <w:szCs w:val="20"/>
                <w:color w:val="auto"/>
              </w:rPr>
            </w:pPr>
            <w:r>
              <w:rPr>
                <w:rFonts w:ascii="Arial" w:cs="Arial" w:eastAsia="Arial" w:hAnsi="Arial"/>
                <w:sz w:val="18"/>
                <w:szCs w:val="18"/>
                <w:color w:val="auto"/>
                <w:w w:val="91"/>
              </w:rPr>
              <w:t>the number of shares of Common Stock outstanding immediately after the Expiration Time (excluding all shares of Common Stock</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accepted for purchase or exchange in such tender or exchange offer); and</w:t>
            </w:r>
          </w:p>
        </w:tc>
      </w:tr>
      <w:tr>
        <w:trPr>
          <w:trHeight w:val="414"/>
        </w:trPr>
        <w:tc>
          <w:tcPr>
            <w:tcW w:w="1200" w:type="dxa"/>
            <w:vAlign w:val="bottom"/>
          </w:tcPr>
          <w:p>
            <w:pPr>
              <w:ind w:left="660"/>
              <w:spacing w:after="0"/>
              <w:rPr>
                <w:sz w:val="20"/>
                <w:szCs w:val="20"/>
                <w:color w:val="auto"/>
              </w:rPr>
            </w:pPr>
            <w:r>
              <w:rPr>
                <w:rFonts w:ascii="Arial" w:cs="Arial" w:eastAsia="Arial" w:hAnsi="Arial"/>
                <w:sz w:val="18"/>
                <w:szCs w:val="18"/>
                <w:i w:val="1"/>
                <w:iCs w:val="1"/>
                <w:color w:val="auto"/>
              </w:rPr>
              <w:t>SP</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0" w:type="dxa"/>
            <w:vAlign w:val="bottom"/>
          </w:tcPr>
          <w:p>
            <w:pPr>
              <w:ind w:left="300"/>
              <w:spacing w:after="0"/>
              <w:rPr>
                <w:sz w:val="20"/>
                <w:szCs w:val="20"/>
                <w:color w:val="auto"/>
              </w:rPr>
            </w:pPr>
            <w:r>
              <w:rPr>
                <w:rFonts w:ascii="Arial" w:cs="Arial" w:eastAsia="Arial" w:hAnsi="Arial"/>
                <w:sz w:val="18"/>
                <w:szCs w:val="18"/>
                <w:color w:val="auto"/>
                <w:w w:val="92"/>
              </w:rPr>
              <w:t>the average of the Last Reported Sale Prices per share of Common Stock over the ten (10) consecutive Trading Day period (the</w:t>
            </w:r>
          </w:p>
        </w:tc>
      </w:tr>
      <w:tr>
        <w:trPr>
          <w:trHeight w:val="220"/>
        </w:trPr>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Tender/Exchange Offer Valuation Period</w:t>
            </w:r>
            <w:r>
              <w:rPr>
                <w:rFonts w:ascii="Arial" w:cs="Arial" w:eastAsia="Arial" w:hAnsi="Arial"/>
                <w:sz w:val="18"/>
                <w:szCs w:val="18"/>
                <w:color w:val="auto"/>
                <w:w w:val="96"/>
              </w:rPr>
              <w:t>”) beginning on, and including, the Trading Day immediately after the Expiration</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Date;</w:t>
            </w:r>
          </w:p>
        </w:tc>
      </w:tr>
      <w:tr>
        <w:trPr>
          <w:trHeight w:val="432"/>
        </w:trPr>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tcPr>
          <w:p>
            <w:pPr>
              <w:ind w:left="3960"/>
              <w:spacing w:after="0"/>
              <w:rPr>
                <w:sz w:val="20"/>
                <w:szCs w:val="20"/>
                <w:color w:val="auto"/>
              </w:rPr>
            </w:pPr>
            <w:r>
              <w:rPr>
                <w:rFonts w:ascii="Arial" w:cs="Arial" w:eastAsia="Arial" w:hAnsi="Arial"/>
                <w:sz w:val="18"/>
                <w:szCs w:val="18"/>
                <w:color w:val="auto"/>
              </w:rPr>
              <w:t>48</w:t>
            </w:r>
          </w:p>
        </w:tc>
      </w:tr>
      <w:tr>
        <w:trPr>
          <w:trHeight w:val="132"/>
        </w:trPr>
        <w:tc>
          <w:tcPr>
            <w:tcW w:w="12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8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8" w:name="page59"/>
    <w:bookmarkEnd w:id="58"/>
    <w:p>
      <w:pPr>
        <w:ind w:left="4"/>
        <w:spacing w:after="0" w:line="289"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Conversion Rate will in no event be adjusted down pursuant to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5.05(A)(v)</w:t>
      </w:r>
      <w:r>
        <w:rPr>
          <w:rFonts w:ascii="Arial" w:cs="Arial" w:eastAsia="Arial" w:hAnsi="Arial"/>
          <w:sz w:val="16"/>
          <w:szCs w:val="16"/>
          <w:color w:val="auto"/>
        </w:rPr>
        <w:t>, except to the extent provided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immediately following paragraph. Notwithstanding anything to the contrary in this </w:t>
      </w:r>
      <w:r>
        <w:rPr>
          <w:rFonts w:ascii="Arial" w:cs="Arial" w:eastAsia="Arial" w:hAnsi="Arial"/>
          <w:sz w:val="16"/>
          <w:szCs w:val="16"/>
          <w:b w:val="1"/>
          <w:bCs w:val="1"/>
          <w:color w:val="auto"/>
        </w:rPr>
        <w:t>Section 5.05(A)(v)</w:t>
      </w:r>
      <w:r>
        <w:rPr>
          <w:rFonts w:ascii="Arial" w:cs="Arial" w:eastAsia="Arial" w:hAnsi="Arial"/>
          <w:sz w:val="16"/>
          <w:szCs w:val="16"/>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 .</w:t>
      </w:r>
    </w:p>
    <w:p>
      <w:pPr>
        <w:spacing w:after="0" w:line="165"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84"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 xml:space="preserve">For the avoidance of doubt, each adjustment to the Conversion Rate made pursuant to this </w:t>
      </w:r>
      <w:r>
        <w:rPr>
          <w:rFonts w:ascii="Arial" w:cs="Arial" w:eastAsia="Arial" w:hAnsi="Arial"/>
          <w:sz w:val="18"/>
          <w:szCs w:val="18"/>
          <w:b w:val="1"/>
          <w:bCs w:val="1"/>
          <w:color w:val="auto"/>
        </w:rPr>
        <w:t>Section 5.05(A)(v)</w:t>
      </w:r>
      <w:r>
        <w:rPr>
          <w:rFonts w:ascii="Arial" w:cs="Arial" w:eastAsia="Arial" w:hAnsi="Arial"/>
          <w:sz w:val="18"/>
          <w:szCs w:val="18"/>
          <w:color w:val="auto"/>
        </w:rPr>
        <w:t xml:space="preserve"> will become effective as of the time set forth in the preceding definition of </w:t>
      </w:r>
      <w:r>
        <w:rPr>
          <w:rFonts w:ascii="Arial" w:cs="Arial" w:eastAsia="Arial" w:hAnsi="Arial"/>
          <w:sz w:val="18"/>
          <w:szCs w:val="18"/>
          <w:i w:val="1"/>
          <w:iCs w:val="1"/>
          <w:color w:val="auto"/>
        </w:rPr>
        <w:t>CR</w:t>
      </w:r>
      <w:r>
        <w:rPr>
          <w:rFonts w:ascii="Arial" w:cs="Arial" w:eastAsia="Arial" w:hAnsi="Arial"/>
          <w:sz w:val="11"/>
          <w:szCs w:val="11"/>
          <w:i w:val="1"/>
          <w:iCs w:val="1"/>
          <w:color w:val="auto"/>
        </w:rPr>
        <w:t>1</w:t>
      </w:r>
      <w:r>
        <w:rPr>
          <w:rFonts w:ascii="Arial" w:cs="Arial" w:eastAsia="Arial" w:hAnsi="Arial"/>
          <w:sz w:val="18"/>
          <w:szCs w:val="18"/>
          <w:color w:val="auto"/>
        </w:rPr>
        <w:t>.</w:t>
      </w:r>
    </w:p>
    <w:p>
      <w:pPr>
        <w:spacing w:after="0" w:line="166" w:lineRule="exact"/>
        <w:rPr>
          <w:sz w:val="20"/>
          <w:szCs w:val="20"/>
          <w:color w:val="auto"/>
        </w:rPr>
      </w:pPr>
    </w:p>
    <w:p>
      <w:pPr>
        <w:ind w:left="664" w:hanging="664"/>
        <w:spacing w:after="0"/>
        <w:tabs>
          <w:tab w:leader="none" w:pos="664"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No Adjustments in Certain Cases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272" w:lineRule="auto"/>
        <w:tabs>
          <w:tab w:leader="none" w:pos="1322" w:val="left"/>
        </w:tabs>
        <w:numPr>
          <w:ilvl w:val="1"/>
          <w:numId w:val="74"/>
        </w:numPr>
        <w:rPr>
          <w:rFonts w:ascii="Arial" w:cs="Arial" w:eastAsia="Arial" w:hAnsi="Arial"/>
          <w:sz w:val="17"/>
          <w:szCs w:val="17"/>
          <w:color w:val="auto"/>
        </w:rPr>
      </w:pPr>
      <w:r>
        <w:rPr>
          <w:rFonts w:ascii="Arial" w:cs="Arial" w:eastAsia="Arial" w:hAnsi="Arial"/>
          <w:sz w:val="17"/>
          <w:szCs w:val="17"/>
          <w:i w:val="1"/>
          <w:iCs w:val="1"/>
          <w:color w:val="auto"/>
        </w:rPr>
        <w:t>Where Holders Participate in the Transaction or Event Without Conversion</w:t>
      </w:r>
      <w:r>
        <w:rPr>
          <w:rFonts w:ascii="Arial" w:cs="Arial" w:eastAsia="Arial" w:hAnsi="Arial"/>
          <w:sz w:val="17"/>
          <w:szCs w:val="17"/>
          <w:color w:val="auto"/>
        </w:rPr>
        <w:t>. Notwithstanding anything to the contrary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5.05(A)</w:t>
      </w:r>
      <w:r>
        <w:rPr>
          <w:rFonts w:ascii="Arial" w:cs="Arial" w:eastAsia="Arial" w:hAnsi="Arial"/>
          <w:sz w:val="17"/>
          <w:szCs w:val="17"/>
          <w:color w:val="auto"/>
        </w:rPr>
        <w:t>, the Company will not be obligated to adjust the Conversion Rate on account of a transaction or other event otherwise requiring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adjustment pursuant to </w:t>
      </w:r>
      <w:r>
        <w:rPr>
          <w:rFonts w:ascii="Arial" w:cs="Arial" w:eastAsia="Arial" w:hAnsi="Arial"/>
          <w:sz w:val="17"/>
          <w:szCs w:val="17"/>
          <w:b w:val="1"/>
          <w:bCs w:val="1"/>
          <w:color w:val="auto"/>
        </w:rPr>
        <w:t>Section 5.05(A)</w:t>
      </w:r>
      <w:r>
        <w:rPr>
          <w:rFonts w:ascii="Arial" w:cs="Arial" w:eastAsia="Arial" w:hAnsi="Arial"/>
          <w:sz w:val="17"/>
          <w:szCs w:val="17"/>
          <w:color w:val="auto"/>
        </w:rPr>
        <w:t xml:space="preserve"> (other than a stock split or combination of the type set forth in </w:t>
      </w:r>
      <w:r>
        <w:rPr>
          <w:rFonts w:ascii="Arial" w:cs="Arial" w:eastAsia="Arial" w:hAnsi="Arial"/>
          <w:sz w:val="17"/>
          <w:szCs w:val="17"/>
          <w:b w:val="1"/>
          <w:bCs w:val="1"/>
          <w:color w:val="auto"/>
        </w:rPr>
        <w:t>Section 5.05(A)(i)</w:t>
      </w:r>
      <w:r>
        <w:rPr>
          <w:rFonts w:ascii="Arial" w:cs="Arial" w:eastAsia="Arial" w:hAnsi="Arial"/>
          <w:sz w:val="17"/>
          <w:szCs w:val="17"/>
          <w:color w:val="auto"/>
        </w:rPr>
        <w:t xml:space="preserve"> or a tender or exchange offer of the type set forth in </w:t>
      </w:r>
      <w:r>
        <w:rPr>
          <w:rFonts w:ascii="Arial" w:cs="Arial" w:eastAsia="Arial" w:hAnsi="Arial"/>
          <w:sz w:val="17"/>
          <w:szCs w:val="17"/>
          <w:b w:val="1"/>
          <w:bCs w:val="1"/>
          <w:color w:val="auto"/>
        </w:rPr>
        <w:t>Section 5.05(A)(v)</w:t>
      </w:r>
      <w:r>
        <w:rPr>
          <w:rFonts w:ascii="Arial" w:cs="Arial" w:eastAsia="Arial" w:hAnsi="Arial"/>
          <w:sz w:val="17"/>
          <w:szCs w:val="17"/>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77" w:lineRule="exact"/>
        <w:rPr>
          <w:rFonts w:ascii="Arial" w:cs="Arial" w:eastAsia="Arial" w:hAnsi="Arial"/>
          <w:sz w:val="17"/>
          <w:szCs w:val="17"/>
          <w:color w:val="auto"/>
        </w:rPr>
      </w:pPr>
    </w:p>
    <w:p>
      <w:pPr>
        <w:ind w:left="1324" w:hanging="675"/>
        <w:spacing w:after="0"/>
        <w:tabs>
          <w:tab w:leader="none" w:pos="1324"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The Company will not be required to adjust the</w:t>
      </w:r>
    </w:p>
    <w:p>
      <w:pPr>
        <w:spacing w:after="0" w:line="225"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24"/>
          </w:cols>
          <w:pgMar w:left="896" w:top="337" w:right="379" w:bottom="1440" w:gutter="0" w:footer="0" w:header="0"/>
        </w:sectPr>
      </w:pPr>
    </w:p>
    <w:bookmarkStart w:id="59" w:name="page60"/>
    <w:bookmarkEnd w:id="59"/>
    <w:p>
      <w:pPr>
        <w:ind w:left="640"/>
        <w:spacing w:after="0"/>
        <w:rPr>
          <w:sz w:val="20"/>
          <w:szCs w:val="20"/>
          <w:color w:val="auto"/>
        </w:rPr>
      </w:pPr>
      <w:r>
        <w:rPr>
          <w:rFonts w:ascii="Arial" w:cs="Arial" w:eastAsia="Arial" w:hAnsi="Arial"/>
          <w:sz w:val="16"/>
          <w:szCs w:val="16"/>
          <w:color w:val="auto"/>
        </w:rPr>
        <w:t xml:space="preserve">Conversion Rate except as provided in </w:t>
      </w:r>
      <w:r>
        <w:rPr>
          <w:rFonts w:ascii="Arial" w:cs="Arial" w:eastAsia="Arial" w:hAnsi="Arial"/>
          <w:sz w:val="16"/>
          <w:szCs w:val="16"/>
          <w:b w:val="1"/>
          <w:bCs w:val="1"/>
          <w:color w:val="auto"/>
        </w:rPr>
        <w:t>Section 5.05</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5.07</w:t>
      </w:r>
      <w:r>
        <w:rPr>
          <w:rFonts w:ascii="Arial" w:cs="Arial" w:eastAsia="Arial" w:hAnsi="Arial"/>
          <w:sz w:val="16"/>
          <w:szCs w:val="16"/>
          <w:color w:val="auto"/>
        </w:rPr>
        <w:t>. Without limiting the foregoing, the Company will not be obligated to adjust the</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Conversion Rate on account of:</w:t>
      </w:r>
    </w:p>
    <w:p>
      <w:pPr>
        <w:spacing w:after="0" w:line="211" w:lineRule="exact"/>
        <w:rPr>
          <w:sz w:val="20"/>
          <w:szCs w:val="20"/>
          <w:color w:val="auto"/>
        </w:rPr>
      </w:pPr>
    </w:p>
    <w:p>
      <w:pPr>
        <w:ind w:left="640" w:right="20" w:firstLine="1293"/>
        <w:spacing w:after="0" w:line="264" w:lineRule="auto"/>
        <w:tabs>
          <w:tab w:leader="none" w:pos="2592"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stock repurchases, including pursuant to structured or derivative transactions or transactions pursuant to a stock repurchase program approved by the Board of Directors or otherwise, in each case that are not tender offers or exchange offers of the type referred to in </w:t>
      </w:r>
      <w:r>
        <w:rPr>
          <w:rFonts w:ascii="Arial" w:cs="Arial" w:eastAsia="Arial" w:hAnsi="Arial"/>
          <w:sz w:val="18"/>
          <w:szCs w:val="18"/>
          <w:b w:val="1"/>
          <w:bCs w:val="1"/>
          <w:color w:val="auto"/>
        </w:rPr>
        <w:t>Section 5.05(A)(v)</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left="640" w:right="260" w:firstLine="1293"/>
        <w:spacing w:after="0" w:line="282" w:lineRule="auto"/>
        <w:tabs>
          <w:tab w:leader="none" w:pos="2592"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b w:val="1"/>
          <w:bCs w:val="1"/>
          <w:color w:val="auto"/>
        </w:rPr>
        <w:t>Section 5.05</w:t>
      </w:r>
      <w:r>
        <w:rPr>
          <w:rFonts w:ascii="Arial" w:cs="Arial" w:eastAsia="Arial" w:hAnsi="Arial"/>
          <w:sz w:val="18"/>
          <w:szCs w:val="18"/>
          <w:color w:val="auto"/>
        </w:rPr>
        <w:t>, the sale of shares of Common Stock for a purchase price that is less than the market price per share of Common Stock or less than the Conversion Price;</w:t>
      </w:r>
    </w:p>
    <w:p>
      <w:pPr>
        <w:spacing w:after="0" w:line="165" w:lineRule="exact"/>
        <w:rPr>
          <w:rFonts w:ascii="Arial" w:cs="Arial" w:eastAsia="Arial" w:hAnsi="Arial"/>
          <w:sz w:val="18"/>
          <w:szCs w:val="18"/>
          <w:color w:val="auto"/>
        </w:rPr>
      </w:pPr>
    </w:p>
    <w:p>
      <w:pPr>
        <w:ind w:left="640" w:right="160" w:firstLine="1293"/>
        <w:spacing w:after="0" w:line="264" w:lineRule="auto"/>
        <w:tabs>
          <w:tab w:leader="none" w:pos="2592"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81" w:lineRule="exact"/>
        <w:rPr>
          <w:rFonts w:ascii="Arial" w:cs="Arial" w:eastAsia="Arial" w:hAnsi="Arial"/>
          <w:sz w:val="18"/>
          <w:szCs w:val="18"/>
          <w:color w:val="auto"/>
        </w:rPr>
      </w:pPr>
    </w:p>
    <w:p>
      <w:pPr>
        <w:ind w:left="640" w:right="280" w:firstLine="1293"/>
        <w:spacing w:after="0" w:line="342" w:lineRule="auto"/>
        <w:tabs>
          <w:tab w:leader="none" w:pos="2592" w:val="left"/>
        </w:tabs>
        <w:numPr>
          <w:ilvl w:val="2"/>
          <w:numId w:val="75"/>
        </w:numPr>
        <w:rPr>
          <w:rFonts w:ascii="Arial" w:cs="Arial" w:eastAsia="Arial" w:hAnsi="Arial"/>
          <w:sz w:val="16"/>
          <w:szCs w:val="16"/>
          <w:color w:val="auto"/>
        </w:rPr>
      </w:pPr>
      <w:r>
        <w:rPr>
          <w:rFonts w:ascii="Arial" w:cs="Arial" w:eastAsia="Arial" w:hAnsi="Arial"/>
          <w:sz w:val="16"/>
          <w:szCs w:val="16"/>
          <w:color w:val="auto"/>
        </w:rPr>
        <w:t>the issuance of any shares of Common Stock or options or rights to purchase shares of Common Stock pursuant to any present or future employee, director or consultant benefit plan, program or agreement of, or assumed by, the Company or any of its Subsidiaries;</w:t>
      </w:r>
    </w:p>
    <w:p>
      <w:pPr>
        <w:spacing w:after="0" w:line="123" w:lineRule="exact"/>
        <w:rPr>
          <w:rFonts w:ascii="Arial" w:cs="Arial" w:eastAsia="Arial" w:hAnsi="Arial"/>
          <w:sz w:val="16"/>
          <w:szCs w:val="16"/>
          <w:color w:val="auto"/>
        </w:rPr>
      </w:pPr>
    </w:p>
    <w:p>
      <w:pPr>
        <w:ind w:left="640" w:right="240" w:firstLine="1293"/>
        <w:spacing w:after="0" w:line="277" w:lineRule="auto"/>
        <w:tabs>
          <w:tab w:leader="none" w:pos="2592"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option, warrant or right or any exercisable, convertible or exchangeable security of the Company outstanding as of the Issue Date;</w:t>
      </w:r>
    </w:p>
    <w:p>
      <w:pPr>
        <w:spacing w:after="0" w:line="170" w:lineRule="exact"/>
        <w:rPr>
          <w:rFonts w:ascii="Arial" w:cs="Arial" w:eastAsia="Arial" w:hAnsi="Arial"/>
          <w:sz w:val="18"/>
          <w:szCs w:val="18"/>
          <w:color w:val="auto"/>
        </w:rPr>
      </w:pPr>
    </w:p>
    <w:p>
      <w:pPr>
        <w:ind w:left="2580" w:hanging="647"/>
        <w:spacing w:after="0"/>
        <w:tabs>
          <w:tab w:leader="none" w:pos="25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solely a change in the par value of the Common Stock; or</w:t>
      </w:r>
    </w:p>
    <w:p>
      <w:pPr>
        <w:spacing w:after="0" w:line="225" w:lineRule="exact"/>
        <w:rPr>
          <w:rFonts w:ascii="Arial" w:cs="Arial" w:eastAsia="Arial" w:hAnsi="Arial"/>
          <w:sz w:val="18"/>
          <w:szCs w:val="18"/>
          <w:color w:val="auto"/>
        </w:rPr>
      </w:pPr>
    </w:p>
    <w:p>
      <w:pPr>
        <w:ind w:left="2580" w:hanging="647"/>
        <w:spacing w:after="0"/>
        <w:tabs>
          <w:tab w:leader="none" w:pos="25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accrued and unpaid interest on the Notes.</w:t>
      </w:r>
    </w:p>
    <w:p>
      <w:pPr>
        <w:spacing w:after="0" w:line="221" w:lineRule="exact"/>
        <w:rPr>
          <w:rFonts w:ascii="Arial" w:cs="Arial" w:eastAsia="Arial" w:hAnsi="Arial"/>
          <w:sz w:val="18"/>
          <w:szCs w:val="18"/>
          <w:color w:val="auto"/>
        </w:rPr>
      </w:pPr>
    </w:p>
    <w:p>
      <w:pPr>
        <w:ind w:left="-20" w:right="20" w:firstLine="656"/>
        <w:spacing w:after="0" w:line="256" w:lineRule="auto"/>
        <w:tabs>
          <w:tab w:leader="none" w:pos="1287"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Adjustment Deferral</w:t>
      </w:r>
      <w:r>
        <w:rPr>
          <w:rFonts w:ascii="Arial" w:cs="Arial" w:eastAsia="Arial" w:hAnsi="Arial"/>
          <w:sz w:val="18"/>
          <w:szCs w:val="18"/>
          <w:color w:val="auto"/>
        </w:rPr>
        <w:t>. If an adjustment to the Conversion Rate otherwise required by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5</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result in a change of less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percent (1%) to the Conversion Rate, then, notwithstanding anything to the contrary in this </w:t>
      </w:r>
      <w:r>
        <w:rPr>
          <w:rFonts w:ascii="Arial" w:cs="Arial" w:eastAsia="Arial" w:hAnsi="Arial"/>
          <w:sz w:val="18"/>
          <w:szCs w:val="18"/>
          <w:b w:val="1"/>
          <w:bCs w:val="1"/>
          <w:color w:val="auto"/>
        </w:rPr>
        <w:t>Article 5</w:t>
      </w:r>
      <w:r>
        <w:rPr>
          <w:rFonts w:ascii="Arial" w:cs="Arial" w:eastAsia="Arial" w:hAnsi="Arial"/>
          <w:sz w:val="18"/>
          <w:szCs w:val="18"/>
          <w:color w:val="auto"/>
        </w:rPr>
        <w:t>, the Company may, at its election, defer such adjustment, except that all such deferred adjustments must be given effect immediately upon the earliest of the following: (i) when all such deferred adjustments would result in a change of at least one percent (1%) to the Conversion Rate; (ii) the Conversion Date of, or any VWAP Trading Day of an Observation Period for, any Note; (iii) the date a Fundamental Change or Make-Whole Fundamental Change occurs; and (iv) the eighty-fifth (85th) scheduled trading day immediately before the Maturity Date.</w:t>
      </w:r>
    </w:p>
    <w:p>
      <w:pPr>
        <w:spacing w:after="0" w:line="191" w:lineRule="exact"/>
        <w:rPr>
          <w:rFonts w:ascii="Arial" w:cs="Arial" w:eastAsia="Arial" w:hAnsi="Arial"/>
          <w:sz w:val="18"/>
          <w:szCs w:val="18"/>
          <w:color w:val="auto"/>
        </w:rPr>
      </w:pPr>
    </w:p>
    <w:p>
      <w:pPr>
        <w:ind w:left="1300" w:hanging="66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Adjustments Not Yet Effective. </w:t>
      </w:r>
      <w:r>
        <w:rPr>
          <w:rFonts w:ascii="Arial" w:cs="Arial" w:eastAsia="Arial" w:hAnsi="Arial"/>
          <w:sz w:val="18"/>
          <w:szCs w:val="18"/>
          <w:color w:val="auto"/>
        </w:rPr>
        <w:t>Notwithstanding anything to the contrary in this Indenture or the Notes, if:</w:t>
      </w:r>
    </w:p>
    <w:p>
      <w:pPr>
        <w:spacing w:after="0" w:line="225" w:lineRule="exact"/>
        <w:rPr>
          <w:rFonts w:ascii="Arial" w:cs="Arial" w:eastAsia="Arial" w:hAnsi="Arial"/>
          <w:sz w:val="18"/>
          <w:szCs w:val="18"/>
          <w:color w:val="auto"/>
        </w:rPr>
      </w:pPr>
    </w:p>
    <w:p>
      <w:pPr>
        <w:ind w:left="1960" w:hanging="675"/>
        <w:spacing w:after="0"/>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Note is to be converted pursuant to Physical Settlement or Combination Settlement;</w:t>
      </w:r>
    </w:p>
    <w:p>
      <w:pPr>
        <w:spacing w:after="0" w:line="225" w:lineRule="exact"/>
        <w:rPr>
          <w:rFonts w:ascii="Arial" w:cs="Arial" w:eastAsia="Arial" w:hAnsi="Arial"/>
          <w:sz w:val="18"/>
          <w:szCs w:val="18"/>
          <w:color w:val="auto"/>
        </w:rPr>
      </w:pPr>
    </w:p>
    <w:p>
      <w:pPr>
        <w:ind w:left="1960" w:hanging="675"/>
        <w:spacing w:after="0"/>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record date, effective date or Expiration Time for any event that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60" w:name="page61"/>
    <w:bookmarkEnd w:id="60"/>
    <w:p>
      <w:pPr>
        <w:ind w:left="1300" w:right="200"/>
        <w:spacing w:after="0" w:line="261" w:lineRule="auto"/>
        <w:rPr>
          <w:sz w:val="20"/>
          <w:szCs w:val="20"/>
          <w:color w:val="auto"/>
        </w:rPr>
      </w:pPr>
      <w:r>
        <w:rPr>
          <w:rFonts w:ascii="Arial" w:cs="Arial" w:eastAsia="Arial" w:hAnsi="Arial"/>
          <w:sz w:val="18"/>
          <w:szCs w:val="18"/>
          <w:color w:val="auto"/>
        </w:rPr>
        <w:t xml:space="preserve">requires an adjustment to the Conversion Rate pursuant to </w:t>
      </w:r>
      <w:r>
        <w:rPr>
          <w:rFonts w:ascii="Arial" w:cs="Arial" w:eastAsia="Arial" w:hAnsi="Arial"/>
          <w:sz w:val="18"/>
          <w:szCs w:val="18"/>
          <w:b w:val="1"/>
          <w:bCs w:val="1"/>
          <w:color w:val="auto"/>
        </w:rPr>
        <w:t>Section 5.05(A)</w:t>
      </w:r>
      <w:r>
        <w:rPr>
          <w:rFonts w:ascii="Arial" w:cs="Arial" w:eastAsia="Arial" w:hAnsi="Arial"/>
          <w:sz w:val="18"/>
          <w:szCs w:val="18"/>
          <w:color w:val="auto"/>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84" w:lineRule="exact"/>
        <w:rPr>
          <w:sz w:val="20"/>
          <w:szCs w:val="20"/>
          <w:color w:val="auto"/>
        </w:rPr>
      </w:pPr>
    </w:p>
    <w:p>
      <w:pPr>
        <w:ind w:left="660" w:right="400" w:firstLine="645"/>
        <w:spacing w:after="0" w:line="277" w:lineRule="auto"/>
        <w:tabs>
          <w:tab w:leader="none" w:pos="199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Conversion Consideration due upon such conversion (in the case of Physical Settlement) or due in respect of such VWAP Trading Day (in the case of Combination Settlement) includes any whole shares of Common Stock;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such shares are not entitled to participate in such event (because they were not held on the related record date or otherwise),</w:t>
      </w:r>
    </w:p>
    <w:p>
      <w:pPr>
        <w:spacing w:after="0" w:line="23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71" w:lineRule="exact"/>
        <w:rPr>
          <w:sz w:val="20"/>
          <w:szCs w:val="20"/>
          <w:color w:val="auto"/>
        </w:rPr>
      </w:pPr>
    </w:p>
    <w:p>
      <w:pPr>
        <w:ind w:firstLine="656"/>
        <w:spacing w:after="0" w:line="277" w:lineRule="auto"/>
        <w:tabs>
          <w:tab w:leader="none" w:pos="131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Conversion Rate Adjustments where Converting Holders Participate in the Relevant Transaction or Event. </w:t>
      </w:r>
      <w:r>
        <w:rPr>
          <w:rFonts w:ascii="Arial" w:cs="Arial" w:eastAsia="Arial" w:hAnsi="Arial"/>
          <w:sz w:val="18"/>
          <w:szCs w:val="18"/>
          <w:color w:val="auto"/>
        </w:rPr>
        <w:t>Notwithstanding anything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in this Indenture or the Notes, if:</w:t>
      </w:r>
    </w:p>
    <w:p>
      <w:pPr>
        <w:spacing w:after="0" w:line="170" w:lineRule="exact"/>
        <w:rPr>
          <w:sz w:val="20"/>
          <w:szCs w:val="20"/>
          <w:color w:val="auto"/>
        </w:rPr>
      </w:pPr>
    </w:p>
    <w:p>
      <w:pPr>
        <w:ind w:left="1980" w:hanging="675"/>
        <w:spacing w:after="0"/>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Conversion Rate adjustment for any dividend or distribution becomes effective on any Ex-Dividend Date pursuant to</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Section 5.05(A)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980" w:hanging="675"/>
        <w:spacing w:after="0"/>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Note is to be converted pursuant to Physical Settlement or Combination Settlement;</w:t>
      </w:r>
    </w:p>
    <w:p>
      <w:pPr>
        <w:spacing w:after="0" w:line="225" w:lineRule="exact"/>
        <w:rPr>
          <w:rFonts w:ascii="Arial" w:cs="Arial" w:eastAsia="Arial" w:hAnsi="Arial"/>
          <w:sz w:val="18"/>
          <w:szCs w:val="18"/>
          <w:color w:val="auto"/>
        </w:rPr>
      </w:pPr>
    </w:p>
    <w:p>
      <w:pPr>
        <w:ind w:left="660" w:right="340" w:firstLine="645"/>
        <w:spacing w:after="0" w:line="264" w:lineRule="auto"/>
        <w:tabs>
          <w:tab w:leader="none" w:pos="19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81" w:lineRule="exact"/>
        <w:rPr>
          <w:rFonts w:ascii="Arial" w:cs="Arial" w:eastAsia="Arial" w:hAnsi="Arial"/>
          <w:sz w:val="18"/>
          <w:szCs w:val="18"/>
          <w:color w:val="auto"/>
        </w:rPr>
      </w:pPr>
    </w:p>
    <w:p>
      <w:pPr>
        <w:jc w:val="both"/>
        <w:ind w:left="660" w:right="200" w:firstLine="645"/>
        <w:spacing w:after="0" w:line="264" w:lineRule="auto"/>
        <w:tabs>
          <w:tab w:leader="none" w:pos="19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Conversion Consideration due upon such conversion (in the case of Physical Settlement) or due with respect to such VWAP Trading Day (in the case of Combination Settlement) includes any whole shares of Common Stock based on a Conversion Rate that is adjusted for such dividend or distribution; and</w:t>
      </w:r>
    </w:p>
    <w:p>
      <w:pPr>
        <w:spacing w:after="0" w:line="177" w:lineRule="exact"/>
        <w:rPr>
          <w:rFonts w:ascii="Arial" w:cs="Arial" w:eastAsia="Arial" w:hAnsi="Arial"/>
          <w:sz w:val="18"/>
          <w:szCs w:val="18"/>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such shares would be entitled to participate in such dividend or distribution (including pursuant to </w:t>
      </w:r>
      <w:r>
        <w:rPr>
          <w:rFonts w:ascii="Arial" w:cs="Arial" w:eastAsia="Arial" w:hAnsi="Arial"/>
          <w:sz w:val="18"/>
          <w:szCs w:val="18"/>
          <w:b w:val="1"/>
          <w:bCs w:val="1"/>
          <w:color w:val="auto"/>
        </w:rPr>
        <w:t>Section 5.02(C)</w:t>
      </w:r>
      <w:r>
        <w:rPr>
          <w:rFonts w:ascii="Arial" w:cs="Arial" w:eastAsia="Arial" w:hAnsi="Arial"/>
          <w:sz w:val="18"/>
          <w:szCs w:val="18"/>
          <w:color w:val="auto"/>
        </w:rPr>
        <w: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spacing w:after="0" w:line="302" w:lineRule="auto"/>
        <w:rPr>
          <w:sz w:val="20"/>
          <w:szCs w:val="20"/>
          <w:color w:val="auto"/>
        </w:rPr>
      </w:pPr>
      <w:r>
        <w:rPr>
          <w:rFonts w:ascii="Arial" w:cs="Arial" w:eastAsia="Arial" w:hAnsi="Arial"/>
          <w:sz w:val="16"/>
          <w:szCs w:val="16"/>
          <w:color w:val="auto"/>
        </w:rPr>
        <w:t>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54" w:lineRule="exact"/>
        <w:rPr>
          <w:sz w:val="20"/>
          <w:szCs w:val="20"/>
          <w:color w:val="auto"/>
        </w:rPr>
      </w:pPr>
    </w:p>
    <w:p>
      <w:pPr>
        <w:ind w:right="120" w:firstLine="656"/>
        <w:spacing w:after="0" w:line="255" w:lineRule="auto"/>
        <w:tabs>
          <w:tab w:leader="none" w:pos="1314"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Stockholder Rights Plans</w:t>
      </w:r>
      <w:r>
        <w:rPr>
          <w:rFonts w:ascii="Arial" w:cs="Arial" w:eastAsia="Arial" w:hAnsi="Arial"/>
          <w:sz w:val="18"/>
          <w:szCs w:val="18"/>
          <w:color w:val="auto"/>
        </w:rPr>
        <w:t>. If any shares of Common Stock are to be issued upon conversion of any Note and, at the time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Arial" w:cs="Arial" w:eastAsia="Arial" w:hAnsi="Arial"/>
          <w:sz w:val="18"/>
          <w:szCs w:val="18"/>
          <w:b w:val="1"/>
          <w:bCs w:val="1"/>
          <w:color w:val="auto"/>
        </w:rPr>
        <w:t>Section 5.05(A)(iii)(1)</w:t>
      </w:r>
      <w:r>
        <w:rPr>
          <w:rFonts w:ascii="Arial" w:cs="Arial" w:eastAsia="Arial" w:hAnsi="Arial"/>
          <w:sz w:val="18"/>
          <w:szCs w:val="18"/>
          <w:color w:val="auto"/>
        </w:rPr>
        <w:t xml:space="preserve"> on account of such separation as if, at the time of such separation, the Company had made a distribution of the type referred to in such Section to all holders of the Common Stock, subject to readjustment in accordance with such Section if such rights expire, terminate or are redeemed.</w:t>
      </w:r>
    </w:p>
    <w:p>
      <w:pPr>
        <w:spacing w:after="0" w:line="189" w:lineRule="exact"/>
        <w:rPr>
          <w:rFonts w:ascii="Arial" w:cs="Arial" w:eastAsia="Arial" w:hAnsi="Arial"/>
          <w:sz w:val="18"/>
          <w:szCs w:val="18"/>
          <w:color w:val="auto"/>
        </w:rPr>
      </w:pPr>
    </w:p>
    <w:p>
      <w:pPr>
        <w:ind w:right="20" w:firstLine="656"/>
        <w:spacing w:after="0" w:line="264" w:lineRule="auto"/>
        <w:tabs>
          <w:tab w:leader="none" w:pos="1317"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Limitation on Effecting Transactions Resulting in Certain Adjustments</w:t>
      </w:r>
      <w:r>
        <w:rPr>
          <w:rFonts w:ascii="Arial" w:cs="Arial" w:eastAsia="Arial" w:hAnsi="Arial"/>
          <w:sz w:val="18"/>
          <w:szCs w:val="18"/>
          <w:color w:val="auto"/>
        </w:rPr>
        <w:t>. The Company will not engage in or be a party to any transaction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event that would require the Conversion Rate to be adjusted pursuant to </w:t>
      </w:r>
      <w:r>
        <w:rPr>
          <w:rFonts w:ascii="Arial" w:cs="Arial" w:eastAsia="Arial" w:hAnsi="Arial"/>
          <w:sz w:val="18"/>
          <w:szCs w:val="18"/>
          <w:b w:val="1"/>
          <w:bCs w:val="1"/>
          <w:color w:val="auto"/>
        </w:rPr>
        <w:t>Section 5.05(A)</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to an amount that would result in the Conversion Price per share of Common Stock being less than the par value per share of Common Stock.</w:t>
      </w:r>
    </w:p>
    <w:p>
      <w:pPr>
        <w:spacing w:after="0" w:line="181" w:lineRule="exact"/>
        <w:rPr>
          <w:rFonts w:ascii="Arial" w:cs="Arial" w:eastAsia="Arial" w:hAnsi="Arial"/>
          <w:sz w:val="18"/>
          <w:szCs w:val="18"/>
          <w:color w:val="auto"/>
        </w:rPr>
      </w:pPr>
    </w:p>
    <w:p>
      <w:pPr>
        <w:ind w:right="40" w:firstLine="656"/>
        <w:spacing w:after="0" w:line="297" w:lineRule="auto"/>
        <w:tabs>
          <w:tab w:leader="none" w:pos="1303"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Equitable Adjustments to Prices</w:t>
      </w:r>
      <w:r>
        <w:rPr>
          <w:rFonts w:ascii="Arial" w:cs="Arial" w:eastAsia="Arial" w:hAnsi="Arial"/>
          <w:sz w:val="16"/>
          <w:szCs w:val="16"/>
          <w:color w:val="auto"/>
        </w:rPr>
        <w:t>. Whenever any provision of this Indenture requires the Company to calculate the average of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Reported Sale Prices, or any function thereof, over a period of multiple days (including to calculate the Stock Price or an adjustment to the Conversion Rate), or to calculate Daily VWAPs over an Observation Period, the Company will make proportionate adjustments, if any, to such calculations to account for any adjustment to the Conversion Rate pursuant to </w:t>
      </w:r>
      <w:r>
        <w:rPr>
          <w:rFonts w:ascii="Arial" w:cs="Arial" w:eastAsia="Arial" w:hAnsi="Arial"/>
          <w:sz w:val="16"/>
          <w:szCs w:val="16"/>
          <w:b w:val="1"/>
          <w:bCs w:val="1"/>
          <w:color w:val="auto"/>
        </w:rPr>
        <w:t>Section 5.05(A)(i)</w:t>
      </w:r>
      <w:r>
        <w:rPr>
          <w:rFonts w:ascii="Arial" w:cs="Arial" w:eastAsia="Arial" w:hAnsi="Arial"/>
          <w:sz w:val="16"/>
          <w:szCs w:val="16"/>
          <w:color w:val="auto"/>
        </w:rPr>
        <w:t xml:space="preserve"> that becomes effective, or any event requiring such an adjustment to the Conversion Rate where the Ex-Dividend Date or effective date, as applicable, of such event occurs, at any time during such period or Observation Period, as applicable.</w:t>
      </w:r>
    </w:p>
    <w:p>
      <w:pPr>
        <w:spacing w:after="0" w:line="154" w:lineRule="exact"/>
        <w:rPr>
          <w:rFonts w:ascii="Arial" w:cs="Arial" w:eastAsia="Arial" w:hAnsi="Arial"/>
          <w:sz w:val="16"/>
          <w:szCs w:val="16"/>
          <w:color w:val="auto"/>
        </w:rPr>
      </w:pPr>
    </w:p>
    <w:p>
      <w:pPr>
        <w:ind w:firstLine="656"/>
        <w:spacing w:after="0" w:line="261" w:lineRule="auto"/>
        <w:tabs>
          <w:tab w:leader="none" w:pos="1301"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Calculation of Number of Outstanding Shares of Common Stock</w:t>
      </w:r>
      <w:r>
        <w:rPr>
          <w:rFonts w:ascii="Arial" w:cs="Arial" w:eastAsia="Arial" w:hAnsi="Arial"/>
          <w:sz w:val="18"/>
          <w:szCs w:val="18"/>
          <w:color w:val="auto"/>
        </w:rPr>
        <w:t>. For purposes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5.05(A)</w:t>
      </w:r>
      <w:r>
        <w:rPr>
          <w:rFonts w:ascii="Arial" w:cs="Arial" w:eastAsia="Arial" w:hAnsi="Arial"/>
          <w:sz w:val="18"/>
          <w:szCs w:val="18"/>
          <w:color w:val="auto"/>
        </w:rPr>
        <w:t>, the number of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84" w:lineRule="exact"/>
        <w:rPr>
          <w:rFonts w:ascii="Arial" w:cs="Arial" w:eastAsia="Arial" w:hAnsi="Arial"/>
          <w:sz w:val="18"/>
          <w:szCs w:val="18"/>
          <w:color w:val="auto"/>
        </w:rPr>
      </w:pPr>
    </w:p>
    <w:p>
      <w:pPr>
        <w:ind w:right="380" w:firstLine="656"/>
        <w:spacing w:after="0" w:line="277" w:lineRule="auto"/>
        <w:tabs>
          <w:tab w:leader="none" w:pos="1311"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Calculations</w:t>
      </w:r>
      <w:r>
        <w:rPr>
          <w:rFonts w:ascii="Arial" w:cs="Arial" w:eastAsia="Arial" w:hAnsi="Arial"/>
          <w:sz w:val="18"/>
          <w:szCs w:val="18"/>
          <w:color w:val="auto"/>
        </w:rPr>
        <w:t>. All calculations with respect to the Conversion Rate and adjustments thereto will be made to the nearest 1/10,000th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Common Stock (with 5/100,000ths rounded upward).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Notice of Conversion Rate Adjustments</w:t>
      </w:r>
      <w:r>
        <w:rPr>
          <w:rFonts w:ascii="Arial" w:cs="Arial" w:eastAsia="Arial" w:hAnsi="Arial"/>
          <w:sz w:val="18"/>
          <w:szCs w:val="18"/>
          <w:color w:val="auto"/>
        </w:rPr>
        <w:t>. Upon the effectiveness of 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2" w:name="page63"/>
    <w:bookmarkEnd w:id="62"/>
    <w:p>
      <w:pPr>
        <w:ind w:right="80"/>
        <w:spacing w:after="0" w:line="266" w:lineRule="auto"/>
        <w:rPr>
          <w:sz w:val="20"/>
          <w:szCs w:val="20"/>
          <w:color w:val="auto"/>
        </w:rPr>
      </w:pPr>
      <w:r>
        <w:rPr>
          <w:rFonts w:ascii="Arial" w:cs="Arial" w:eastAsia="Arial" w:hAnsi="Arial"/>
          <w:sz w:val="18"/>
          <w:szCs w:val="18"/>
          <w:color w:val="auto"/>
        </w:rPr>
        <w:t xml:space="preserve">adjustment to the Conversion Rate pursuant to </w:t>
      </w:r>
      <w:r>
        <w:rPr>
          <w:rFonts w:ascii="Arial" w:cs="Arial" w:eastAsia="Arial" w:hAnsi="Arial"/>
          <w:sz w:val="18"/>
          <w:szCs w:val="18"/>
          <w:b w:val="1"/>
          <w:bCs w:val="1"/>
          <w:color w:val="auto"/>
        </w:rPr>
        <w:t>Section 5.05(A)</w:t>
      </w:r>
      <w:r>
        <w:rPr>
          <w:rFonts w:ascii="Arial" w:cs="Arial" w:eastAsia="Arial" w:hAnsi="Arial"/>
          <w:sz w:val="18"/>
          <w:szCs w:val="18"/>
          <w:color w:val="auto"/>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76" w:lineRule="exact"/>
        <w:rPr>
          <w:sz w:val="20"/>
          <w:szCs w:val="20"/>
          <w:color w:val="auto"/>
        </w:rPr>
      </w:pPr>
    </w:p>
    <w:p>
      <w:pPr>
        <w:ind w:right="60" w:firstLine="656"/>
        <w:spacing w:after="0" w:line="281" w:lineRule="auto"/>
        <w:tabs>
          <w:tab w:leader="none" w:pos="131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Trustee Adjustment Disclaimer</w:t>
      </w:r>
      <w:r>
        <w:rPr>
          <w:rFonts w:ascii="Arial" w:cs="Arial" w:eastAsia="Arial" w:hAnsi="Arial"/>
          <w:sz w:val="17"/>
          <w:szCs w:val="17"/>
          <w:color w:val="auto"/>
        </w:rPr>
        <w:t>. The Trustee has no duty to determine when an adjustment under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Article 5</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made, how 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should be made or what it should be. The Trustee will not be accountable for and makes no representation as to the validity or value of any securities or assets issued upon conversion of Notes. The Trustee will not be responsible for the Company’s failure to comply with this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Each Conversion Agent (other than the Company or an affiliate of the Company) will have the same protection under this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as the Trustee.</w:t>
      </w:r>
    </w:p>
    <w:p>
      <w:pPr>
        <w:spacing w:after="0" w:line="16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5.06.</w:t>
      </w:r>
      <w:r>
        <w:rPr>
          <w:sz w:val="20"/>
          <w:szCs w:val="20"/>
          <w:color w:val="auto"/>
        </w:rPr>
        <w:tab/>
      </w:r>
      <w:r>
        <w:rPr>
          <w:rFonts w:ascii="Arial" w:cs="Arial" w:eastAsia="Arial" w:hAnsi="Arial"/>
          <w:sz w:val="17"/>
          <w:szCs w:val="17"/>
          <w:b w:val="1"/>
          <w:bCs w:val="1"/>
          <w:color w:val="auto"/>
        </w:rPr>
        <w:t>VOLUNTARY ADJUSTMENTS.</w:t>
      </w:r>
    </w:p>
    <w:p>
      <w:pPr>
        <w:spacing w:after="0" w:line="229" w:lineRule="exact"/>
        <w:rPr>
          <w:sz w:val="20"/>
          <w:szCs w:val="20"/>
          <w:color w:val="auto"/>
        </w:rPr>
      </w:pPr>
    </w:p>
    <w:p>
      <w:pPr>
        <w:ind w:right="120" w:firstLine="656"/>
        <w:spacing w:after="0" w:line="291" w:lineRule="auto"/>
        <w:tabs>
          <w:tab w:leader="none" w:pos="1317"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To the extent permitted by law and applicable stock exchange rules, the Company, from time to time, may (but is not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increase the Conversion Rate by any amount if (i) the Board of Directors determines that such increase is either (x) in the best interest of the Company; or</w:t>
      </w:r>
    </w:p>
    <w:p>
      <w:pPr>
        <w:ind w:right="220" w:firstLine="8"/>
        <w:spacing w:after="0" w:line="255"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86" w:lineRule="exact"/>
        <w:rPr>
          <w:rFonts w:ascii="Arial" w:cs="Arial" w:eastAsia="Arial" w:hAnsi="Arial"/>
          <w:sz w:val="18"/>
          <w:szCs w:val="18"/>
          <w:color w:val="auto"/>
        </w:rPr>
      </w:pPr>
    </w:p>
    <w:p>
      <w:pPr>
        <w:jc w:val="both"/>
        <w:ind w:right="160" w:firstLine="656"/>
        <w:spacing w:after="0" w:line="314" w:lineRule="auto"/>
        <w:tabs>
          <w:tab w:leader="none" w:pos="1307"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Notice of Voluntary Increases</w:t>
      </w:r>
      <w:r>
        <w:rPr>
          <w:rFonts w:ascii="Arial" w:cs="Arial" w:eastAsia="Arial" w:hAnsi="Arial"/>
          <w:sz w:val="16"/>
          <w:szCs w:val="16"/>
          <w:color w:val="auto"/>
        </w:rPr>
        <w:t>. If the Board of Directors determines to increase the Conversion Rate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5.06(A)</w:t>
      </w:r>
      <w:r>
        <w:rPr>
          <w:rFonts w:ascii="Arial" w:cs="Arial" w:eastAsia="Arial" w:hAnsi="Arial"/>
          <w:sz w:val="16"/>
          <w:szCs w:val="16"/>
          <w:color w:val="auto"/>
        </w:rPr>
        <w:t>, then,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later than the first Business Day of the related twenty (20) Business Day period referred to in </w:t>
      </w:r>
      <w:r>
        <w:rPr>
          <w:rFonts w:ascii="Arial" w:cs="Arial" w:eastAsia="Arial" w:hAnsi="Arial"/>
          <w:sz w:val="16"/>
          <w:szCs w:val="16"/>
          <w:b w:val="1"/>
          <w:bCs w:val="1"/>
          <w:color w:val="auto"/>
        </w:rPr>
        <w:t>Section 5.06(A)</w:t>
      </w:r>
      <w:r>
        <w:rPr>
          <w:rFonts w:ascii="Arial" w:cs="Arial" w:eastAsia="Arial" w:hAnsi="Arial"/>
          <w:sz w:val="16"/>
          <w:szCs w:val="16"/>
          <w:color w:val="auto"/>
        </w:rPr>
        <w:t>, the Company will send notice to each Holder, the Trustee and the Conversion Agent of such increase, the amount thereof and the period during which such increase will be in effect.</w:t>
      </w:r>
    </w:p>
    <w:p>
      <w:pPr>
        <w:spacing w:after="0" w:line="14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5.07.</w:t>
      </w:r>
      <w:r>
        <w:rPr>
          <w:sz w:val="20"/>
          <w:szCs w:val="20"/>
          <w:color w:val="auto"/>
        </w:rPr>
        <w:tab/>
      </w:r>
      <w:r>
        <w:rPr>
          <w:rFonts w:ascii="Arial" w:cs="Arial" w:eastAsia="Arial" w:hAnsi="Arial"/>
          <w:sz w:val="18"/>
          <w:szCs w:val="18"/>
          <w:b w:val="1"/>
          <w:bCs w:val="1"/>
          <w:color w:val="auto"/>
        </w:rPr>
        <w:t>ADJUSTMENTS TO THE CONVERSION RATE IN CONNECTION WITH A MAKE-WHOLE FUNDAMENTAL CHANGE.</w:t>
      </w:r>
    </w:p>
    <w:p>
      <w:pPr>
        <w:spacing w:after="0" w:line="229" w:lineRule="exact"/>
        <w:rPr>
          <w:sz w:val="20"/>
          <w:szCs w:val="20"/>
          <w:color w:val="auto"/>
        </w:rPr>
      </w:pPr>
    </w:p>
    <w:p>
      <w:pPr>
        <w:ind w:right="80" w:firstLine="656"/>
        <w:spacing w:after="0" w:line="259" w:lineRule="auto"/>
        <w:tabs>
          <w:tab w:leader="none" w:pos="1317"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If a Make-Whole Fundamental Change occurs and the Conversion Date for the conversion of a Note occurs during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Make-Whole Fundamental Change Conversion Period, then, subject to this </w:t>
      </w:r>
      <w:r>
        <w:rPr>
          <w:rFonts w:ascii="Arial" w:cs="Arial" w:eastAsia="Arial" w:hAnsi="Arial"/>
          <w:sz w:val="18"/>
          <w:szCs w:val="18"/>
          <w:b w:val="1"/>
          <w:bCs w:val="1"/>
          <w:color w:val="auto"/>
        </w:rPr>
        <w:t>Section 5.07</w:t>
      </w:r>
      <w:r>
        <w:rPr>
          <w:rFonts w:ascii="Arial" w:cs="Arial" w:eastAsia="Arial" w:hAnsi="Arial"/>
          <w:sz w:val="18"/>
          <w:szCs w:val="18"/>
          <w:color w:val="auto"/>
        </w:rPr>
        <w:t>, the Conversion Rate applicable to such conversion will be increased by a number of shares (the “</w:t>
      </w:r>
      <w:r>
        <w:rPr>
          <w:rFonts w:ascii="Arial" w:cs="Arial" w:eastAsia="Arial" w:hAnsi="Arial"/>
          <w:sz w:val="18"/>
          <w:szCs w:val="18"/>
          <w:b w:val="1"/>
          <w:bCs w:val="1"/>
          <w:color w:val="auto"/>
        </w:rPr>
        <w:t>Additional Shares</w:t>
      </w:r>
      <w:r>
        <w:rPr>
          <w:rFonts w:ascii="Arial" w:cs="Arial" w:eastAsia="Arial" w:hAnsi="Arial"/>
          <w:sz w:val="18"/>
          <w:szCs w:val="18"/>
          <w:color w:val="auto"/>
        </w:rPr>
        <w:t>”) set forth in the table below corresponding (after interpolation as provided in, and subject to, the provisions below) to the effective date and the Stock Price of such Make-Whole Fundamental Change: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1"/>
              </w:rPr>
              <w:t>Stock Price</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gridSpan w:val="2"/>
            <w:vMerge w:val="continue"/>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$48.10</w:t>
            </w:r>
          </w:p>
        </w:tc>
        <w:tc>
          <w:tcPr>
            <w:tcW w:w="120" w:type="dxa"/>
            <w:vAlign w:val="bottom"/>
          </w:tcPr>
          <w:p>
            <w:pPr>
              <w:spacing w:after="0"/>
              <w:rPr>
                <w:sz w:val="12"/>
                <w:szCs w:val="12"/>
                <w:color w:val="auto"/>
              </w:rPr>
            </w:pPr>
          </w:p>
        </w:tc>
        <w:tc>
          <w:tcPr>
            <w:tcW w:w="6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$52.50</w:t>
            </w:r>
          </w:p>
        </w:tc>
        <w:tc>
          <w:tcPr>
            <w:tcW w:w="120" w:type="dxa"/>
            <w:vAlign w:val="bottom"/>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$57.50</w:t>
            </w:r>
          </w:p>
        </w:tc>
        <w:tc>
          <w:tcPr>
            <w:tcW w:w="120" w:type="dxa"/>
            <w:vAlign w:val="bottom"/>
          </w:tcPr>
          <w:p>
            <w:pPr>
              <w:spacing w:after="0"/>
              <w:rPr>
                <w:sz w:val="12"/>
                <w:szCs w:val="12"/>
                <w:color w:val="auto"/>
              </w:rPr>
            </w:pPr>
          </w:p>
        </w:tc>
        <w:tc>
          <w:tcPr>
            <w:tcW w:w="6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$63.73</w:t>
            </w:r>
          </w:p>
        </w:tc>
        <w:tc>
          <w:tcPr>
            <w:tcW w:w="120" w:type="dxa"/>
            <w:vAlign w:val="bottom"/>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$70.00</w:t>
            </w:r>
          </w:p>
        </w:tc>
        <w:tc>
          <w:tcPr>
            <w:tcW w:w="20" w:type="dxa"/>
            <w:vAlign w:val="bottom"/>
          </w:tcPr>
          <w:p>
            <w:pPr>
              <w:spacing w:after="0"/>
              <w:rPr>
                <w:sz w:val="12"/>
                <w:szCs w:val="12"/>
                <w:color w:val="auto"/>
              </w:rPr>
            </w:pPr>
          </w:p>
        </w:tc>
        <w:tc>
          <w:tcPr>
            <w:tcW w:w="7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$80.00</w:t>
            </w:r>
          </w:p>
        </w:tc>
        <w:tc>
          <w:tcPr>
            <w:tcW w:w="120" w:type="dxa"/>
            <w:vAlign w:val="bottom"/>
          </w:tcPr>
          <w:p>
            <w:pPr>
              <w:spacing w:after="0"/>
              <w:rPr>
                <w:sz w:val="12"/>
                <w:szCs w:val="12"/>
                <w:color w:val="auto"/>
              </w:rPr>
            </w:pPr>
          </w:p>
        </w:tc>
        <w:tc>
          <w:tcPr>
            <w:tcW w:w="6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2"/>
                <w:szCs w:val="12"/>
                <w:color w:val="auto"/>
              </w:rPr>
            </w:pPr>
          </w:p>
        </w:tc>
        <w:tc>
          <w:tcPr>
            <w:tcW w:w="6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$125.00</w:t>
            </w:r>
          </w:p>
        </w:tc>
        <w:tc>
          <w:tcPr>
            <w:tcW w:w="120" w:type="dxa"/>
            <w:vAlign w:val="bottom"/>
          </w:tcPr>
          <w:p>
            <w:pPr>
              <w:spacing w:after="0"/>
              <w:rPr>
                <w:sz w:val="12"/>
                <w:szCs w:val="12"/>
                <w:color w:val="auto"/>
              </w:rPr>
            </w:pPr>
          </w:p>
        </w:tc>
        <w:tc>
          <w:tcPr>
            <w:tcW w:w="6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$150.00</w:t>
            </w:r>
          </w:p>
        </w:tc>
        <w:tc>
          <w:tcPr>
            <w:tcW w:w="12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$200.00</w:t>
            </w:r>
          </w:p>
        </w:tc>
        <w:tc>
          <w:tcPr>
            <w:tcW w:w="120" w:type="dxa"/>
            <w:vAlign w:val="bottom"/>
          </w:tcPr>
          <w:p>
            <w:pPr>
              <w:spacing w:after="0"/>
              <w:rPr>
                <w:sz w:val="12"/>
                <w:szCs w:val="12"/>
                <w:color w:val="auto"/>
              </w:rPr>
            </w:pPr>
          </w:p>
        </w:tc>
        <w:tc>
          <w:tcPr>
            <w:tcW w:w="6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$250.00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 2019</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5.0994</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4.4509</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3.7659</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1.9639</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0.7117</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0.4379</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0.1640</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April 1, 2020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5.0994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4.4509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3.7492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3.0586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2.5238</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1.8987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1.1432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0.6558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0.3951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0.1435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4.4263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3.6677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2.9315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2.3703</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1.7279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0.9810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0.5271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0.2998</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0.0985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April 1, 2022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5.0994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4.3058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3.4715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2.6887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2.1063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1.4616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0.7575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0.3685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0.1917</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0.0522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3.0865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2.2490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1.6560</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1.0451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0.4609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0.1926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0.0882</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0.0170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April 1, 2024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5.0994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3.5037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2.3056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1.2996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0.7642</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0.3979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0.1462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0.0513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0.0202</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0.0018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3.3570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0.0000</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0.0000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0.0000</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If such effective date or Stock Price is not set forth in the table above, then:</w:t>
      </w:r>
    </w:p>
    <w:p>
      <w:pPr>
        <w:spacing w:after="0" w:line="225" w:lineRule="exact"/>
        <w:rPr>
          <w:sz w:val="20"/>
          <w:szCs w:val="20"/>
          <w:color w:val="auto"/>
        </w:rPr>
      </w:pPr>
    </w:p>
    <w:p>
      <w:pPr>
        <w:jc w:val="both"/>
        <w:ind w:left="660" w:right="60" w:firstLine="645"/>
        <w:spacing w:after="0" w:line="259" w:lineRule="auto"/>
        <w:tabs>
          <w:tab w:leader="none" w:pos="19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such Stock Price is between two Stock Prices in the table above or the effective date is between two effective dates in the table above, then the number of Additional Shares will be determined by a straight-line interpolation between the numbers of Additional Shares set forth for the higher and lower Stock Prices in the table above or the earlier and later effective dates in the table above, based on a 365- or 366-day year, as applicable; and</w:t>
      </w:r>
    </w:p>
    <w:p>
      <w:pPr>
        <w:spacing w:after="0" w:line="186" w:lineRule="exact"/>
        <w:rPr>
          <w:rFonts w:ascii="Arial" w:cs="Arial" w:eastAsia="Arial" w:hAnsi="Arial"/>
          <w:sz w:val="18"/>
          <w:szCs w:val="18"/>
          <w:color w:val="auto"/>
        </w:rPr>
      </w:pPr>
    </w:p>
    <w:p>
      <w:pPr>
        <w:ind w:left="660" w:right="20" w:firstLine="645"/>
        <w:spacing w:after="0" w:line="264" w:lineRule="auto"/>
        <w:tabs>
          <w:tab w:leader="none" w:pos="198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Stock Price is greater than $250.00 (subject to adjustment in the same manner as the Stock Prices set forth in the column headings of the table above are adjusted pursuant to </w:t>
      </w:r>
      <w:r>
        <w:rPr>
          <w:rFonts w:ascii="Arial" w:cs="Arial" w:eastAsia="Arial" w:hAnsi="Arial"/>
          <w:sz w:val="18"/>
          <w:szCs w:val="18"/>
          <w:b w:val="1"/>
          <w:bCs w:val="1"/>
          <w:color w:val="auto"/>
        </w:rPr>
        <w:t>Section 5.07(B)</w:t>
      </w:r>
      <w:r>
        <w:rPr>
          <w:rFonts w:ascii="Arial" w:cs="Arial" w:eastAsia="Arial" w:hAnsi="Arial"/>
          <w:sz w:val="18"/>
          <w:szCs w:val="18"/>
          <w:color w:val="auto"/>
        </w:rPr>
        <w:t>), or less than $48.10 (subject to adjustment in the same manner), per share, then no Additional Shares will be added to the Conversion Rate.</w:t>
      </w:r>
    </w:p>
    <w:p>
      <w:pPr>
        <w:spacing w:after="0" w:line="18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 xml:space="preserve">Notwithstanding anything to the contrary in this Indenture or the Notes, in no event will the Conversion Rate be increased to an amount that exceeds 20.7900 shares of Common Stock per $1,000 principal amount of Notes, which amount is subject to adjustment in the same manner as, and at the same time and for the same events for which, the Conversion Rate is required to be adjusted pursuant to </w:t>
      </w:r>
      <w:r>
        <w:rPr>
          <w:rFonts w:ascii="Arial" w:cs="Arial" w:eastAsia="Arial" w:hAnsi="Arial"/>
          <w:sz w:val="17"/>
          <w:szCs w:val="17"/>
          <w:b w:val="1"/>
          <w:bCs w:val="1"/>
          <w:color w:val="auto"/>
        </w:rPr>
        <w:t>Section 5.05(A)</w:t>
      </w:r>
      <w:r>
        <w:rPr>
          <w:rFonts w:ascii="Arial" w:cs="Arial" w:eastAsia="Arial" w:hAnsi="Arial"/>
          <w:sz w:val="17"/>
          <w:szCs w:val="17"/>
          <w:color w:val="auto"/>
        </w:rPr>
        <w:t>.</w:t>
      </w:r>
    </w:p>
    <w:p>
      <w:pPr>
        <w:spacing w:after="0" w:line="166" w:lineRule="exact"/>
        <w:rPr>
          <w:sz w:val="20"/>
          <w:szCs w:val="20"/>
          <w:color w:val="auto"/>
        </w:rPr>
      </w:pPr>
    </w:p>
    <w:p>
      <w:pPr>
        <w:ind w:firstLine="656"/>
        <w:spacing w:after="0" w:line="279" w:lineRule="auto"/>
        <w:tabs>
          <w:tab w:leader="none" w:pos="1307"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Adjustment of Stock Prices and Additional Shares</w:t>
      </w:r>
      <w:r>
        <w:rPr>
          <w:rFonts w:ascii="Arial" w:cs="Arial" w:eastAsia="Arial" w:hAnsi="Arial"/>
          <w:sz w:val="17"/>
          <w:szCs w:val="17"/>
          <w:color w:val="auto"/>
        </w:rPr>
        <w:t>. The Stock Prices in the first row (</w:t>
      </w:r>
      <w:r>
        <w:rPr>
          <w:rFonts w:ascii="Arial" w:cs="Arial" w:eastAsia="Arial" w:hAnsi="Arial"/>
          <w:sz w:val="17"/>
          <w:szCs w:val="17"/>
          <w:i w:val="1"/>
          <w:iCs w:val="1"/>
          <w:color w:val="auto"/>
        </w:rPr>
        <w:t>i.e.</w:t>
      </w:r>
      <w:r>
        <w:rPr>
          <w:rFonts w:ascii="Arial" w:cs="Arial" w:eastAsia="Arial" w:hAnsi="Arial"/>
          <w:sz w:val="17"/>
          <w:szCs w:val="17"/>
          <w:color w:val="auto"/>
        </w:rPr>
        <w:t>, the column headers) of the table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 xml:space="preserve">Section 5.07(A) </w:t>
      </w:r>
      <w:r>
        <w:rPr>
          <w:rFonts w:ascii="Arial" w:cs="Arial" w:eastAsia="Arial" w:hAnsi="Arial"/>
          <w:sz w:val="17"/>
          <w:szCs w:val="17"/>
          <w:color w:val="auto"/>
        </w:rPr>
        <w:t>will be adjusted in the same manner as, and at the same time and for the same events for which, the Conversion Price is adjusted as a result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operation of </w:t>
      </w:r>
      <w:r>
        <w:rPr>
          <w:rFonts w:ascii="Arial" w:cs="Arial" w:eastAsia="Arial" w:hAnsi="Arial"/>
          <w:sz w:val="17"/>
          <w:szCs w:val="17"/>
          <w:b w:val="1"/>
          <w:bCs w:val="1"/>
          <w:color w:val="auto"/>
        </w:rPr>
        <w:t>Section 5.05(A)</w:t>
      </w:r>
      <w:r>
        <w:rPr>
          <w:rFonts w:ascii="Arial" w:cs="Arial" w:eastAsia="Arial" w:hAnsi="Arial"/>
          <w:sz w:val="17"/>
          <w:szCs w:val="17"/>
          <w:color w:val="auto"/>
        </w:rPr>
        <w:t xml:space="preserve">. The numbers of Additional Shares in the table set forth in </w:t>
      </w:r>
      <w:r>
        <w:rPr>
          <w:rFonts w:ascii="Arial" w:cs="Arial" w:eastAsia="Arial" w:hAnsi="Arial"/>
          <w:sz w:val="17"/>
          <w:szCs w:val="17"/>
          <w:b w:val="1"/>
          <w:bCs w:val="1"/>
          <w:color w:val="auto"/>
        </w:rPr>
        <w:t>Section 5.07(A)</w:t>
      </w:r>
      <w:r>
        <w:rPr>
          <w:rFonts w:ascii="Arial" w:cs="Arial" w:eastAsia="Arial" w:hAnsi="Arial"/>
          <w:sz w:val="17"/>
          <w:szCs w:val="17"/>
          <w:color w:val="auto"/>
        </w:rPr>
        <w:t xml:space="preserve"> will be adjusted in the same manner as, and at the same time and for the same events for which, the Conversion Rate is adjusted pursuant to </w:t>
      </w:r>
      <w:r>
        <w:rPr>
          <w:rFonts w:ascii="Arial" w:cs="Arial" w:eastAsia="Arial" w:hAnsi="Arial"/>
          <w:sz w:val="17"/>
          <w:szCs w:val="17"/>
          <w:b w:val="1"/>
          <w:bCs w:val="1"/>
          <w:color w:val="auto"/>
        </w:rPr>
        <w:t>Section 5.05(A)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20" w:firstLine="656"/>
        <w:spacing w:after="0" w:line="277" w:lineRule="auto"/>
        <w:tabs>
          <w:tab w:leader="none" w:pos="1307"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Notice of the Occurrence of a Make-Whole Fundamental Change</w:t>
      </w:r>
      <w:r>
        <w:rPr>
          <w:rFonts w:ascii="Arial" w:cs="Arial" w:eastAsia="Arial" w:hAnsi="Arial"/>
          <w:sz w:val="18"/>
          <w:szCs w:val="18"/>
          <w:color w:val="auto"/>
        </w:rPr>
        <w:t>. The Company will notify the Holders, the Trustee and the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Agent of each Make-Whole Fundamental Change in accordance with </w:t>
      </w:r>
      <w:r>
        <w:rPr>
          <w:rFonts w:ascii="Arial" w:cs="Arial" w:eastAsia="Arial" w:hAnsi="Arial"/>
          <w:sz w:val="18"/>
          <w:szCs w:val="18"/>
          <w:b w:val="1"/>
          <w:bCs w:val="1"/>
          <w:color w:val="auto"/>
        </w:rPr>
        <w:t>Section 5.01(C)(i)(3)(b)</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5.08.</w:t>
      </w:r>
      <w:r>
        <w:rPr>
          <w:sz w:val="20"/>
          <w:szCs w:val="20"/>
          <w:color w:val="auto"/>
        </w:rPr>
        <w:tab/>
      </w:r>
      <w:r>
        <w:rPr>
          <w:rFonts w:ascii="Arial" w:cs="Arial" w:eastAsia="Arial" w:hAnsi="Arial"/>
          <w:sz w:val="18"/>
          <w:szCs w:val="18"/>
          <w:b w:val="1"/>
          <w:bCs w:val="1"/>
          <w:color w:val="auto"/>
        </w:rPr>
        <w:t>EFFECT OF COMMON STOCK CHANGE EVENT.</w:t>
      </w:r>
    </w:p>
    <w:p>
      <w:pPr>
        <w:spacing w:after="0" w:line="229" w:lineRule="exact"/>
        <w:rPr>
          <w:sz w:val="20"/>
          <w:szCs w:val="20"/>
          <w:color w:val="auto"/>
        </w:rPr>
      </w:pPr>
    </w:p>
    <w:p>
      <w:pPr>
        <w:ind w:left="1320" w:hanging="66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If there occurs any:</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78"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consolidation, merger, combination or binding or statutory share exchange involving the Company;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sale, lease or other transfer of all or substantially all of the assets of the Company and its Subsidiaries, taken as a whole, to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Person;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4" w:name="page65"/>
    <w:bookmarkEnd w:id="64"/>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similar event,</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and, as a result of which, the Common Stock is converted into, or is exchanged for, or represents solely the right to receive, other securities, cash or other property or assets, or any combination of the foregoing (such an event, a “</w:t>
      </w:r>
      <w:r>
        <w:rPr>
          <w:rFonts w:ascii="Arial" w:cs="Arial" w:eastAsia="Arial" w:hAnsi="Arial"/>
          <w:sz w:val="17"/>
          <w:szCs w:val="17"/>
          <w:b w:val="1"/>
          <w:bCs w:val="1"/>
          <w:color w:val="auto"/>
        </w:rPr>
        <w:t>Common Stock Change Event</w:t>
      </w:r>
      <w:r>
        <w:rPr>
          <w:rFonts w:ascii="Arial" w:cs="Arial" w:eastAsia="Arial" w:hAnsi="Arial"/>
          <w:sz w:val="17"/>
          <w:szCs w:val="17"/>
          <w:color w:val="auto"/>
        </w:rPr>
        <w:t>,” and such other securities, cash, property or assets, the “</w:t>
      </w:r>
      <w:r>
        <w:rPr>
          <w:rFonts w:ascii="Arial" w:cs="Arial" w:eastAsia="Arial" w:hAnsi="Arial"/>
          <w:sz w:val="17"/>
          <w:szCs w:val="17"/>
          <w:b w:val="1"/>
          <w:bCs w:val="1"/>
          <w:color w:val="auto"/>
        </w:rPr>
        <w:t>Reference Property</w:t>
      </w:r>
      <w:r>
        <w:rPr>
          <w:rFonts w:ascii="Arial" w:cs="Arial" w:eastAsia="Arial" w:hAnsi="Arial"/>
          <w:sz w:val="17"/>
          <w:szCs w:val="17"/>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Arial" w:cs="Arial" w:eastAsia="Arial" w:hAnsi="Arial"/>
          <w:sz w:val="17"/>
          <w:szCs w:val="17"/>
          <w:b w:val="1"/>
          <w:bCs w:val="1"/>
          <w:color w:val="auto"/>
        </w:rPr>
        <w:t>Reference Property Unit</w:t>
      </w:r>
      <w:r>
        <w:rPr>
          <w:rFonts w:ascii="Arial" w:cs="Arial" w:eastAsia="Arial" w:hAnsi="Arial"/>
          <w:sz w:val="17"/>
          <w:szCs w:val="17"/>
          <w:color w:val="auto"/>
        </w:rPr>
        <w:t>”), then, notwithstanding anything to the contrary in this Indenture or the Notes,</w:t>
      </w:r>
    </w:p>
    <w:p>
      <w:pPr>
        <w:spacing w:after="0" w:line="173" w:lineRule="exact"/>
        <w:rPr>
          <w:sz w:val="20"/>
          <w:szCs w:val="20"/>
          <w:color w:val="auto"/>
        </w:rPr>
      </w:pPr>
    </w:p>
    <w:p>
      <w:pPr>
        <w:ind w:left="660" w:right="60" w:firstLine="645"/>
        <w:spacing w:after="0" w:line="255" w:lineRule="auto"/>
        <w:tabs>
          <w:tab w:leader="none" w:pos="19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(or in any related definitions) were instead a reference to the same number of Reference Property Units; and (II) for purposes of the definition of “Fundamental Change” and “Make-Whole Fundamental Change,” the terms “Common Stock” and “common equity” will be deemed to mean the common equity (including depositary receipts representing common equity), if any, forming part of such Reference Property;</w:t>
      </w:r>
    </w:p>
    <w:p>
      <w:pPr>
        <w:spacing w:after="0" w:line="193" w:lineRule="exact"/>
        <w:rPr>
          <w:rFonts w:ascii="Arial" w:cs="Arial" w:eastAsia="Arial" w:hAnsi="Arial"/>
          <w:sz w:val="18"/>
          <w:szCs w:val="18"/>
          <w:color w:val="auto"/>
        </w:rPr>
      </w:pPr>
    </w:p>
    <w:p>
      <w:pPr>
        <w:jc w:val="both"/>
        <w:ind w:left="660" w:right="40" w:firstLine="645"/>
        <w:spacing w:after="0" w:line="286" w:lineRule="auto"/>
        <w:tabs>
          <w:tab w:leader="none" w:pos="1964"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such Reference Property Unit consists entirely of cash, then the Company will be deemed to elect Physical Settlement in respect of all conversions whose Conversion Date occurs on or after the effective date of such Common Stock Change Event and will pay the cash due upon such conversions no later than the tenth (10th) Business Day after the relevant Conversion Date; and</w:t>
      </w:r>
    </w:p>
    <w:p>
      <w:pPr>
        <w:spacing w:after="0" w:line="165" w:lineRule="exact"/>
        <w:rPr>
          <w:rFonts w:ascii="Arial" w:cs="Arial" w:eastAsia="Arial" w:hAnsi="Arial"/>
          <w:sz w:val="17"/>
          <w:szCs w:val="17"/>
          <w:color w:val="auto"/>
        </w:rPr>
      </w:pPr>
    </w:p>
    <w:p>
      <w:pPr>
        <w:ind w:left="660" w:firstLine="645"/>
        <w:spacing w:after="0" w:line="255" w:lineRule="auto"/>
        <w:tabs>
          <w:tab w:leader="none" w:pos="19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9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 The Company will notify Holders of such weighted average as soon as practicable after such determination is made.</w:t>
      </w:r>
    </w:p>
    <w:p>
      <w:pPr>
        <w:spacing w:after="0" w:line="18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At or before the effective time of such Common Stock Change Event, the Company and the resulting, surviving or transferee Person (if not the Company) of such Common Stock Change Event (the “</w:t>
      </w:r>
      <w:r>
        <w:rPr>
          <w:rFonts w:ascii="Arial" w:cs="Arial" w:eastAsia="Arial" w:hAnsi="Arial"/>
          <w:sz w:val="17"/>
          <w:szCs w:val="17"/>
          <w:b w:val="1"/>
          <w:bCs w:val="1"/>
          <w:color w:val="auto"/>
        </w:rPr>
        <w:t>Successor Person</w:t>
      </w:r>
      <w:r>
        <w:rPr>
          <w:rFonts w:ascii="Arial" w:cs="Arial" w:eastAsia="Arial" w:hAnsi="Arial"/>
          <w:sz w:val="17"/>
          <w:szCs w:val="17"/>
          <w:color w:val="auto"/>
        </w:rPr>
        <w:t>”) will execute and deliver to the Trustee a supplemental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ind w:right="140"/>
        <w:spacing w:after="0" w:line="292" w:lineRule="auto"/>
        <w:rPr>
          <w:sz w:val="20"/>
          <w:szCs w:val="20"/>
          <w:color w:val="auto"/>
        </w:rPr>
      </w:pPr>
      <w:r>
        <w:rPr>
          <w:rFonts w:ascii="Arial" w:cs="Arial" w:eastAsia="Arial" w:hAnsi="Arial"/>
          <w:sz w:val="16"/>
          <w:szCs w:val="16"/>
          <w:color w:val="auto"/>
        </w:rPr>
        <w:t xml:space="preserve">indenture pursuant to </w:t>
      </w:r>
      <w:r>
        <w:rPr>
          <w:rFonts w:ascii="Arial" w:cs="Arial" w:eastAsia="Arial" w:hAnsi="Arial"/>
          <w:sz w:val="16"/>
          <w:szCs w:val="16"/>
          <w:b w:val="1"/>
          <w:bCs w:val="1"/>
          <w:color w:val="auto"/>
        </w:rPr>
        <w:t>Section 8.01(F)</w:t>
      </w:r>
      <w:r>
        <w:rPr>
          <w:rFonts w:ascii="Arial" w:cs="Arial" w:eastAsia="Arial" w:hAnsi="Arial"/>
          <w:sz w:val="16"/>
          <w:szCs w:val="16"/>
          <w:color w:val="auto"/>
        </w:rPr>
        <w:t xml:space="preserve">, which supplemental indenture will (x) provide for subsequent conversions of Notes in the manner set forth in this </w:t>
      </w:r>
      <w:r>
        <w:rPr>
          <w:rFonts w:ascii="Arial" w:cs="Arial" w:eastAsia="Arial" w:hAnsi="Arial"/>
          <w:sz w:val="16"/>
          <w:szCs w:val="16"/>
          <w:b w:val="1"/>
          <w:bCs w:val="1"/>
          <w:color w:val="auto"/>
        </w:rPr>
        <w:t>Section 5.08</w:t>
      </w:r>
      <w:r>
        <w:rPr>
          <w:rFonts w:ascii="Arial" w:cs="Arial" w:eastAsia="Arial" w:hAnsi="Arial"/>
          <w:sz w:val="16"/>
          <w:szCs w:val="16"/>
          <w:color w:val="auto"/>
        </w:rPr>
        <w:t>; (y) provide for subsequent adjustments to the Conversion Rate pursuant to</w:t>
      </w:r>
      <w:r>
        <w:rPr>
          <w:rFonts w:ascii="Arial" w:cs="Arial" w:eastAsia="Arial" w:hAnsi="Arial"/>
          <w:sz w:val="16"/>
          <w:szCs w:val="16"/>
          <w:b w:val="1"/>
          <w:bCs w:val="1"/>
          <w:color w:val="auto"/>
        </w:rPr>
        <w:t xml:space="preserve"> Section 5.05(A) </w:t>
      </w:r>
      <w:r>
        <w:rPr>
          <w:rFonts w:ascii="Arial" w:cs="Arial" w:eastAsia="Arial" w:hAnsi="Arial"/>
          <w:sz w:val="16"/>
          <w:szCs w:val="16"/>
          <w:color w:val="auto"/>
        </w:rPr>
        <w:t>in a manner consistent with this</w:t>
      </w:r>
      <w:r>
        <w:rPr>
          <w:rFonts w:ascii="Arial" w:cs="Arial" w:eastAsia="Arial" w:hAnsi="Arial"/>
          <w:sz w:val="16"/>
          <w:szCs w:val="16"/>
          <w:b w:val="1"/>
          <w:bCs w:val="1"/>
          <w:color w:val="auto"/>
        </w:rPr>
        <w:t xml:space="preserve"> Section 5.08 </w:t>
      </w:r>
      <w:r>
        <w:rPr>
          <w:rFonts w:ascii="Arial" w:cs="Arial" w:eastAsia="Arial" w:hAnsi="Arial"/>
          <w:sz w:val="16"/>
          <w:szCs w:val="16"/>
          <w:color w:val="auto"/>
        </w:rPr>
        <w:t xml:space="preserve">(including giving effect, in the reasonable discretion of the Company, to the Dividend Threshold in a manner that preserves the economic interests of the Holders); and (z) contain such other provisions as the Company reasonably determines are appropriate to preserve the economic interests of the Holders and to give effect to the provisions of this </w:t>
      </w:r>
      <w:r>
        <w:rPr>
          <w:rFonts w:ascii="Arial" w:cs="Arial" w:eastAsia="Arial" w:hAnsi="Arial"/>
          <w:sz w:val="16"/>
          <w:szCs w:val="16"/>
          <w:b w:val="1"/>
          <w:bCs w:val="1"/>
          <w:color w:val="auto"/>
        </w:rPr>
        <w:t>Section 5.08(A)</w:t>
      </w:r>
      <w:r>
        <w:rPr>
          <w:rFonts w:ascii="Arial" w:cs="Arial" w:eastAsia="Arial" w:hAnsi="Arial"/>
          <w:sz w:val="16"/>
          <w:szCs w:val="16"/>
          <w:color w:val="auto"/>
        </w:rPr>
        <w:t>. If the Reference Property includes shares of stock or other securities or assets of a Person other than the Successor Person, then such other Person will also execute such supplemental indenture and such supplemental indenture will contain such additional provisions the Company reasonably determines are appropriate to preserve the economic interests of the Holders.</w:t>
      </w:r>
    </w:p>
    <w:p>
      <w:pPr>
        <w:spacing w:after="0" w:line="166" w:lineRule="exact"/>
        <w:rPr>
          <w:sz w:val="20"/>
          <w:szCs w:val="20"/>
          <w:color w:val="auto"/>
        </w:rPr>
      </w:pPr>
    </w:p>
    <w:p>
      <w:pPr>
        <w:ind w:right="400" w:firstLine="656"/>
        <w:spacing w:after="0" w:line="277" w:lineRule="auto"/>
        <w:tabs>
          <w:tab w:leader="none" w:pos="1307"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Notice of Common Stock Change Events</w:t>
      </w:r>
      <w:r>
        <w:rPr>
          <w:rFonts w:ascii="Arial" w:cs="Arial" w:eastAsia="Arial" w:hAnsi="Arial"/>
          <w:sz w:val="18"/>
          <w:szCs w:val="18"/>
          <w:color w:val="auto"/>
        </w:rPr>
        <w:t>. The Company will provide notice of each Common Stock Change Event in accordance with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5.01(C)(i)(3)(b)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Compliance Covenant</w:t>
      </w:r>
      <w:r>
        <w:rPr>
          <w:rFonts w:ascii="Arial" w:cs="Arial" w:eastAsia="Arial" w:hAnsi="Arial"/>
          <w:sz w:val="16"/>
          <w:szCs w:val="16"/>
          <w:color w:val="auto"/>
        </w:rPr>
        <w:t>. The Company will not become a party to any Common Stock Change Event unless its terms are consistent with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Section 5.08</w:t>
      </w:r>
      <w:r>
        <w:rPr>
          <w:rFonts w:ascii="Arial" w:cs="Arial" w:eastAsia="Arial" w:hAnsi="Arial"/>
          <w:sz w:val="18"/>
          <w:szCs w:val="18"/>
          <w:color w:val="auto"/>
        </w:rPr>
        <w:t>.</w:t>
      </w:r>
    </w:p>
    <w:p>
      <w:pPr>
        <w:spacing w:after="0" w:line="207" w:lineRule="exact"/>
        <w:rPr>
          <w:sz w:val="20"/>
          <w:szCs w:val="20"/>
          <w:color w:val="auto"/>
        </w:rPr>
      </w:pPr>
    </w:p>
    <w:p>
      <w:pPr>
        <w:ind w:left="4680"/>
        <w:spacing w:after="0"/>
        <w:tabs>
          <w:tab w:leader="none" w:pos="554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SUCCESSORS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8"/>
          <w:szCs w:val="18"/>
          <w:b w:val="1"/>
          <w:bCs w:val="1"/>
          <w:color w:val="auto"/>
        </w:rPr>
        <w:t>WHEN THE COMPANY MAY MERGE, ETC.</w:t>
      </w:r>
    </w:p>
    <w:p>
      <w:pPr>
        <w:spacing w:after="0" w:line="229" w:lineRule="exact"/>
        <w:rPr>
          <w:sz w:val="20"/>
          <w:szCs w:val="20"/>
          <w:color w:val="auto"/>
        </w:rPr>
      </w:pPr>
    </w:p>
    <w:p>
      <w:pPr>
        <w:jc w:val="both"/>
        <w:ind w:right="20" w:firstLine="656"/>
        <w:spacing w:after="0" w:line="264" w:lineRule="auto"/>
        <w:tabs>
          <w:tab w:leader="none" w:pos="1317"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Company will not consolidate with or merge with or into, or (directly, or indirectly through one or more of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sell, lease or otherwise transfer, in one transaction or a series of transactions, all or substantially all of the assets of the Company and its Subsidiaries, taken as a whole, to another Person (a “</w:t>
      </w:r>
      <w:r>
        <w:rPr>
          <w:rFonts w:ascii="Arial" w:cs="Arial" w:eastAsia="Arial" w:hAnsi="Arial"/>
          <w:sz w:val="18"/>
          <w:szCs w:val="18"/>
          <w:b w:val="1"/>
          <w:bCs w:val="1"/>
          <w:color w:val="auto"/>
        </w:rPr>
        <w:t>Business Combination Event</w:t>
      </w:r>
      <w:r>
        <w:rPr>
          <w:rFonts w:ascii="Arial" w:cs="Arial" w:eastAsia="Arial" w:hAnsi="Arial"/>
          <w:sz w:val="18"/>
          <w:szCs w:val="18"/>
          <w:color w:val="auto"/>
        </w:rPr>
        <w:t>”), unless:</w:t>
      </w:r>
    </w:p>
    <w:p>
      <w:pPr>
        <w:spacing w:after="0" w:line="177" w:lineRule="exact"/>
        <w:rPr>
          <w:rFonts w:ascii="Arial" w:cs="Arial" w:eastAsia="Arial" w:hAnsi="Arial"/>
          <w:sz w:val="18"/>
          <w:szCs w:val="18"/>
          <w:color w:val="auto"/>
        </w:rPr>
      </w:pPr>
    </w:p>
    <w:p>
      <w:pPr>
        <w:ind w:left="660" w:right="100" w:firstLine="645"/>
        <w:spacing w:after="0" w:line="281" w:lineRule="auto"/>
        <w:tabs>
          <w:tab w:leader="none" w:pos="1978"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resulting, surviving or transferee Person either (x) is the Company or (y) if not the Company, is a corporation (the “</w:t>
      </w:r>
      <w:r>
        <w:rPr>
          <w:rFonts w:ascii="Arial" w:cs="Arial" w:eastAsia="Arial" w:hAnsi="Arial"/>
          <w:sz w:val="17"/>
          <w:szCs w:val="17"/>
          <w:b w:val="1"/>
          <w:bCs w:val="1"/>
          <w:color w:val="auto"/>
        </w:rPr>
        <w:t>Successor</w:t>
      </w:r>
      <w:r>
        <w:rPr>
          <w:rFonts w:ascii="Arial" w:cs="Arial" w:eastAsia="Arial" w:hAnsi="Arial"/>
          <w:sz w:val="17"/>
          <w:szCs w:val="17"/>
          <w:color w:val="auto"/>
        </w:rPr>
        <w:t xml:space="preserve"> </w:t>
      </w:r>
      <w:r>
        <w:rPr>
          <w:rFonts w:ascii="Arial" w:cs="Arial" w:eastAsia="Arial" w:hAnsi="Arial"/>
          <w:sz w:val="17"/>
          <w:szCs w:val="17"/>
          <w:b w:val="1"/>
          <w:bCs w:val="1"/>
          <w:color w:val="auto"/>
        </w:rPr>
        <w:t>Corporation</w:t>
      </w:r>
      <w:r>
        <w:rPr>
          <w:rFonts w:ascii="Arial" w:cs="Arial" w:eastAsia="Arial" w:hAnsi="Arial"/>
          <w:sz w:val="17"/>
          <w:szCs w:val="17"/>
          <w:color w:val="auto"/>
        </w:rPr>
        <w:t>”) duly organized and existing under the laws of the United States of America, any State thereof or the District of Columbia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expressly assumes (by executing and delivering to the Trustee, at or before the effective time of such Business Combination Event, a supplemental indenture pursuant to </w:t>
      </w:r>
      <w:r>
        <w:rPr>
          <w:rFonts w:ascii="Arial" w:cs="Arial" w:eastAsia="Arial" w:hAnsi="Arial"/>
          <w:sz w:val="17"/>
          <w:szCs w:val="17"/>
          <w:b w:val="1"/>
          <w:bCs w:val="1"/>
          <w:color w:val="auto"/>
        </w:rPr>
        <w:t>Section 8.01(E)</w:t>
      </w:r>
      <w:r>
        <w:rPr>
          <w:rFonts w:ascii="Arial" w:cs="Arial" w:eastAsia="Arial" w:hAnsi="Arial"/>
          <w:sz w:val="17"/>
          <w:szCs w:val="17"/>
          <w:color w:val="auto"/>
        </w:rPr>
        <w:t>) all of the Company’s obligations under this Indenture and the Notes; and</w:t>
      </w:r>
    </w:p>
    <w:p>
      <w:pPr>
        <w:spacing w:after="0" w:line="168" w:lineRule="exact"/>
        <w:rPr>
          <w:rFonts w:ascii="Arial" w:cs="Arial" w:eastAsia="Arial" w:hAnsi="Arial"/>
          <w:sz w:val="17"/>
          <w:szCs w:val="17"/>
          <w:color w:val="auto"/>
        </w:rPr>
      </w:pPr>
    </w:p>
    <w:p>
      <w:pPr>
        <w:ind w:left="1980" w:hanging="675"/>
        <w:spacing w:after="0"/>
        <w:tabs>
          <w:tab w:leader="none" w:pos="19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immediately after giving effect to such Business Combination Event, no Default or Event of Default will have occurred and be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210" w:lineRule="exact"/>
        <w:rPr>
          <w:rFonts w:ascii="Arial" w:cs="Arial" w:eastAsia="Arial" w:hAnsi="Arial"/>
          <w:sz w:val="17"/>
          <w:szCs w:val="17"/>
          <w:color w:val="auto"/>
        </w:rPr>
      </w:pPr>
    </w:p>
    <w:p>
      <w:pPr>
        <w:ind w:right="80" w:firstLine="656"/>
        <w:spacing w:after="0" w:line="259" w:lineRule="auto"/>
        <w:tabs>
          <w:tab w:leader="none" w:pos="1307"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Delivery of Officer’s Certificate and Opinion of Counsel to the Trustee</w:t>
      </w:r>
      <w:r>
        <w:rPr>
          <w:rFonts w:ascii="Arial" w:cs="Arial" w:eastAsia="Arial" w:hAnsi="Arial"/>
          <w:sz w:val="18"/>
          <w:szCs w:val="18"/>
          <w:color w:val="auto"/>
        </w:rPr>
        <w:t>. Before the effective time of any Business Combination Event,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will deliver to the Trustee an Officer’s Certificate and Opinion of Counsel, each stating that (i) such Business Combination Event (and, if applicable, the related supplemental indenture) comply with </w:t>
      </w:r>
      <w:r>
        <w:rPr>
          <w:rFonts w:ascii="Arial" w:cs="Arial" w:eastAsia="Arial" w:hAnsi="Arial"/>
          <w:sz w:val="18"/>
          <w:szCs w:val="18"/>
          <w:b w:val="1"/>
          <w:bCs w:val="1"/>
          <w:color w:val="auto"/>
        </w:rPr>
        <w:t>Section 6.01(A)</w:t>
      </w:r>
      <w:r>
        <w:rPr>
          <w:rFonts w:ascii="Arial" w:cs="Arial" w:eastAsia="Arial" w:hAnsi="Arial"/>
          <w:sz w:val="18"/>
          <w:szCs w:val="18"/>
          <w:color w:val="auto"/>
        </w:rPr>
        <w:t>; and (ii) all conditions precedent to such Business Combination Event provided in this Indenture have been satisfied.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6" w:name="page67"/>
    <w:bookmarkEnd w:id="66"/>
    <w:p>
      <w:pPr>
        <w:spacing w:after="0"/>
        <w:tabs>
          <w:tab w:leader="none" w:pos="130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7"/>
          <w:szCs w:val="17"/>
          <w:b w:val="1"/>
          <w:bCs w:val="1"/>
          <w:color w:val="auto"/>
        </w:rPr>
        <w:t>SUCCESSOR CORPORATION SUBSTITUTED.</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At the effective time of any Business Combination Event that complies with </w:t>
      </w:r>
      <w:r>
        <w:rPr>
          <w:rFonts w:ascii="Arial" w:cs="Arial" w:eastAsia="Arial" w:hAnsi="Arial"/>
          <w:sz w:val="18"/>
          <w:szCs w:val="18"/>
          <w:b w:val="1"/>
          <w:bCs w:val="1"/>
          <w:color w:val="auto"/>
        </w:rPr>
        <w:t>Section 6.01</w:t>
      </w:r>
      <w:r>
        <w:rPr>
          <w:rFonts w:ascii="Arial" w:cs="Arial" w:eastAsia="Arial" w:hAnsi="Arial"/>
          <w:sz w:val="18"/>
          <w:szCs w:val="18"/>
          <w:color w:val="auto"/>
        </w:rPr>
        <w:t>, the Successor Corporation (if not the Company) will succeed to, and may exercise every right and power of, the Company under this Indenture and the Notes with the same effect as if such Successor Corporation had been named as the Company in this Indenture and the Notes, and, except in the case of a lease, the predecessor Company will be discharged from its obligations under this Indenture and the Notes.</w:t>
      </w:r>
    </w:p>
    <w:p>
      <w:pPr>
        <w:spacing w:after="0" w:line="18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DEFAULTS AND REMEDIES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7"/>
          <w:szCs w:val="17"/>
          <w:b w:val="1"/>
          <w:bCs w:val="1"/>
          <w:color w:val="auto"/>
        </w:rPr>
        <w:t>EVENTS OF DEFAULT.</w:t>
      </w:r>
    </w:p>
    <w:p>
      <w:pPr>
        <w:spacing w:after="0" w:line="225" w:lineRule="exact"/>
        <w:rPr>
          <w:sz w:val="20"/>
          <w:szCs w:val="20"/>
          <w:color w:val="auto"/>
        </w:rPr>
      </w:pPr>
    </w:p>
    <w:p>
      <w:pPr>
        <w:ind w:left="1320" w:hanging="664"/>
        <w:spacing w:after="0"/>
        <w:tabs>
          <w:tab w:leader="none" w:pos="132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Definition of 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means the occurrence of any of the following:</w:t>
      </w:r>
    </w:p>
    <w:p>
      <w:pPr>
        <w:spacing w:after="0" w:line="229" w:lineRule="exact"/>
        <w:rPr>
          <w:rFonts w:ascii="Arial" w:cs="Arial" w:eastAsia="Arial" w:hAnsi="Arial"/>
          <w:sz w:val="18"/>
          <w:szCs w:val="18"/>
          <w:color w:val="auto"/>
        </w:rPr>
      </w:pPr>
    </w:p>
    <w:p>
      <w:pPr>
        <w:ind w:left="660" w:right="640" w:firstLine="645"/>
        <w:spacing w:after="0" w:line="277" w:lineRule="auto"/>
        <w:tabs>
          <w:tab w:leader="none" w:pos="197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default in the payment when due (whether at maturity, upon Repurchase Upon Fundamental Change or otherwise) of the principal of, or the Fundamental Change Repurchase Price for, any Note;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default for thirty (30) days in the payment when due of interest on any Note;</w:t>
      </w:r>
    </w:p>
    <w:p>
      <w:pPr>
        <w:spacing w:after="0" w:line="225" w:lineRule="exact"/>
        <w:rPr>
          <w:rFonts w:ascii="Arial" w:cs="Arial" w:eastAsia="Arial" w:hAnsi="Arial"/>
          <w:sz w:val="18"/>
          <w:szCs w:val="18"/>
          <w:color w:val="auto"/>
        </w:rPr>
      </w:pPr>
    </w:p>
    <w:p>
      <w:pPr>
        <w:ind w:left="660" w:right="740" w:firstLine="645"/>
        <w:spacing w:after="0" w:line="277" w:lineRule="auto"/>
        <w:tabs>
          <w:tab w:leader="none" w:pos="1997"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Company’s failure to deliver, when required by this Indenture, a Fundamental Change Notice, or a notice pursuant to </w:t>
      </w:r>
      <w:r>
        <w:rPr>
          <w:rFonts w:ascii="Arial" w:cs="Arial" w:eastAsia="Arial" w:hAnsi="Arial"/>
          <w:sz w:val="18"/>
          <w:szCs w:val="18"/>
          <w:b w:val="1"/>
          <w:bCs w:val="1"/>
          <w:color w:val="auto"/>
        </w:rPr>
        <w:t>Section 5.01(C)(i)(3)</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60" w:right="340" w:firstLine="645"/>
        <w:spacing w:after="0" w:line="282" w:lineRule="auto"/>
        <w:tabs>
          <w:tab w:leader="none" w:pos="1973"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 to convert a Note in accordance with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upon the exercise of the conversion right with respect thereto, if such default continues for a period of five (5) Business Days;</w:t>
      </w:r>
    </w:p>
    <w:p>
      <w:pPr>
        <w:spacing w:after="0" w:line="161" w:lineRule="exact"/>
        <w:rPr>
          <w:rFonts w:ascii="Arial" w:cs="Arial" w:eastAsia="Arial" w:hAnsi="Arial"/>
          <w:sz w:val="18"/>
          <w:szCs w:val="18"/>
          <w:color w:val="auto"/>
        </w:rPr>
      </w:pPr>
    </w:p>
    <w:p>
      <w:pPr>
        <w:ind w:left="1960" w:hanging="655"/>
        <w:spacing w:after="0"/>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obligations under </w:t>
      </w:r>
      <w:r>
        <w:rPr>
          <w:rFonts w:ascii="Arial" w:cs="Arial" w:eastAsia="Arial" w:hAnsi="Arial"/>
          <w:sz w:val="18"/>
          <w:szCs w:val="18"/>
          <w:b w:val="1"/>
          <w:bCs w:val="1"/>
          <w:color w:val="auto"/>
        </w:rPr>
        <w:t>Article 6</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120" w:firstLine="645"/>
        <w:spacing w:after="0" w:line="302" w:lineRule="auto"/>
        <w:tabs>
          <w:tab w:leader="none" w:pos="1973"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a default in any of the Company’s obligations or agreements under this Indenture or the Notes (other than a default set forth in </w:t>
      </w:r>
      <w:r>
        <w:rPr>
          <w:rFonts w:ascii="Arial" w:cs="Arial" w:eastAsia="Arial" w:hAnsi="Arial"/>
          <w:sz w:val="16"/>
          <w:szCs w:val="16"/>
          <w:b w:val="1"/>
          <w:bCs w:val="1"/>
          <w:color w:val="auto"/>
        </w:rPr>
        <w:t>clause (i)</w:t>
      </w:r>
      <w:r>
        <w:rPr>
          <w:rFonts w:ascii="Arial" w:cs="Arial" w:eastAsia="Arial" w:hAnsi="Arial"/>
          <w:sz w:val="16"/>
          <w:szCs w:val="16"/>
          <w:color w:val="auto"/>
        </w:rPr>
        <w:t>,</w:t>
      </w:r>
      <w:r>
        <w:rPr>
          <w:rFonts w:ascii="Arial" w:cs="Arial" w:eastAsia="Arial" w:hAnsi="Arial"/>
          <w:sz w:val="16"/>
          <w:szCs w:val="16"/>
          <w:b w:val="1"/>
          <w:bCs w:val="1"/>
          <w:color w:val="auto"/>
        </w:rPr>
        <w:t xml:space="preserve"> (ii)</w:t>
      </w:r>
      <w:r>
        <w:rPr>
          <w:rFonts w:ascii="Arial" w:cs="Arial" w:eastAsia="Arial" w:hAnsi="Arial"/>
          <w:sz w:val="16"/>
          <w:szCs w:val="16"/>
          <w:color w:val="auto"/>
        </w:rPr>
        <w:t>,</w:t>
      </w:r>
      <w:r>
        <w:rPr>
          <w:rFonts w:ascii="Arial" w:cs="Arial" w:eastAsia="Arial" w:hAnsi="Arial"/>
          <w:sz w:val="16"/>
          <w:szCs w:val="16"/>
          <w:b w:val="1"/>
          <w:bCs w:val="1"/>
          <w:color w:val="auto"/>
        </w:rPr>
        <w:t xml:space="preserve"> (iii)</w:t>
      </w:r>
      <w:r>
        <w:rPr>
          <w:rFonts w:ascii="Arial" w:cs="Arial" w:eastAsia="Arial" w:hAnsi="Arial"/>
          <w:sz w:val="16"/>
          <w:szCs w:val="16"/>
          <w:color w:val="auto"/>
        </w:rPr>
        <w:t>,</w:t>
      </w:r>
      <w:r>
        <w:rPr>
          <w:rFonts w:ascii="Arial" w:cs="Arial" w:eastAsia="Arial" w:hAnsi="Arial"/>
          <w:sz w:val="16"/>
          <w:szCs w:val="16"/>
          <w:b w:val="1"/>
          <w:bCs w:val="1"/>
          <w:color w:val="auto"/>
        </w:rPr>
        <w:t xml:space="preserve"> (iv) </w:t>
      </w:r>
      <w:r>
        <w:rPr>
          <w:rFonts w:ascii="Arial" w:cs="Arial" w:eastAsia="Arial" w:hAnsi="Arial"/>
          <w:sz w:val="16"/>
          <w:szCs w:val="16"/>
          <w:color w:val="auto"/>
        </w:rPr>
        <w:t>or</w:t>
      </w:r>
      <w:r>
        <w:rPr>
          <w:rFonts w:ascii="Arial" w:cs="Arial" w:eastAsia="Arial" w:hAnsi="Arial"/>
          <w:sz w:val="16"/>
          <w:szCs w:val="16"/>
          <w:b w:val="1"/>
          <w:bCs w:val="1"/>
          <w:color w:val="auto"/>
        </w:rPr>
        <w:t xml:space="preserve"> (v)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Section 7.01(A)</w:t>
      </w:r>
      <w:r>
        <w:rPr>
          <w:rFonts w:ascii="Arial" w:cs="Arial" w:eastAsia="Arial" w:hAnsi="Arial"/>
          <w:sz w:val="16"/>
          <w:szCs w:val="16"/>
          <w:color w:val="auto"/>
        </w:rPr>
        <w:t>) where such default is not cured or waived within sixty (60) days after notice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54" w:lineRule="exact"/>
        <w:rPr>
          <w:rFonts w:ascii="Arial" w:cs="Arial" w:eastAsia="Arial" w:hAnsi="Arial"/>
          <w:sz w:val="16"/>
          <w:szCs w:val="16"/>
          <w:color w:val="auto"/>
        </w:rPr>
      </w:pPr>
    </w:p>
    <w:p>
      <w:pPr>
        <w:ind w:left="660" w:right="80" w:firstLine="645"/>
        <w:spacing w:after="0" w:line="259" w:lineRule="auto"/>
        <w:tabs>
          <w:tab w:leader="none" w:pos="1983"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default by the Company or any of its Subsidiaries with respect to any one or more mortgages, agreements or other instruments under which there is outstanding, or by which there is secured or evidenced, any indebtedness for money borrowed of at least fifteen million dollars ($15,000,000) (or its foreign currency equivalent) in the aggregate of the Company or any of its Subsidiaries, whether such indebtedness exists as of the Issue Date or is thereafter created, where such default:</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2"/>
          <w:numId w:val="92"/>
        </w:numPr>
        <w:rPr>
          <w:rFonts w:ascii="Arial" w:cs="Arial" w:eastAsia="Arial" w:hAnsi="Arial"/>
          <w:sz w:val="18"/>
          <w:szCs w:val="18"/>
          <w:color w:val="auto"/>
        </w:rPr>
      </w:pPr>
      <w:r>
        <w:rPr>
          <w:rFonts w:ascii="Arial" w:cs="Arial" w:eastAsia="Arial" w:hAnsi="Arial"/>
          <w:sz w:val="18"/>
          <w:szCs w:val="18"/>
          <w:color w:val="auto"/>
        </w:rPr>
        <w:t>constitutes a failure to pay the principal of, or premium or interest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ind w:left="640" w:right="280"/>
        <w:spacing w:after="0" w:line="277" w:lineRule="auto"/>
        <w:rPr>
          <w:sz w:val="20"/>
          <w:szCs w:val="20"/>
          <w:color w:val="auto"/>
        </w:rPr>
      </w:pPr>
      <w:r>
        <w:rPr>
          <w:rFonts w:ascii="Arial" w:cs="Arial" w:eastAsia="Arial" w:hAnsi="Arial"/>
          <w:sz w:val="18"/>
          <w:szCs w:val="18"/>
          <w:color w:val="auto"/>
        </w:rPr>
        <w:t>on, any of such indebtedness when due and payable at its stated maturity, upon required repurchase, upon declaration of acceleration or otherwise, in each case after the expiration of any applicable grace period; or</w:t>
      </w:r>
    </w:p>
    <w:p>
      <w:pPr>
        <w:spacing w:after="0" w:line="170" w:lineRule="exact"/>
        <w:rPr>
          <w:sz w:val="20"/>
          <w:szCs w:val="20"/>
          <w:color w:val="auto"/>
        </w:rPr>
      </w:pPr>
    </w:p>
    <w:p>
      <w:pPr>
        <w:ind w:left="1940" w:hanging="647"/>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results in such indebtedness becoming or being declared due and payable before its stated maturity,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47" w:lineRule="exact"/>
        <w:rPr>
          <w:sz w:val="20"/>
          <w:szCs w:val="20"/>
          <w:color w:val="auto"/>
        </w:rPr>
      </w:pPr>
    </w:p>
    <w:p>
      <w:pPr>
        <w:ind w:firstLine="645"/>
        <w:spacing w:after="0" w:line="259" w:lineRule="auto"/>
        <w:tabs>
          <w:tab w:leader="none" w:pos="13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one or more final judgments being rendered against the Company or any of its Subsidiaries for the payment of at least fifteen million dollars ($15,000,000) (or its foreign currency equivalent) in the aggregate (excluding any amounts covered by insurance), where such judgment is not discharged or stayed within sixty (60) days after (i) the date on which the right to appeal the same has expired, if no such appeal has commenced; or (ii) the date on which all rights to appeal have been extinguished;</w:t>
      </w:r>
    </w:p>
    <w:p>
      <w:pPr>
        <w:spacing w:after="0" w:line="186" w:lineRule="exact"/>
        <w:rPr>
          <w:rFonts w:ascii="Arial" w:cs="Arial" w:eastAsia="Arial" w:hAnsi="Arial"/>
          <w:sz w:val="18"/>
          <w:szCs w:val="18"/>
          <w:color w:val="auto"/>
        </w:rPr>
      </w:pPr>
    </w:p>
    <w:p>
      <w:pPr>
        <w:ind w:left="1300" w:hanging="655"/>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or any of its Significant Subsidiaries, pursuant to or within the meaning of any Bankruptcy Law, either:</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takes any comparable action under any foreign Bankruptcy Law; or</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either:</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is for relief against Company or any of its Significant Subsidiaries in an involuntary case or proceeding;</w:t>
      </w:r>
    </w:p>
    <w:p>
      <w:pPr>
        <w:spacing w:after="0" w:line="225" w:lineRule="exact"/>
        <w:rPr>
          <w:rFonts w:ascii="Arial" w:cs="Arial" w:eastAsia="Arial" w:hAnsi="Arial"/>
          <w:sz w:val="18"/>
          <w:szCs w:val="18"/>
          <w:color w:val="auto"/>
        </w:rPr>
      </w:pPr>
    </w:p>
    <w:p>
      <w:pPr>
        <w:ind w:right="120" w:firstLine="1293"/>
        <w:spacing w:after="0" w:line="277" w:lineRule="auto"/>
        <w:tabs>
          <w:tab w:leader="none" w:pos="1952" w:val="left"/>
        </w:tabs>
        <w:numPr>
          <w:ilvl w:val="1"/>
          <w:numId w:val="94"/>
        </w:numPr>
        <w:rPr>
          <w:rFonts w:ascii="Arial" w:cs="Arial" w:eastAsia="Arial" w:hAnsi="Arial"/>
          <w:sz w:val="18"/>
          <w:szCs w:val="18"/>
          <w:color w:val="auto"/>
        </w:rPr>
      </w:pPr>
      <w:r>
        <w:rPr>
          <w:rFonts w:ascii="Arial" w:cs="Arial" w:eastAsia="Arial" w:hAnsi="Arial"/>
          <w:sz w:val="18"/>
          <w:szCs w:val="18"/>
          <w:color w:val="auto"/>
        </w:rPr>
        <w:t>appoints a custodian of the Company or any of its Significant Subsidiaries, or for any substantial part of the property of the Company or any of its Significant Subsidiaries;</w:t>
      </w:r>
    </w:p>
    <w:p>
      <w:pPr>
        <w:spacing w:after="0" w:line="170" w:lineRule="exact"/>
        <w:rPr>
          <w:rFonts w:ascii="Arial" w:cs="Arial" w:eastAsia="Arial" w:hAnsi="Arial"/>
          <w:sz w:val="18"/>
          <w:szCs w:val="18"/>
          <w:color w:val="auto"/>
        </w:rPr>
      </w:pPr>
    </w:p>
    <w:p>
      <w:pPr>
        <w:ind w:left="1940" w:hanging="647"/>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of its Significant Subsidiaries; or</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0"/>
          </w:cols>
          <w:pgMar w:left="900" w:top="341" w:right="339" w:bottom="1440" w:gutter="0" w:footer="0" w:header="0"/>
        </w:sectPr>
      </w:pPr>
    </w:p>
    <w:bookmarkStart w:id="68" w:name="page69"/>
    <w:bookmarkEnd w:id="68"/>
    <w:p>
      <w:pPr>
        <w:ind w:left="2600" w:hanging="647"/>
        <w:spacing w:after="0"/>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grants any similar relief under any foreign Bankruptcy Law,</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and, in each case under this </w:t>
      </w:r>
      <w:r>
        <w:rPr>
          <w:rFonts w:ascii="Arial" w:cs="Arial" w:eastAsia="Arial" w:hAnsi="Arial"/>
          <w:sz w:val="18"/>
          <w:szCs w:val="18"/>
          <w:b w:val="1"/>
          <w:bCs w:val="1"/>
          <w:color w:val="auto"/>
        </w:rPr>
        <w:t>Section 7.01(A)(x)</w:t>
      </w:r>
      <w:r>
        <w:rPr>
          <w:rFonts w:ascii="Arial" w:cs="Arial" w:eastAsia="Arial" w:hAnsi="Arial"/>
          <w:sz w:val="18"/>
          <w:szCs w:val="18"/>
          <w:color w:val="auto"/>
        </w:rPr>
        <w:t>, such order or decree remains unstayed and in effect for at least sixty (60) days.</w:t>
      </w:r>
    </w:p>
    <w:p>
      <w:pPr>
        <w:spacing w:after="0" w:line="225" w:lineRule="exact"/>
        <w:rPr>
          <w:sz w:val="20"/>
          <w:szCs w:val="20"/>
          <w:color w:val="auto"/>
        </w:rPr>
      </w:pPr>
    </w:p>
    <w:p>
      <w:pPr>
        <w:ind w:right="140" w:firstLine="656"/>
        <w:spacing w:after="0" w:line="266" w:lineRule="auto"/>
        <w:tabs>
          <w:tab w:leader="none" w:pos="1307"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Cause Irrelevant</w:t>
      </w:r>
      <w:r>
        <w:rPr>
          <w:rFonts w:ascii="Arial" w:cs="Arial" w:eastAsia="Arial" w:hAnsi="Arial"/>
          <w:sz w:val="18"/>
          <w:szCs w:val="18"/>
          <w:color w:val="auto"/>
        </w:rPr>
        <w:t>. Each of the events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7.01(A)</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an Event of Default regardless of the cause thereof or</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voluntary or involuntary or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8"/>
          <w:szCs w:val="18"/>
          <w:b w:val="1"/>
          <w:bCs w:val="1"/>
          <w:color w:val="auto"/>
        </w:rPr>
        <w:t>ACCELERATION.</w:t>
      </w:r>
    </w:p>
    <w:p>
      <w:pPr>
        <w:spacing w:after="0" w:line="225" w:lineRule="exact"/>
        <w:rPr>
          <w:sz w:val="20"/>
          <w:szCs w:val="20"/>
          <w:color w:val="auto"/>
        </w:rPr>
      </w:pPr>
    </w:p>
    <w:p>
      <w:pPr>
        <w:jc w:val="both"/>
        <w:ind w:firstLine="656"/>
        <w:spacing w:after="0" w:line="289" w:lineRule="auto"/>
        <w:tabs>
          <w:tab w:leader="none" w:pos="1317"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Automatic Acceleration in Certain Circumstances</w:t>
      </w:r>
      <w:r>
        <w:rPr>
          <w:rFonts w:ascii="Arial" w:cs="Arial" w:eastAsia="Arial" w:hAnsi="Arial"/>
          <w:sz w:val="17"/>
          <w:szCs w:val="17"/>
          <w:color w:val="auto"/>
        </w:rPr>
        <w:t>. If an Event of Default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7.01(A)(ix)</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7.01(A)(x)</w:t>
      </w:r>
      <w:r>
        <w:rPr>
          <w:rFonts w:ascii="Arial" w:cs="Arial" w:eastAsia="Arial" w:hAnsi="Arial"/>
          <w:sz w:val="17"/>
          <w:szCs w:val="17"/>
          <w:i w:val="1"/>
          <w:iCs w:val="1"/>
          <w:color w:val="auto"/>
        </w:rPr>
        <w:t xml:space="preserve"> </w:t>
      </w:r>
      <w:r>
        <w:rPr>
          <w:rFonts w:ascii="Arial" w:cs="Arial" w:eastAsia="Arial" w:hAnsi="Arial"/>
          <w:sz w:val="17"/>
          <w:szCs w:val="17"/>
          <w:color w:val="auto"/>
        </w:rPr>
        <w:t>occurs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58" w:lineRule="exact"/>
        <w:rPr>
          <w:rFonts w:ascii="Arial" w:cs="Arial" w:eastAsia="Arial" w:hAnsi="Arial"/>
          <w:sz w:val="17"/>
          <w:szCs w:val="17"/>
          <w:color w:val="auto"/>
        </w:rPr>
      </w:pPr>
    </w:p>
    <w:p>
      <w:pPr>
        <w:ind w:left="1320" w:hanging="664"/>
        <w:spacing w:after="0"/>
        <w:tabs>
          <w:tab w:leader="none" w:pos="132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Optional Acceleration</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7.03</w:t>
      </w:r>
      <w:r>
        <w:rPr>
          <w:rFonts w:ascii="Arial" w:cs="Arial" w:eastAsia="Arial" w:hAnsi="Arial"/>
          <w:sz w:val="16"/>
          <w:szCs w:val="16"/>
          <w:color w:val="auto"/>
        </w:rPr>
        <w:t>, if an Event of Default (other than an Event of Default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7.01(A)(ix)</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7.01(A)(x) </w:t>
      </w:r>
      <w:r>
        <w:rPr>
          <w:rFonts w:ascii="Arial" w:cs="Arial" w:eastAsia="Arial" w:hAnsi="Arial"/>
          <w:sz w:val="18"/>
          <w:szCs w:val="18"/>
          <w:color w:val="auto"/>
        </w:rPr>
        <w:t>with respect to the Company and not solely with respect to a Significant Subsidiary of the Company) occurs and is continuing, then the Trustee, by</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90" w:lineRule="exact"/>
        <w:rPr>
          <w:sz w:val="20"/>
          <w:szCs w:val="20"/>
          <w:color w:val="auto"/>
        </w:rPr>
      </w:pPr>
    </w:p>
    <w:p>
      <w:pPr>
        <w:ind w:right="60" w:firstLine="656"/>
        <w:spacing w:after="0" w:line="276" w:lineRule="auto"/>
        <w:tabs>
          <w:tab w:leader="none" w:pos="1307"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Rescission of Acceleration</w:t>
      </w:r>
      <w:r>
        <w:rPr>
          <w:rFonts w:ascii="Arial" w:cs="Arial" w:eastAsia="Arial" w:hAnsi="Arial"/>
          <w:sz w:val="17"/>
          <w:szCs w:val="17"/>
          <w:color w:val="auto"/>
        </w:rPr>
        <w:t>. Notwithstanding anything to the contrary in this Indenture or the Notes, the Holders of a majority in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16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7"/>
          <w:szCs w:val="17"/>
          <w:b w:val="1"/>
          <w:bCs w:val="1"/>
          <w:color w:val="auto"/>
        </w:rPr>
        <w:t>SOLE REMEDY FOR A FAILURE TO REPORT.</w:t>
      </w:r>
    </w:p>
    <w:p>
      <w:pPr>
        <w:spacing w:after="0" w:line="229" w:lineRule="exact"/>
        <w:rPr>
          <w:sz w:val="20"/>
          <w:szCs w:val="20"/>
          <w:color w:val="auto"/>
        </w:rPr>
      </w:pPr>
    </w:p>
    <w:p>
      <w:pPr>
        <w:ind w:right="40" w:firstLine="656"/>
        <w:spacing w:after="0" w:line="293" w:lineRule="auto"/>
        <w:tabs>
          <w:tab w:leader="none" w:pos="1317"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Notwithstanding anything to the contrary in this Indenture or the Notes, the Company may elect that the sole remedy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Default (a “</w:t>
      </w:r>
      <w:r>
        <w:rPr>
          <w:rFonts w:ascii="Arial" w:cs="Arial" w:eastAsia="Arial" w:hAnsi="Arial"/>
          <w:sz w:val="16"/>
          <w:szCs w:val="16"/>
          <w:b w:val="1"/>
          <w:bCs w:val="1"/>
          <w:color w:val="auto"/>
        </w:rPr>
        <w:t>Reporting Event of Default</w:t>
      </w:r>
      <w:r>
        <w:rPr>
          <w:rFonts w:ascii="Arial" w:cs="Arial" w:eastAsia="Arial" w:hAnsi="Arial"/>
          <w:sz w:val="16"/>
          <w:szCs w:val="16"/>
          <w:color w:val="auto"/>
        </w:rPr>
        <w:t xml:space="preserve">”) pursuant to </w:t>
      </w:r>
      <w:r>
        <w:rPr>
          <w:rFonts w:ascii="Arial" w:cs="Arial" w:eastAsia="Arial" w:hAnsi="Arial"/>
          <w:sz w:val="16"/>
          <w:szCs w:val="16"/>
          <w:b w:val="1"/>
          <w:bCs w:val="1"/>
          <w:color w:val="auto"/>
        </w:rPr>
        <w:t>Section 7.01(A)(vi)</w:t>
      </w:r>
      <w:r>
        <w:rPr>
          <w:rFonts w:ascii="Arial" w:cs="Arial" w:eastAsia="Arial" w:hAnsi="Arial"/>
          <w:sz w:val="16"/>
          <w:szCs w:val="16"/>
          <w:color w:val="auto"/>
        </w:rPr>
        <w:t xml:space="preserve"> arising from the Company’s failure to comply with </w:t>
      </w:r>
      <w:r>
        <w:rPr>
          <w:rFonts w:ascii="Arial" w:cs="Arial" w:eastAsia="Arial" w:hAnsi="Arial"/>
          <w:sz w:val="16"/>
          <w:szCs w:val="16"/>
          <w:b w:val="1"/>
          <w:bCs w:val="1"/>
          <w:color w:val="auto"/>
        </w:rPr>
        <w:t>Section 3.02</w:t>
      </w:r>
      <w:r>
        <w:rPr>
          <w:rFonts w:ascii="Arial" w:cs="Arial" w:eastAsia="Arial" w:hAnsi="Arial"/>
          <w:sz w:val="16"/>
          <w:szCs w:val="16"/>
          <w:color w:val="auto"/>
        </w:rPr>
        <w:t xml:space="preserve"> will, for each of the first one hundred eighty (180)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Arial" w:cs="Arial" w:eastAsia="Arial" w:hAnsi="Arial"/>
          <w:sz w:val="16"/>
          <w:szCs w:val="16"/>
          <w:b w:val="1"/>
          <w:bCs w:val="1"/>
          <w:color w:val="auto"/>
        </w:rPr>
        <w:t>Section 7.02</w:t>
      </w:r>
      <w:r>
        <w:rPr>
          <w:rFonts w:ascii="Arial" w:cs="Arial" w:eastAsia="Arial" w:hAnsi="Arial"/>
          <w:sz w:val="16"/>
          <w:szCs w:val="16"/>
          <w:color w:val="auto"/>
        </w:rPr>
        <w:t xml:space="preserve"> on account of the relevant Reporting Event of Default from, and including, the one hundred and eighty first (181st) calendar day on which a Reporting Event of Default has occurred and is continuing or if the Company fails to pay any accrued and unpaid Special Interest when due; and (ii) Special Interest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right="560"/>
        <w:spacing w:after="0" w:line="277" w:lineRule="auto"/>
        <w:rPr>
          <w:sz w:val="20"/>
          <w:szCs w:val="20"/>
          <w:color w:val="auto"/>
        </w:rPr>
      </w:pPr>
      <w:r>
        <w:rPr>
          <w:rFonts w:ascii="Arial" w:cs="Arial" w:eastAsia="Arial" w:hAnsi="Arial"/>
          <w:sz w:val="18"/>
          <w:szCs w:val="18"/>
          <w:color w:val="auto"/>
        </w:rPr>
        <w:t xml:space="preserve">will cease to accrue on any Notes from, and including, such one hundred and eighty first (181st) calendar day (it being understood that interest on any defaulted Special Interest will nonetheless accrue pursuant to </w:t>
      </w:r>
      <w:r>
        <w:rPr>
          <w:rFonts w:ascii="Arial" w:cs="Arial" w:eastAsia="Arial" w:hAnsi="Arial"/>
          <w:sz w:val="18"/>
          <w:szCs w:val="18"/>
          <w:b w:val="1"/>
          <w:bCs w:val="1"/>
          <w:color w:val="auto"/>
        </w:rPr>
        <w:t>Section 2.05(B)</w:t>
      </w:r>
      <w:r>
        <w:rPr>
          <w:rFonts w:ascii="Arial" w:cs="Arial" w:eastAsia="Arial" w:hAnsi="Arial"/>
          <w:sz w:val="18"/>
          <w:szCs w:val="18"/>
          <w:color w:val="auto"/>
        </w:rPr>
        <w:t>).</w:t>
      </w:r>
    </w:p>
    <w:p>
      <w:pPr>
        <w:spacing w:after="0" w:line="166" w:lineRule="exact"/>
        <w:rPr>
          <w:sz w:val="20"/>
          <w:szCs w:val="20"/>
          <w:color w:val="auto"/>
        </w:rPr>
      </w:pPr>
    </w:p>
    <w:p>
      <w:pPr>
        <w:ind w:firstLine="656"/>
        <w:spacing w:after="0" w:line="273" w:lineRule="auto"/>
        <w:tabs>
          <w:tab w:leader="none" w:pos="1307" w:val="left"/>
        </w:tabs>
        <w:numPr>
          <w:ilvl w:val="1"/>
          <w:numId w:val="100"/>
        </w:numPr>
        <w:rPr>
          <w:rFonts w:ascii="Arial" w:cs="Arial" w:eastAsia="Arial" w:hAnsi="Arial"/>
          <w:sz w:val="17"/>
          <w:szCs w:val="17"/>
          <w:color w:val="auto"/>
        </w:rPr>
      </w:pPr>
      <w:r>
        <w:rPr>
          <w:rFonts w:ascii="Arial" w:cs="Arial" w:eastAsia="Arial" w:hAnsi="Arial"/>
          <w:sz w:val="17"/>
          <w:szCs w:val="17"/>
          <w:i w:val="1"/>
          <w:iCs w:val="1"/>
          <w:color w:val="auto"/>
        </w:rPr>
        <w:t>Amount and Payment of Special Interest</w:t>
      </w:r>
      <w:r>
        <w:rPr>
          <w:rFonts w:ascii="Arial" w:cs="Arial" w:eastAsia="Arial" w:hAnsi="Arial"/>
          <w:sz w:val="17"/>
          <w:szCs w:val="17"/>
          <w:color w:val="auto"/>
        </w:rPr>
        <w:t>. Any Special Interest that accrues on a Note pursuant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7.03(A)</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payable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dates and in the same manner as the Stated Interest on such Note and will accrue at a rate per annum equal to one quarter of one percent (0.25%) of the principal amount thereof for the first ninety (90) days on which Special Interest accrues and, thereafter, at a rate per annum equal to one half of one percent (0.50%) of the principal amount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will Special Interest, together with any Additional Interest,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spacing w:after="0" w:line="172" w:lineRule="exact"/>
        <w:rPr>
          <w:rFonts w:ascii="Arial" w:cs="Arial" w:eastAsia="Arial" w:hAnsi="Arial"/>
          <w:sz w:val="17"/>
          <w:szCs w:val="17"/>
          <w:color w:val="auto"/>
        </w:rPr>
      </w:pPr>
    </w:p>
    <w:p>
      <w:pPr>
        <w:jc w:val="both"/>
        <w:ind w:right="100" w:firstLine="656"/>
        <w:spacing w:after="0" w:line="289" w:lineRule="auto"/>
        <w:tabs>
          <w:tab w:leader="none" w:pos="1307"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Notice of Election</w:t>
      </w:r>
      <w:r>
        <w:rPr>
          <w:rFonts w:ascii="Arial" w:cs="Arial" w:eastAsia="Arial" w:hAnsi="Arial"/>
          <w:sz w:val="16"/>
          <w:szCs w:val="16"/>
          <w:color w:val="auto"/>
        </w:rPr>
        <w:t>. To make the election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7.03(A)</w:t>
      </w:r>
      <w:r>
        <w:rPr>
          <w:rFonts w:ascii="Arial" w:cs="Arial" w:eastAsia="Arial" w:hAnsi="Arial"/>
          <w:sz w:val="16"/>
          <w:szCs w:val="16"/>
          <w:color w:val="auto"/>
        </w:rPr>
        <w:t>, the Company must send to the Holders, the Trustee and the Paying</w:t>
      </w:r>
      <w:r>
        <w:rPr>
          <w:rFonts w:ascii="Arial" w:cs="Arial" w:eastAsia="Arial" w:hAnsi="Arial"/>
          <w:sz w:val="16"/>
          <w:szCs w:val="16"/>
          <w:i w:val="1"/>
          <w:iCs w:val="1"/>
          <w:color w:val="auto"/>
        </w:rPr>
        <w:t xml:space="preserve"> </w:t>
      </w:r>
      <w:r>
        <w:rPr>
          <w:rFonts w:ascii="Arial" w:cs="Arial" w:eastAsia="Arial" w:hAnsi="Arial"/>
          <w:sz w:val="16"/>
          <w:szCs w:val="16"/>
          <w:color w:val="auto"/>
        </w:rPr>
        <w:t>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w:t>
      </w:r>
    </w:p>
    <w:p>
      <w:pPr>
        <w:spacing w:after="0" w:line="1" w:lineRule="exact"/>
        <w:rPr>
          <w:rFonts w:ascii="Arial" w:cs="Arial" w:eastAsia="Arial" w:hAnsi="Arial"/>
          <w:sz w:val="16"/>
          <w:szCs w:val="16"/>
          <w:color w:val="auto"/>
        </w:rPr>
      </w:pPr>
    </w:p>
    <w:p>
      <w:pPr>
        <w:ind w:right="140" w:firstLine="8"/>
        <w:spacing w:after="0" w:line="261" w:lineRule="auto"/>
        <w:tabs>
          <w:tab w:leader="none" w:pos="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briefly describes the periods during which and rate at which Special Interest will accrue and the circumstances under which the Notes will be subject to acceleration on account of such Reporting Event of Default.</w:t>
      </w:r>
    </w:p>
    <w:p>
      <w:pPr>
        <w:spacing w:after="0" w:line="183" w:lineRule="exact"/>
        <w:rPr>
          <w:rFonts w:ascii="Arial" w:cs="Arial" w:eastAsia="Arial" w:hAnsi="Arial"/>
          <w:sz w:val="18"/>
          <w:szCs w:val="18"/>
          <w:color w:val="auto"/>
        </w:rPr>
      </w:pPr>
    </w:p>
    <w:p>
      <w:pPr>
        <w:jc w:val="both"/>
        <w:ind w:right="300" w:firstLine="656"/>
        <w:spacing w:after="0" w:line="302" w:lineRule="auto"/>
        <w:tabs>
          <w:tab w:leader="none" w:pos="1317" w:val="left"/>
        </w:tabs>
        <w:numPr>
          <w:ilvl w:val="1"/>
          <w:numId w:val="101"/>
        </w:numPr>
        <w:rPr>
          <w:rFonts w:ascii="Arial" w:cs="Arial" w:eastAsia="Arial" w:hAnsi="Arial"/>
          <w:sz w:val="16"/>
          <w:szCs w:val="16"/>
          <w:color w:val="auto"/>
        </w:rPr>
      </w:pPr>
      <w:r>
        <w:rPr>
          <w:rFonts w:ascii="Arial" w:cs="Arial" w:eastAsia="Arial" w:hAnsi="Arial"/>
          <w:sz w:val="16"/>
          <w:szCs w:val="16"/>
          <w:i w:val="1"/>
          <w:iCs w:val="1"/>
          <w:color w:val="auto"/>
        </w:rPr>
        <w:t>Notice to Trustee and Paying Agent; Trustee’s Disclaimer</w:t>
      </w:r>
      <w:r>
        <w:rPr>
          <w:rFonts w:ascii="Arial" w:cs="Arial" w:eastAsia="Arial" w:hAnsi="Arial"/>
          <w:sz w:val="16"/>
          <w:szCs w:val="16"/>
          <w:color w:val="auto"/>
        </w:rPr>
        <w:t>. If Special Interest accrues on any Note, then, no later than five (5)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50" w:lineRule="exact"/>
        <w:rPr>
          <w:rFonts w:ascii="Arial" w:cs="Arial" w:eastAsia="Arial" w:hAnsi="Arial"/>
          <w:sz w:val="16"/>
          <w:szCs w:val="16"/>
          <w:color w:val="auto"/>
        </w:rPr>
      </w:pPr>
    </w:p>
    <w:p>
      <w:pPr>
        <w:ind w:right="20" w:firstLine="656"/>
        <w:spacing w:after="0" w:line="282" w:lineRule="auto"/>
        <w:tabs>
          <w:tab w:leader="none" w:pos="1310"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No Effect on Other Events of Default</w:t>
      </w:r>
      <w:r>
        <w:rPr>
          <w:rFonts w:ascii="Arial" w:cs="Arial" w:eastAsia="Arial" w:hAnsi="Arial"/>
          <w:sz w:val="18"/>
          <w:szCs w:val="18"/>
          <w:color w:val="auto"/>
        </w:rPr>
        <w:t>. No election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7.03</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Reporting Event of Default will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of any Holder with respect to any other Event of Default, including with respect to any other Reporting Event of Default.</w:t>
      </w:r>
    </w:p>
    <w:p>
      <w:pPr>
        <w:spacing w:after="0" w:line="16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7.04.</w:t>
      </w:r>
      <w:r>
        <w:rPr>
          <w:sz w:val="20"/>
          <w:szCs w:val="20"/>
          <w:color w:val="auto"/>
        </w:rPr>
        <w:tab/>
      </w:r>
      <w:r>
        <w:rPr>
          <w:rFonts w:ascii="Arial" w:cs="Arial" w:eastAsia="Arial" w:hAnsi="Arial"/>
          <w:sz w:val="18"/>
          <w:szCs w:val="18"/>
          <w:b w:val="1"/>
          <w:bCs w:val="1"/>
          <w:color w:val="auto"/>
        </w:rPr>
        <w:t>OTHER REMEDIES.</w:t>
      </w:r>
    </w:p>
    <w:p>
      <w:pPr>
        <w:spacing w:after="0" w:line="229" w:lineRule="exact"/>
        <w:rPr>
          <w:sz w:val="20"/>
          <w:szCs w:val="20"/>
          <w:color w:val="auto"/>
        </w:rPr>
      </w:pPr>
    </w:p>
    <w:p>
      <w:pPr>
        <w:ind w:right="180" w:firstLine="656"/>
        <w:spacing w:after="0" w:line="342" w:lineRule="auto"/>
        <w:tabs>
          <w:tab w:leader="none" w:pos="1317"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Trustee May Pursue All Remedies</w:t>
      </w:r>
      <w:r>
        <w:rPr>
          <w:rFonts w:ascii="Arial" w:cs="Arial" w:eastAsia="Arial" w:hAnsi="Arial"/>
          <w:sz w:val="16"/>
          <w:szCs w:val="16"/>
          <w:color w:val="auto"/>
        </w:rPr>
        <w:t>. If an Event of Default occurs and is continuing, then the Trustee may pursue any available remedy to</w:t>
      </w:r>
      <w:r>
        <w:rPr>
          <w:rFonts w:ascii="Arial" w:cs="Arial" w:eastAsia="Arial" w:hAnsi="Arial"/>
          <w:sz w:val="16"/>
          <w:szCs w:val="16"/>
          <w:i w:val="1"/>
          <w:iCs w:val="1"/>
          <w:color w:val="auto"/>
        </w:rPr>
        <w:t xml:space="preserve"> </w:t>
      </w:r>
      <w:r>
        <w:rPr>
          <w:rFonts w:ascii="Arial" w:cs="Arial" w:eastAsia="Arial" w:hAnsi="Arial"/>
          <w:sz w:val="16"/>
          <w:szCs w:val="16"/>
          <w:color w:val="auto"/>
        </w:rPr>
        <w:t>collect the payment of any amounts due with respect to the Notes or to enforce the performance of any provision of this Indenture or the Notes.</w:t>
      </w:r>
    </w:p>
    <w:p>
      <w:pPr>
        <w:spacing w:after="0" w:line="123" w:lineRule="exact"/>
        <w:rPr>
          <w:rFonts w:ascii="Arial" w:cs="Arial" w:eastAsia="Arial" w:hAnsi="Arial"/>
          <w:sz w:val="16"/>
          <w:szCs w:val="16"/>
          <w:color w:val="auto"/>
        </w:rPr>
      </w:pPr>
    </w:p>
    <w:p>
      <w:pPr>
        <w:ind w:right="120" w:firstLine="656"/>
        <w:spacing w:after="0" w:line="308" w:lineRule="auto"/>
        <w:tabs>
          <w:tab w:leader="none" w:pos="1307"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Procedural Matters</w:t>
      </w:r>
      <w:r>
        <w:rPr>
          <w:rFonts w:ascii="Arial" w:cs="Arial" w:eastAsia="Arial" w:hAnsi="Arial"/>
          <w:sz w:val="17"/>
          <w:szCs w:val="17"/>
          <w:color w:val="auto"/>
        </w:rPr>
        <w:t>. The Trustee may maintain a proceeding even if it does not possess any of the Notes or does not produce any of them</w:t>
      </w:r>
      <w:r>
        <w:rPr>
          <w:rFonts w:ascii="Arial" w:cs="Arial" w:eastAsia="Arial" w:hAnsi="Arial"/>
          <w:sz w:val="17"/>
          <w:szCs w:val="17"/>
          <w:i w:val="1"/>
          <w:iCs w:val="1"/>
          <w:color w:val="auto"/>
        </w:rPr>
        <w:t xml:space="preserve"> </w:t>
      </w:r>
      <w:r>
        <w:rPr>
          <w:rFonts w:ascii="Arial" w:cs="Arial" w:eastAsia="Arial" w:hAnsi="Arial"/>
          <w:sz w:val="17"/>
          <w:szCs w:val="17"/>
          <w:color w:val="auto"/>
        </w:rPr>
        <w:t>in such proceeding. A delay or omission by the Trustee or any Holder in exercising any right or remedy following an Event of</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0" w:name="page71"/>
    <w:bookmarkEnd w:id="70"/>
    <w:p>
      <w:pPr>
        <w:ind w:right="40"/>
        <w:spacing w:after="0" w:line="277" w:lineRule="auto"/>
        <w:rPr>
          <w:sz w:val="20"/>
          <w:szCs w:val="20"/>
          <w:color w:val="auto"/>
        </w:rPr>
      </w:pPr>
      <w:r>
        <w:rPr>
          <w:rFonts w:ascii="Arial" w:cs="Arial" w:eastAsia="Arial" w:hAnsi="Arial"/>
          <w:sz w:val="18"/>
          <w:szCs w:val="18"/>
          <w:color w:val="auto"/>
        </w:rPr>
        <w:t>Default will not impair the right or remedy or constitute a waiver of, or acquiescence in, such Event of Default. All remedies will be cumulative to the extent permitted by law.</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7.05.</w:t>
      </w:r>
      <w:r>
        <w:rPr>
          <w:sz w:val="20"/>
          <w:szCs w:val="20"/>
          <w:color w:val="auto"/>
        </w:rPr>
        <w:tab/>
      </w:r>
      <w:r>
        <w:rPr>
          <w:rFonts w:ascii="Arial" w:cs="Arial" w:eastAsia="Arial" w:hAnsi="Arial"/>
          <w:sz w:val="17"/>
          <w:szCs w:val="17"/>
          <w:b w:val="1"/>
          <w:bCs w:val="1"/>
          <w:color w:val="auto"/>
        </w:rPr>
        <w:t>WAIVER OF PAST DEFAULTS.</w:t>
      </w:r>
    </w:p>
    <w:p>
      <w:pPr>
        <w:spacing w:after="0" w:line="225"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 xml:space="preserve">An Event of Default pursuant to </w:t>
      </w:r>
      <w:r>
        <w:rPr>
          <w:rFonts w:ascii="Arial" w:cs="Arial" w:eastAsia="Arial" w:hAnsi="Arial"/>
          <w:sz w:val="17"/>
          <w:szCs w:val="17"/>
          <w:b w:val="1"/>
          <w:bCs w:val="1"/>
          <w:color w:val="auto"/>
        </w:rPr>
        <w:t>clause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(iv)</w:t>
      </w:r>
      <w:r>
        <w:rPr>
          <w:rFonts w:ascii="Arial" w:cs="Arial" w:eastAsia="Arial" w:hAnsi="Arial"/>
          <w:sz w:val="17"/>
          <w:szCs w:val="17"/>
          <w:color w:val="auto"/>
        </w:rPr>
        <w:t xml:space="preserve"> or </w:t>
      </w:r>
      <w:r>
        <w:rPr>
          <w:rFonts w:ascii="Arial" w:cs="Arial" w:eastAsia="Arial" w:hAnsi="Arial"/>
          <w:sz w:val="17"/>
          <w:szCs w:val="17"/>
          <w:b w:val="1"/>
          <w:bCs w:val="1"/>
          <w:color w:val="auto"/>
        </w:rPr>
        <w:t>(vi)</w:t>
      </w:r>
      <w:r>
        <w:rPr>
          <w:rFonts w:ascii="Arial" w:cs="Arial" w:eastAsia="Arial" w:hAnsi="Arial"/>
          <w:sz w:val="17"/>
          <w:szCs w:val="17"/>
          <w:color w:val="auto"/>
        </w:rPr>
        <w:t xml:space="preserve"> of </w:t>
      </w:r>
      <w:r>
        <w:rPr>
          <w:rFonts w:ascii="Arial" w:cs="Arial" w:eastAsia="Arial" w:hAnsi="Arial"/>
          <w:sz w:val="17"/>
          <w:szCs w:val="17"/>
          <w:b w:val="1"/>
          <w:bCs w:val="1"/>
          <w:color w:val="auto"/>
        </w:rPr>
        <w:t>Section 7.01(A)</w:t>
      </w:r>
      <w:r>
        <w:rPr>
          <w:rFonts w:ascii="Arial" w:cs="Arial" w:eastAsia="Arial" w:hAnsi="Arial"/>
          <w:sz w:val="17"/>
          <w:szCs w:val="17"/>
          <w:color w:val="auto"/>
        </w:rPr>
        <w:t xml:space="preserve"> (that, in the case of </w:t>
      </w:r>
      <w:r>
        <w:rPr>
          <w:rFonts w:ascii="Arial" w:cs="Arial" w:eastAsia="Arial" w:hAnsi="Arial"/>
          <w:sz w:val="17"/>
          <w:szCs w:val="17"/>
          <w:b w:val="1"/>
          <w:bCs w:val="1"/>
          <w:color w:val="auto"/>
        </w:rPr>
        <w:t>clause (vi)</w:t>
      </w:r>
      <w:r>
        <w:rPr>
          <w:rFonts w:ascii="Arial" w:cs="Arial" w:eastAsia="Arial" w:hAnsi="Arial"/>
          <w:sz w:val="17"/>
          <w:szCs w:val="17"/>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7.06.</w:t>
      </w:r>
      <w:r>
        <w:rPr>
          <w:sz w:val="20"/>
          <w:szCs w:val="20"/>
          <w:color w:val="auto"/>
        </w:rPr>
        <w:tab/>
      </w:r>
      <w:r>
        <w:rPr>
          <w:rFonts w:ascii="Arial" w:cs="Arial" w:eastAsia="Arial" w:hAnsi="Arial"/>
          <w:sz w:val="18"/>
          <w:szCs w:val="18"/>
          <w:b w:val="1"/>
          <w:bCs w:val="1"/>
          <w:color w:val="auto"/>
        </w:rPr>
        <w:t>CONTROL BY MAJORITY.</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Arial" w:cs="Arial" w:eastAsia="Arial" w:hAnsi="Arial"/>
          <w:sz w:val="17"/>
          <w:szCs w:val="17"/>
          <w:b w:val="1"/>
          <w:bCs w:val="1"/>
          <w:color w:val="auto"/>
        </w:rPr>
        <w:t>Section 10.01</w:t>
      </w:r>
      <w:r>
        <w:rPr>
          <w:rFonts w:ascii="Arial" w:cs="Arial" w:eastAsia="Arial" w:hAnsi="Arial"/>
          <w:sz w:val="17"/>
          <w:szCs w:val="17"/>
          <w:color w:val="auto"/>
        </w:rPr>
        <w:t>, the Trustee determines may be unduly prejudicial to the rights of other Holders or may involve the Trustee in liability, unless the Trustee is offered security and indemnity satisfactory to the Trustee against any loss, liability or expense to the Trustee that may result from the Trustee’s following such direction.</w:t>
      </w:r>
    </w:p>
    <w:p>
      <w:pPr>
        <w:spacing w:after="0" w:line="16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7.07.</w:t>
      </w:r>
      <w:r>
        <w:rPr>
          <w:sz w:val="20"/>
          <w:szCs w:val="20"/>
          <w:color w:val="auto"/>
        </w:rPr>
        <w:tab/>
      </w:r>
      <w:r>
        <w:rPr>
          <w:rFonts w:ascii="Arial" w:cs="Arial" w:eastAsia="Arial" w:hAnsi="Arial"/>
          <w:sz w:val="18"/>
          <w:szCs w:val="18"/>
          <w:b w:val="1"/>
          <w:bCs w:val="1"/>
          <w:color w:val="auto"/>
        </w:rPr>
        <w:t>LIMITATION ON SUITS.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Holder may pursue any remedy with respect to this Indenture or the Notes (except to enforce (x) its rights to receive the principal of, 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Fundamental Change Repurchase Price for, or interest on, any Notes; or (y) the Company’s obligations to convert any Notes pursuant to </w:t>
      </w:r>
      <w:r>
        <w:rPr>
          <w:rFonts w:ascii="Arial" w:cs="Arial" w:eastAsia="Arial" w:hAnsi="Arial"/>
          <w:sz w:val="16"/>
          <w:szCs w:val="16"/>
          <w:b w:val="1"/>
          <w:bCs w:val="1"/>
          <w:color w:val="auto"/>
        </w:rPr>
        <w:t>Article 5</w:t>
      </w:r>
      <w:r>
        <w:rPr>
          <w:rFonts w:ascii="Arial" w:cs="Arial" w:eastAsia="Arial" w:hAnsi="Arial"/>
          <w:sz w:val="16"/>
          <w:szCs w:val="16"/>
          <w:color w:val="auto"/>
        </w:rPr>
        <w:t>), unless:</w:t>
      </w:r>
    </w:p>
    <w:p>
      <w:pPr>
        <w:spacing w:after="0" w:line="234" w:lineRule="exact"/>
        <w:rPr>
          <w:sz w:val="20"/>
          <w:szCs w:val="20"/>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Holder has previously delivered to the Trustee notice that an Event of Default is continuing;</w:t>
      </w:r>
    </w:p>
    <w:p>
      <w:pPr>
        <w:spacing w:after="0" w:line="225" w:lineRule="exact"/>
        <w:rPr>
          <w:rFonts w:ascii="Arial" w:cs="Arial" w:eastAsia="Arial" w:hAnsi="Arial"/>
          <w:sz w:val="18"/>
          <w:szCs w:val="18"/>
          <w:color w:val="auto"/>
        </w:rPr>
      </w:pPr>
    </w:p>
    <w:p>
      <w:pPr>
        <w:ind w:firstLine="656"/>
        <w:spacing w:after="0" w:line="277" w:lineRule="auto"/>
        <w:tabs>
          <w:tab w:leader="none" w:pos="1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Holders of at least twenty five percent (25%) in aggregate principal amount of the Notes then outstanding deliver a request to the Trustee to pursue such remedy;</w:t>
      </w:r>
    </w:p>
    <w:p>
      <w:pPr>
        <w:spacing w:after="0" w:line="170" w:lineRule="exact"/>
        <w:rPr>
          <w:rFonts w:ascii="Arial" w:cs="Arial" w:eastAsia="Arial" w:hAnsi="Arial"/>
          <w:sz w:val="18"/>
          <w:szCs w:val="18"/>
          <w:color w:val="auto"/>
        </w:rPr>
      </w:pPr>
    </w:p>
    <w:p>
      <w:pPr>
        <w:ind w:right="260" w:firstLine="656"/>
        <w:spacing w:after="0" w:line="277" w:lineRule="auto"/>
        <w:tabs>
          <w:tab w:leader="none" w:pos="1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does not comply with such request within sixty (60) calendar days after its receipt of such request and such offer of security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indemnity; and</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during such sixty (60) calendar day period, Holders of a majority in aggregate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principal amount of the Notes then outstanding do not deliver to the Trustee a direction that is inconsistent with such request.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Holder of a Note may not use this Indenture to prejudice the rights of another Holder or to obtain a preference or priority over another 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Trustee will have no duty to determine whether any Holder’s use of this Indenture complies with the preceding sentence.</w:t>
      </w:r>
    </w:p>
    <w:p>
      <w:pPr>
        <w:spacing w:after="0" w:line="20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Section 7.08. ABSOLUTE RIGHT OF HOLDERS TO INSTITUTE SUIT FOR THE ENFORCEMENT OF THE RIGHT TO RECEIVE PAYMENT AND CONVERSION CONSIDERATION.</w:t>
      </w:r>
    </w:p>
    <w:p>
      <w:pPr>
        <w:spacing w:after="0" w:line="162"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 xml:space="preserve">Notwithstanding anything to the contrary in this Indenture or the Notes (but without limiting </w:t>
      </w:r>
      <w:r>
        <w:rPr>
          <w:rFonts w:ascii="Arial" w:cs="Arial" w:eastAsia="Arial" w:hAnsi="Arial"/>
          <w:sz w:val="18"/>
          <w:szCs w:val="18"/>
          <w:b w:val="1"/>
          <w:bCs w:val="1"/>
          <w:color w:val="auto"/>
        </w:rPr>
        <w:t>Section 8.01</w:t>
      </w:r>
      <w:r>
        <w:rPr>
          <w:rFonts w:ascii="Arial" w:cs="Arial" w:eastAsia="Arial" w:hAnsi="Arial"/>
          <w:sz w:val="18"/>
          <w:szCs w:val="18"/>
          <w:color w:val="auto"/>
        </w:rPr>
        <w:t xml:space="preserve">), the right of each Holder of a Note to bring suit for the enforcement of any payment or delivery, as applicable, of the principal of, or the Fundamental Change Repurchase Price for, or any interest on, or the Conversion Consideration due pursuant to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upon conversion of, such Note on or after the respective due dates therefor provided in this Indenture and the Notes, will not be impaired or affected without the consent of such Holder.</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7.09.</w:t>
      </w:r>
      <w:r>
        <w:rPr>
          <w:sz w:val="20"/>
          <w:szCs w:val="20"/>
          <w:color w:val="auto"/>
        </w:rPr>
        <w:tab/>
      </w:r>
      <w:r>
        <w:rPr>
          <w:rFonts w:ascii="Arial" w:cs="Arial" w:eastAsia="Arial" w:hAnsi="Arial"/>
          <w:sz w:val="18"/>
          <w:szCs w:val="18"/>
          <w:b w:val="1"/>
          <w:bCs w:val="1"/>
          <w:color w:val="auto"/>
        </w:rPr>
        <w:t>COLLECTION SUIT BY TRUSTEE.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 xml:space="preserve">The Trustee will have the right, upon the occurrence and continuance of </w:t>
      </w:r>
      <w:r>
        <w:rPr>
          <w:rFonts w:ascii="Arial" w:cs="Arial" w:eastAsia="Arial" w:hAnsi="Arial"/>
          <w:sz w:val="16"/>
          <w:szCs w:val="16"/>
          <w:color w:val="auto"/>
        </w:rPr>
        <w:t>an Event of Default pursuant to</w:t>
      </w:r>
      <w:r>
        <w:rPr>
          <w:rFonts w:ascii="Arial" w:cs="Arial" w:eastAsia="Arial" w:hAnsi="Arial"/>
          <w:sz w:val="17"/>
          <w:szCs w:val="17"/>
          <w:color w:val="auto"/>
        </w:rPr>
        <w:t xml:space="preserve"> </w:t>
      </w:r>
      <w:r>
        <w:rPr>
          <w:rFonts w:ascii="Arial" w:cs="Arial" w:eastAsia="Arial" w:hAnsi="Arial"/>
          <w:sz w:val="17"/>
          <w:szCs w:val="17"/>
          <w:b w:val="1"/>
          <w:bCs w:val="1"/>
          <w:color w:val="auto"/>
        </w:rPr>
        <w:t>clause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or </w:t>
      </w:r>
      <w:r>
        <w:rPr>
          <w:rFonts w:ascii="Arial" w:cs="Arial" w:eastAsia="Arial" w:hAnsi="Arial"/>
          <w:sz w:val="17"/>
          <w:szCs w:val="17"/>
          <w:b w:val="1"/>
          <w:bCs w:val="1"/>
          <w:color w:val="auto"/>
        </w:rPr>
        <w:t>(iv)</w:t>
      </w:r>
      <w:r>
        <w:rPr>
          <w:rFonts w:ascii="Arial" w:cs="Arial" w:eastAsia="Arial" w:hAnsi="Arial"/>
          <w:sz w:val="17"/>
          <w:szCs w:val="17"/>
          <w:color w:val="auto"/>
        </w:rPr>
        <w:t xml:space="preserve"> of </w:t>
      </w:r>
      <w:r>
        <w:rPr>
          <w:rFonts w:ascii="Arial" w:cs="Arial" w:eastAsia="Arial" w:hAnsi="Arial"/>
          <w:sz w:val="17"/>
          <w:szCs w:val="17"/>
          <w:b w:val="1"/>
          <w:bCs w:val="1"/>
          <w:color w:val="auto"/>
        </w:rPr>
        <w:t>Section 7.01(A)</w:t>
      </w:r>
      <w:r>
        <w:rPr>
          <w:rFonts w:ascii="Arial" w:cs="Arial" w:eastAsia="Arial" w:hAnsi="Arial"/>
          <w:sz w:val="17"/>
          <w:szCs w:val="17"/>
          <w:color w:val="auto"/>
        </w:rPr>
        <w:t xml:space="preserve">, to recover judgment in its own name and as trustee of an express trust against the Company for the total unpaid or undelivered principal of, or Fundamental Change Repurchase Price for, or interest on, or Conversion Consideration due pursuant to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upon conversion of, the Notes, as applicable, and, to the extent lawful, any Default Interest on any Defaulted Amounts, and such further amounts sufficient to cover the costs and expenses of collection, including compensation, expenses and indemnities provided for in </w:t>
      </w:r>
      <w:r>
        <w:rPr>
          <w:rFonts w:ascii="Arial" w:cs="Arial" w:eastAsia="Arial" w:hAnsi="Arial"/>
          <w:sz w:val="17"/>
          <w:szCs w:val="17"/>
          <w:b w:val="1"/>
          <w:bCs w:val="1"/>
          <w:color w:val="auto"/>
        </w:rPr>
        <w:t>Section 10.06</w:t>
      </w:r>
      <w:r>
        <w:rPr>
          <w:rFonts w:ascii="Arial" w:cs="Arial" w:eastAsia="Arial" w:hAnsi="Arial"/>
          <w:sz w:val="17"/>
          <w:szCs w:val="17"/>
          <w:color w:val="auto"/>
        </w:rPr>
        <w:t>.</w:t>
      </w:r>
    </w:p>
    <w:p>
      <w:pPr>
        <w:spacing w:after="0" w:line="16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8"/>
          <w:szCs w:val="18"/>
          <w:b w:val="1"/>
          <w:bCs w:val="1"/>
          <w:color w:val="auto"/>
        </w:rPr>
        <w:t>TRUSTEE MAY FILE PROOFS OF CLAIM.</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Arial" w:cs="Arial" w:eastAsia="Arial" w:hAnsi="Arial"/>
          <w:sz w:val="17"/>
          <w:szCs w:val="17"/>
          <w:b w:val="1"/>
          <w:bCs w:val="1"/>
          <w:color w:val="auto"/>
        </w:rPr>
        <w:t>Section 10.06</w:t>
      </w:r>
      <w:r>
        <w:rPr>
          <w:rFonts w:ascii="Arial" w:cs="Arial" w:eastAsia="Arial" w:hAnsi="Arial"/>
          <w:sz w:val="17"/>
          <w:szCs w:val="17"/>
          <w:color w:val="auto"/>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authorize the Trustee to vote in respect of the claim of any Holder in any such proceeding.</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7.11.</w:t>
      </w:r>
      <w:r>
        <w:rPr>
          <w:sz w:val="20"/>
          <w:szCs w:val="20"/>
          <w:color w:val="auto"/>
        </w:rPr>
        <w:tab/>
      </w:r>
      <w:r>
        <w:rPr>
          <w:rFonts w:ascii="Arial" w:cs="Arial" w:eastAsia="Arial" w:hAnsi="Arial"/>
          <w:sz w:val="18"/>
          <w:szCs w:val="18"/>
          <w:b w:val="1"/>
          <w:bCs w:val="1"/>
          <w:color w:val="auto"/>
        </w:rPr>
        <w:t>PRIORITIES.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Trustee will pay or deliver in the following order any money or other property that it collects pursuant to this </w:t>
      </w:r>
      <w:r>
        <w:rPr>
          <w:rFonts w:ascii="Arial" w:cs="Arial" w:eastAsia="Arial" w:hAnsi="Arial"/>
          <w:sz w:val="18"/>
          <w:szCs w:val="18"/>
          <w:b w:val="1"/>
          <w:bCs w:val="1"/>
          <w:color w:val="auto"/>
        </w:rPr>
        <w:t>Article 7</w:t>
      </w:r>
      <w:r>
        <w:rPr>
          <w:rFonts w:ascii="Arial" w:cs="Arial" w:eastAsia="Arial" w:hAnsi="Arial"/>
          <w:sz w:val="18"/>
          <w:szCs w:val="18"/>
          <w:color w:val="auto"/>
        </w:rPr>
        <w:t>:</w:t>
      </w:r>
    </w:p>
    <w:p>
      <w:pPr>
        <w:spacing w:after="0" w:line="225" w:lineRule="exact"/>
        <w:rPr>
          <w:sz w:val="20"/>
          <w:szCs w:val="20"/>
          <w:color w:val="auto"/>
        </w:rPr>
      </w:pPr>
    </w:p>
    <w:p>
      <w:pPr>
        <w:ind w:left="660" w:right="740" w:firstLine="648"/>
        <w:spacing w:after="0" w:line="313" w:lineRule="auto"/>
        <w:rPr>
          <w:sz w:val="20"/>
          <w:szCs w:val="20"/>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Trustee and its agents and attorneys for amounts due under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10.06</w:t>
      </w:r>
      <w:r>
        <w:rPr>
          <w:rFonts w:ascii="Arial" w:cs="Arial" w:eastAsia="Arial" w:hAnsi="Arial"/>
          <w:sz w:val="17"/>
          <w:szCs w:val="17"/>
          <w:color w:val="auto"/>
        </w:rPr>
        <w:t>, including payment of all fees,</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expenses and liabilities incurred, and all advances made, by the Trustee and the costs and expenses of collection;</w:t>
      </w:r>
    </w:p>
    <w:p>
      <w:pPr>
        <w:spacing w:after="0" w:line="142"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unpaid amounts or other property due on the Notes, including the principal of, or the Fundamental Change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18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Company or such other Person as a court of competent jurisdiction directs.</w:t>
      </w:r>
    </w:p>
    <w:p>
      <w:pPr>
        <w:spacing w:after="0" w:line="221" w:lineRule="exact"/>
        <w:rPr>
          <w:sz w:val="20"/>
          <w:szCs w:val="20"/>
          <w:color w:val="auto"/>
        </w:rPr>
      </w:pPr>
    </w:p>
    <w:p>
      <w:pPr>
        <w:ind w:right="360" w:firstLine="648"/>
        <w:spacing w:after="0" w:line="314" w:lineRule="auto"/>
        <w:rPr>
          <w:sz w:val="20"/>
          <w:szCs w:val="20"/>
          <w:color w:val="auto"/>
        </w:rPr>
      </w:pPr>
      <w:r>
        <w:rPr>
          <w:rFonts w:ascii="Arial" w:cs="Arial" w:eastAsia="Arial" w:hAnsi="Arial"/>
          <w:sz w:val="16"/>
          <w:szCs w:val="16"/>
          <w:color w:val="auto"/>
        </w:rPr>
        <w:t xml:space="preserve">The Trustee may fix a record date and payment date for any payment or delivery to the Holders pursuant to this </w:t>
      </w:r>
      <w:r>
        <w:rPr>
          <w:rFonts w:ascii="Arial" w:cs="Arial" w:eastAsia="Arial" w:hAnsi="Arial"/>
          <w:sz w:val="16"/>
          <w:szCs w:val="16"/>
          <w:b w:val="1"/>
          <w:bCs w:val="1"/>
          <w:color w:val="auto"/>
        </w:rPr>
        <w:t>Section 7.11</w:t>
      </w:r>
      <w:r>
        <w:rPr>
          <w:rFonts w:ascii="Arial" w:cs="Arial" w:eastAsia="Arial" w:hAnsi="Arial"/>
          <w:sz w:val="16"/>
          <w:szCs w:val="16"/>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14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7.12.</w:t>
      </w:r>
      <w:r>
        <w:rPr>
          <w:sz w:val="20"/>
          <w:szCs w:val="20"/>
          <w:color w:val="auto"/>
        </w:rPr>
        <w:tab/>
      </w:r>
      <w:r>
        <w:rPr>
          <w:rFonts w:ascii="Arial" w:cs="Arial" w:eastAsia="Arial" w:hAnsi="Arial"/>
          <w:sz w:val="17"/>
          <w:szCs w:val="17"/>
          <w:b w:val="1"/>
          <w:bCs w:val="1"/>
          <w:color w:val="auto"/>
        </w:rPr>
        <w:t>UNDERTAKING FOR COSTS.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w:t>
      </w:r>
      <w:r>
        <w:rPr>
          <w:rFonts w:ascii="Arial" w:cs="Arial" w:eastAsia="Arial" w:hAnsi="Arial"/>
          <w:sz w:val="16"/>
          <w:szCs w:val="16"/>
          <w:b w:val="1"/>
          <w:bCs w:val="1"/>
          <w:color w:val="auto"/>
        </w:rPr>
        <w:t>Section 7.12</w:t>
      </w:r>
      <w:r>
        <w:rPr>
          <w:rFonts w:ascii="Arial" w:cs="Arial" w:eastAsia="Arial" w:hAnsi="Arial"/>
          <w:sz w:val="16"/>
          <w:szCs w:val="16"/>
          <w:color w:val="auto"/>
        </w:rPr>
        <w:t xml:space="preserve"> does not apply to any suit by the Trustee, any suit by a Holder pursuant to </w:t>
      </w:r>
      <w:r>
        <w:rPr>
          <w:rFonts w:ascii="Arial" w:cs="Arial" w:eastAsia="Arial" w:hAnsi="Arial"/>
          <w:sz w:val="16"/>
          <w:szCs w:val="16"/>
          <w:b w:val="1"/>
          <w:bCs w:val="1"/>
          <w:color w:val="auto"/>
        </w:rPr>
        <w:t>Section 7.08</w:t>
      </w:r>
      <w:r>
        <w:rPr>
          <w:rFonts w:ascii="Arial" w:cs="Arial" w:eastAsia="Arial" w:hAnsi="Arial"/>
          <w:sz w:val="16"/>
          <w:szCs w:val="16"/>
          <w:color w:val="auto"/>
        </w:rPr>
        <w:t xml:space="preserve"> or any suit by one or more Holders of more than ten percent (10%) in aggregate principal amount of the Notes then outstanding.</w:t>
      </w:r>
    </w:p>
    <w:p>
      <w:pPr>
        <w:spacing w:after="0" w:line="154" w:lineRule="exact"/>
        <w:rPr>
          <w:sz w:val="20"/>
          <w:szCs w:val="20"/>
          <w:color w:val="auto"/>
        </w:rPr>
      </w:pPr>
    </w:p>
    <w:p>
      <w:pPr>
        <w:ind w:left="3240"/>
        <w:spacing w:after="0"/>
        <w:tabs>
          <w:tab w:leader="none" w:pos="410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AMENDMENTS, SUPPLEMENTS AND WAIVERS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8"/>
          <w:szCs w:val="18"/>
          <w:b w:val="1"/>
          <w:bCs w:val="1"/>
          <w:color w:val="auto"/>
        </w:rPr>
        <w:t>WITHOUT THE CONSENT OF HOLDERS.</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b w:val="1"/>
          <w:bCs w:val="1"/>
          <w:color w:val="auto"/>
        </w:rPr>
        <w:t>Section 8.02</w:t>
      </w:r>
      <w:r>
        <w:rPr>
          <w:rFonts w:ascii="Arial" w:cs="Arial" w:eastAsia="Arial" w:hAnsi="Arial"/>
          <w:sz w:val="18"/>
          <w:szCs w:val="18"/>
          <w:color w:val="auto"/>
        </w:rPr>
        <w:t>, the Company and the Trustee may amend or supplement this Indenture or the Notes without the consent of any Holder to:</w:t>
      </w:r>
    </w:p>
    <w:p>
      <w:pPr>
        <w:spacing w:after="0" w:line="166" w:lineRule="exact"/>
        <w:rPr>
          <w:sz w:val="20"/>
          <w:szCs w:val="20"/>
          <w:color w:val="auto"/>
        </w:rPr>
      </w:pPr>
    </w:p>
    <w:p>
      <w:pPr>
        <w:ind w:left="5620" w:right="4620" w:hanging="4964"/>
        <w:spacing w:after="0" w:line="528" w:lineRule="auto"/>
        <w:tabs>
          <w:tab w:leader="none" w:pos="132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cure any ambiguity or correct any omission, defect or inconsistency in this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Indenture or the Notes;</w:t>
      </w:r>
    </w:p>
    <w:p>
      <w:pPr>
        <w:spacing w:after="0" w:line="225" w:lineRule="exact"/>
        <w:rPr>
          <w:sz w:val="20"/>
          <w:szCs w:val="20"/>
          <w:color w:val="auto"/>
        </w:rPr>
      </w:pPr>
    </w:p>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add guarantees with respect to the Company’s obligations under this Indenture or the Notes;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secure the Notes;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add to the Company’s covenants or Events of Default for the benefit of the Holders or surrender any right or power conferred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6" w:lineRule="exact"/>
        <w:rPr>
          <w:rFonts w:ascii="Arial" w:cs="Arial" w:eastAsia="Arial" w:hAnsi="Arial"/>
          <w:sz w:val="17"/>
          <w:szCs w:val="17"/>
          <w:color w:val="auto"/>
        </w:rPr>
      </w:pPr>
    </w:p>
    <w:p>
      <w:pPr>
        <w:ind w:left="1320" w:hanging="664"/>
        <w:spacing w:after="0"/>
        <w:tabs>
          <w:tab w:leader="none" w:pos="1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provide for the assumption of the Company’s obligations under this Indenture and the Notes pursuant to, and in compliance with, </w:t>
      </w:r>
      <w:r>
        <w:rPr>
          <w:rFonts w:ascii="Arial" w:cs="Arial" w:eastAsia="Arial" w:hAnsi="Arial"/>
          <w:sz w:val="16"/>
          <w:szCs w:val="16"/>
          <w:b w:val="1"/>
          <w:bCs w:val="1"/>
          <w:color w:val="auto"/>
        </w:rPr>
        <w:t>Article 6</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enter into supplemental indentures pursuant to, and in accordance with, </w:t>
      </w:r>
      <w:r>
        <w:rPr>
          <w:rFonts w:ascii="Arial" w:cs="Arial" w:eastAsia="Arial" w:hAnsi="Arial"/>
          <w:sz w:val="16"/>
          <w:szCs w:val="16"/>
          <w:b w:val="1"/>
          <w:bCs w:val="1"/>
          <w:color w:val="auto"/>
        </w:rPr>
        <w:t>Section 5.08</w:t>
      </w:r>
      <w:r>
        <w:rPr>
          <w:rFonts w:ascii="Arial" w:cs="Arial" w:eastAsia="Arial" w:hAnsi="Arial"/>
          <w:sz w:val="16"/>
          <w:szCs w:val="16"/>
          <w:color w:val="auto"/>
        </w:rPr>
        <w:t xml:space="preserve"> in connection with a Common Stock Change Event;</w:t>
      </w:r>
    </w:p>
    <w:p>
      <w:pPr>
        <w:spacing w:after="0" w:line="252" w:lineRule="exact"/>
        <w:rPr>
          <w:rFonts w:ascii="Arial" w:cs="Arial" w:eastAsia="Arial" w:hAnsi="Arial"/>
          <w:sz w:val="16"/>
          <w:szCs w:val="16"/>
          <w:color w:val="auto"/>
        </w:rPr>
      </w:pPr>
    </w:p>
    <w:p>
      <w:pPr>
        <w:ind w:right="100" w:firstLine="656"/>
        <w:spacing w:after="0" w:line="308" w:lineRule="auto"/>
        <w:tabs>
          <w:tab w:leader="none" w:pos="131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irrevocably elect or eliminate any Settlement Method or Specified Dollar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such election or elimination will affect any Settlement Method theretofore elected (or deemed to be elected) with respect to any Note pursuant to </w:t>
      </w:r>
      <w:r>
        <w:rPr>
          <w:rFonts w:ascii="Arial" w:cs="Arial" w:eastAsia="Arial" w:hAnsi="Arial"/>
          <w:sz w:val="17"/>
          <w:szCs w:val="17"/>
          <w:b w:val="1"/>
          <w:bCs w:val="1"/>
          <w:color w:val="auto"/>
        </w:rPr>
        <w:t>Section 5.03(A)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evidence or provide for the acceptance of the appointment, under this Indenture, of a successor Trustee;</w:t>
      </w:r>
    </w:p>
    <w:p>
      <w:pPr>
        <w:spacing w:after="0" w:line="225" w:lineRule="exact"/>
        <w:rPr>
          <w:rFonts w:ascii="Arial" w:cs="Arial" w:eastAsia="Arial" w:hAnsi="Arial"/>
          <w:sz w:val="18"/>
          <w:szCs w:val="18"/>
          <w:color w:val="auto"/>
        </w:rPr>
      </w:pPr>
    </w:p>
    <w:p>
      <w:pPr>
        <w:ind w:right="600" w:firstLine="656"/>
        <w:spacing w:after="0" w:line="308" w:lineRule="auto"/>
        <w:tabs>
          <w:tab w:leader="none" w:pos="13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conform the provisions of this Indenture and the Notes to the “Description of Notes” section of the Company’s preliminary offering memorandum, dated October 28, 2019, as supplemented by the related pricing term sheet, dated October 29 ,2019;</w:t>
      </w:r>
    </w:p>
    <w:p>
      <w:pPr>
        <w:spacing w:after="0" w:line="142" w:lineRule="exact"/>
        <w:rPr>
          <w:rFonts w:ascii="Arial" w:cs="Arial" w:eastAsia="Arial" w:hAnsi="Arial"/>
          <w:sz w:val="17"/>
          <w:szCs w:val="17"/>
          <w:color w:val="auto"/>
        </w:rPr>
      </w:pPr>
    </w:p>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provide for or confirm the issuance of additional Notes pursuant to </w:t>
      </w:r>
      <w:r>
        <w:rPr>
          <w:rFonts w:ascii="Arial" w:cs="Arial" w:eastAsia="Arial" w:hAnsi="Arial"/>
          <w:sz w:val="18"/>
          <w:szCs w:val="18"/>
          <w:b w:val="1"/>
          <w:bCs w:val="1"/>
          <w:color w:val="auto"/>
        </w:rPr>
        <w:t>Section 2.03(B)</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60" w:firstLine="656"/>
        <w:spacing w:after="0" w:line="277" w:lineRule="auto"/>
        <w:tabs>
          <w:tab w:leader="none" w:pos="13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comply with any requirement of the SEC in connection with any qualification of this Indenture or any supplemental indenture under the Trust Indenture Act, as then in effect; or</w:t>
      </w:r>
    </w:p>
    <w:p>
      <w:pPr>
        <w:spacing w:after="0" w:line="170" w:lineRule="exact"/>
        <w:rPr>
          <w:rFonts w:ascii="Arial" w:cs="Arial" w:eastAsia="Arial" w:hAnsi="Arial"/>
          <w:sz w:val="18"/>
          <w:szCs w:val="18"/>
          <w:color w:val="auto"/>
        </w:rPr>
      </w:pPr>
    </w:p>
    <w:p>
      <w:pPr>
        <w:ind w:right="140" w:firstLine="656"/>
        <w:spacing w:after="0" w:line="277" w:lineRule="auto"/>
        <w:tabs>
          <w:tab w:leader="none" w:pos="131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make any other change to this Indenture or the Notes that does not, individually or in the aggregate with all other such changes, adversely affect the rights of the Holders, as such, in any material respect.</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At the written request of any Holder of a Note or owner of a beneficial interest in a Global Note, the Company will provide a copy of the “Description of Notes” section and pricing term sheet referred to in </w:t>
      </w:r>
      <w:r>
        <w:rPr>
          <w:rFonts w:ascii="Arial" w:cs="Arial" w:eastAsia="Arial" w:hAnsi="Arial"/>
          <w:sz w:val="18"/>
          <w:szCs w:val="18"/>
          <w:b w:val="1"/>
          <w:bCs w:val="1"/>
          <w:color w:val="auto"/>
        </w:rPr>
        <w:t>(I)</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8.02.</w:t>
      </w:r>
      <w:r>
        <w:rPr>
          <w:sz w:val="20"/>
          <w:szCs w:val="20"/>
          <w:color w:val="auto"/>
        </w:rPr>
        <w:tab/>
      </w:r>
      <w:r>
        <w:rPr>
          <w:rFonts w:ascii="Arial" w:cs="Arial" w:eastAsia="Arial" w:hAnsi="Arial"/>
          <w:sz w:val="18"/>
          <w:szCs w:val="18"/>
          <w:b w:val="1"/>
          <w:bCs w:val="1"/>
          <w:color w:val="auto"/>
        </w:rPr>
        <w:t>WITH THE CONSENT OF HOLDERS.</w:t>
      </w:r>
    </w:p>
    <w:p>
      <w:pPr>
        <w:spacing w:after="0" w:line="225" w:lineRule="exact"/>
        <w:rPr>
          <w:sz w:val="20"/>
          <w:szCs w:val="20"/>
          <w:color w:val="auto"/>
        </w:rPr>
      </w:pPr>
    </w:p>
    <w:p>
      <w:pPr>
        <w:ind w:right="140" w:firstLine="656"/>
        <w:spacing w:after="0" w:line="266" w:lineRule="auto"/>
        <w:tabs>
          <w:tab w:leader="none" w:pos="1317"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8.01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7.05</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7.08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immediately following sentence, the Company and the Trustee may,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the Holders of a majority in aggregate principal amount of the Notes then outstanding, amend or supplement this Indenture or the Notes or waive compliance with any provision of this Indenture or the Notes.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4" w:name="page75"/>
    <w:bookmarkEnd w:id="74"/>
    <w:p>
      <w:pPr>
        <w:ind w:right="160"/>
        <w:spacing w:after="0" w:line="282" w:lineRule="auto"/>
        <w:rPr>
          <w:sz w:val="20"/>
          <w:szCs w:val="20"/>
          <w:color w:val="auto"/>
        </w:rPr>
      </w:pPr>
      <w:r>
        <w:rPr>
          <w:rFonts w:ascii="Arial" w:cs="Arial" w:eastAsia="Arial" w:hAnsi="Arial"/>
          <w:sz w:val="18"/>
          <w:szCs w:val="18"/>
          <w:color w:val="auto"/>
        </w:rPr>
        <w:t xml:space="preserve">Notwithstanding anything to the contrary in the foregoing sentence, but subject to </w:t>
      </w:r>
      <w:r>
        <w:rPr>
          <w:rFonts w:ascii="Arial" w:cs="Arial" w:eastAsia="Arial" w:hAnsi="Arial"/>
          <w:sz w:val="18"/>
          <w:szCs w:val="18"/>
          <w:b w:val="1"/>
          <w:bCs w:val="1"/>
          <w:color w:val="auto"/>
        </w:rPr>
        <w:t>Section 8.01</w:t>
      </w:r>
      <w:r>
        <w:rPr>
          <w:rFonts w:ascii="Arial" w:cs="Arial" w:eastAsia="Arial" w:hAnsi="Arial"/>
          <w:sz w:val="18"/>
          <w:szCs w:val="18"/>
          <w:color w:val="auto"/>
        </w:rPr>
        <w:t>, without the consent of each affected Holder, no amendment or supplement to this Indenture or the Notes, or waiver of any provision of this Indenture or the Notes, may:</w:t>
      </w:r>
    </w:p>
    <w:p>
      <w:pPr>
        <w:spacing w:after="0" w:line="166" w:lineRule="exact"/>
        <w:rPr>
          <w:sz w:val="20"/>
          <w:szCs w:val="20"/>
          <w:color w:val="auto"/>
        </w:rPr>
      </w:pPr>
    </w:p>
    <w:p>
      <w:pPr>
        <w:ind w:left="1920" w:hanging="615"/>
        <w:spacing w:after="0"/>
        <w:tabs>
          <w:tab w:leader="none" w:pos="1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reduce the principal, or extend the stated maturity, of any Note;</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198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reduce the Fundamental Change Repurchase Price for any Note or change the times at which, or the circumstances under which, the Notes will be repurchased by the Company;</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reduce the rate, or extend the time for the payment, of interest on any Note;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w:t>
      </w:r>
    </w:p>
    <w:p>
      <w:pPr>
        <w:spacing w:after="0" w:line="221" w:lineRule="exact"/>
        <w:rPr>
          <w:rFonts w:ascii="Arial" w:cs="Arial" w:eastAsia="Arial" w:hAnsi="Arial"/>
          <w:sz w:val="18"/>
          <w:szCs w:val="18"/>
          <w:color w:val="auto"/>
        </w:rPr>
      </w:pPr>
    </w:p>
    <w:p>
      <w:pPr>
        <w:ind w:left="1960" w:hanging="65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impair the rights of any Holder set forth in </w:t>
      </w:r>
      <w:r>
        <w:rPr>
          <w:rFonts w:ascii="Arial" w:cs="Arial" w:eastAsia="Arial" w:hAnsi="Arial"/>
          <w:sz w:val="18"/>
          <w:szCs w:val="18"/>
          <w:b w:val="1"/>
          <w:bCs w:val="1"/>
          <w:color w:val="auto"/>
        </w:rPr>
        <w:t>Section 7.08</w:t>
      </w:r>
      <w:r>
        <w:rPr>
          <w:rFonts w:ascii="Arial" w:cs="Arial" w:eastAsia="Arial" w:hAnsi="Arial"/>
          <w:sz w:val="18"/>
          <w:szCs w:val="18"/>
          <w:color w:val="auto"/>
        </w:rPr>
        <w:t xml:space="preserve"> (as such section is in effect on the Issue Date);</w:t>
      </w:r>
    </w:p>
    <w:p>
      <w:pPr>
        <w:spacing w:after="0" w:line="229" w:lineRule="exact"/>
        <w:rPr>
          <w:rFonts w:ascii="Arial" w:cs="Arial" w:eastAsia="Arial" w:hAnsi="Arial"/>
          <w:sz w:val="18"/>
          <w:szCs w:val="18"/>
          <w:color w:val="auto"/>
        </w:rPr>
      </w:pPr>
    </w:p>
    <w:p>
      <w:pPr>
        <w:ind w:left="1960" w:hanging="65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any Note payable in money, or at a place of payment, other than that stated in this Indenture or the Note;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reduce the amount of Notes whose Holders must consent to any amendment, supplement, waiver or other modification; or</w:t>
      </w:r>
    </w:p>
    <w:p>
      <w:pPr>
        <w:spacing w:after="0" w:line="236" w:lineRule="exact"/>
        <w:rPr>
          <w:rFonts w:ascii="Arial" w:cs="Arial" w:eastAsia="Arial" w:hAnsi="Arial"/>
          <w:sz w:val="17"/>
          <w:szCs w:val="17"/>
          <w:color w:val="auto"/>
        </w:rPr>
      </w:pPr>
    </w:p>
    <w:p>
      <w:pPr>
        <w:ind w:left="660" w:right="20" w:firstLine="645"/>
        <w:spacing w:after="0" w:line="277" w:lineRule="auto"/>
        <w:tabs>
          <w:tab w:leader="none" w:pos="197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any direct or indirect change to any amendment, supplement, waiver or modification provision of this Indenture or the Notes that requires the consent of each affected Holder.</w:t>
      </w:r>
    </w:p>
    <w:p>
      <w:pPr>
        <w:spacing w:after="0" w:line="16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 xml:space="preserve">For the avoidance of doubt, pursuant to </w:t>
      </w:r>
      <w:r>
        <w:rPr>
          <w:rFonts w:ascii="Arial" w:cs="Arial" w:eastAsia="Arial" w:hAnsi="Arial"/>
          <w:sz w:val="18"/>
          <w:szCs w:val="18"/>
          <w:b w:val="1"/>
          <w:bCs w:val="1"/>
          <w:color w:val="auto"/>
        </w:rPr>
        <w:t>clauses (i)</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xml:space="preserve">, </w:t>
      </w:r>
      <w:r>
        <w:rPr>
          <w:rFonts w:ascii="Arial" w:cs="Arial" w:eastAsia="Arial" w:hAnsi="Arial"/>
          <w:sz w:val="18"/>
          <w:szCs w:val="18"/>
          <w:b w:val="1"/>
          <w:bCs w:val="1"/>
          <w:color w:val="auto"/>
        </w:rPr>
        <w:t>(iii)</w:t>
      </w:r>
      <w:r>
        <w:rPr>
          <w:rFonts w:ascii="Arial" w:cs="Arial" w:eastAsia="Arial" w:hAnsi="Arial"/>
          <w:sz w:val="18"/>
          <w:szCs w:val="18"/>
          <w:color w:val="auto"/>
        </w:rPr>
        <w:t xml:space="preserve"> and </w:t>
      </w:r>
      <w:r>
        <w:rPr>
          <w:rFonts w:ascii="Arial" w:cs="Arial" w:eastAsia="Arial" w:hAnsi="Arial"/>
          <w:sz w:val="18"/>
          <w:szCs w:val="18"/>
          <w:b w:val="1"/>
          <w:bCs w:val="1"/>
          <w:color w:val="auto"/>
        </w:rPr>
        <w:t>(iv)</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8.02(A)</w:t>
      </w:r>
      <w:r>
        <w:rPr>
          <w:rFonts w:ascii="Arial" w:cs="Arial" w:eastAsia="Arial" w:hAnsi="Arial"/>
          <w:sz w:val="18"/>
          <w:szCs w:val="18"/>
          <w:color w:val="auto"/>
        </w:rPr>
        <w:t>, no amendment or supplement to this Indenture or the Notes, or waiver of any provision of this Indenture or the Notes, may change the amount or type of consideration due on any Note (whether on an Interest Payment Date, Fundamental Change Repurchase Date or the Maturity Date or upon conversion, or otherwise), or the date(s) or time(s) such consideration is payable or deliverable, as applicable, without the consent of each affected Holder.</w:t>
      </w:r>
    </w:p>
    <w:p>
      <w:pPr>
        <w:spacing w:after="0" w:line="180" w:lineRule="exact"/>
        <w:rPr>
          <w:sz w:val="20"/>
          <w:szCs w:val="20"/>
          <w:color w:val="auto"/>
        </w:rPr>
      </w:pPr>
    </w:p>
    <w:p>
      <w:pPr>
        <w:ind w:right="220" w:firstLine="656"/>
        <w:spacing w:after="0" w:line="282" w:lineRule="auto"/>
        <w:tabs>
          <w:tab w:leader="none" w:pos="1307"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Holders Need Not Approve the Particular Form of any Amendment</w:t>
      </w:r>
      <w:r>
        <w:rPr>
          <w:rFonts w:ascii="Arial" w:cs="Arial" w:eastAsia="Arial" w:hAnsi="Arial"/>
          <w:sz w:val="18"/>
          <w:szCs w:val="18"/>
          <w:color w:val="auto"/>
        </w:rPr>
        <w:t>. A consent of any Holder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8.02</w:t>
      </w:r>
      <w:r>
        <w:rPr>
          <w:rFonts w:ascii="Arial" w:cs="Arial" w:eastAsia="Arial" w:hAnsi="Arial"/>
          <w:sz w:val="18"/>
          <w:szCs w:val="18"/>
          <w:i w:val="1"/>
          <w:iCs w:val="1"/>
          <w:color w:val="auto"/>
        </w:rPr>
        <w:t xml:space="preserve"> </w:t>
      </w:r>
      <w:r>
        <w:rPr>
          <w:rFonts w:ascii="Arial" w:cs="Arial" w:eastAsia="Arial" w:hAnsi="Arial"/>
          <w:sz w:val="18"/>
          <w:szCs w:val="18"/>
          <w:color w:val="auto"/>
        </w:rPr>
        <w:t>need approve</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substance, and not necessarily the particular form, of the proposed amendment, supplement or waiver.</w:t>
      </w:r>
    </w:p>
    <w:p>
      <w:pPr>
        <w:spacing w:after="0" w:line="16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8.03.</w:t>
      </w:r>
      <w:r>
        <w:rPr>
          <w:sz w:val="20"/>
          <w:szCs w:val="20"/>
          <w:color w:val="auto"/>
        </w:rPr>
        <w:tab/>
      </w:r>
      <w:r>
        <w:rPr>
          <w:rFonts w:ascii="Arial" w:cs="Arial" w:eastAsia="Arial" w:hAnsi="Arial"/>
          <w:sz w:val="17"/>
          <w:szCs w:val="17"/>
          <w:b w:val="1"/>
          <w:bCs w:val="1"/>
          <w:color w:val="auto"/>
        </w:rPr>
        <w:t>NOTICE OF AMENDMENTS, SUPPLEMENTS AND WAIVERS.</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As soon as reasonably practicable after any amendment, supplement or waiver pursuant to </w:t>
      </w:r>
      <w:r>
        <w:rPr>
          <w:rFonts w:ascii="Arial" w:cs="Arial" w:eastAsia="Arial" w:hAnsi="Arial"/>
          <w:sz w:val="18"/>
          <w:szCs w:val="18"/>
          <w:b w:val="1"/>
          <w:bCs w:val="1"/>
          <w:color w:val="auto"/>
        </w:rPr>
        <w:t>Section 8.01</w:t>
      </w:r>
      <w:r>
        <w:rPr>
          <w:rFonts w:ascii="Arial" w:cs="Arial" w:eastAsia="Arial" w:hAnsi="Arial"/>
          <w:sz w:val="18"/>
          <w:szCs w:val="18"/>
          <w:color w:val="auto"/>
        </w:rPr>
        <w:t xml:space="preserve"> or </w:t>
      </w:r>
      <w:r>
        <w:rPr>
          <w:rFonts w:ascii="Arial" w:cs="Arial" w:eastAsia="Arial" w:hAnsi="Arial"/>
          <w:sz w:val="18"/>
          <w:szCs w:val="18"/>
          <w:b w:val="1"/>
          <w:bCs w:val="1"/>
          <w:color w:val="auto"/>
        </w:rPr>
        <w:t>8.02</w:t>
      </w:r>
      <w:r>
        <w:rPr>
          <w:rFonts w:ascii="Arial" w:cs="Arial" w:eastAsia="Arial" w:hAnsi="Arial"/>
          <w:sz w:val="18"/>
          <w:szCs w:val="18"/>
          <w:color w:val="auto"/>
        </w:rPr>
        <w:t xml:space="preserve"> becomes effective, the Company will send to the Holders and the Trustee notice that (A) describes the substance of such amendment, supplement or waiver in reasonable detail and (B) states the effective date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will not be required to provide such notice to the Holders if such amendment, supplement or waiver 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5" w:name="page76"/>
    <w:bookmarkEnd w:id="75"/>
    <w:p>
      <w:pPr>
        <w:ind w:right="240"/>
        <w:spacing w:after="0" w:line="277" w:lineRule="auto"/>
        <w:rPr>
          <w:sz w:val="20"/>
          <w:szCs w:val="20"/>
          <w:color w:val="auto"/>
        </w:rPr>
      </w:pPr>
      <w:r>
        <w:rPr>
          <w:rFonts w:ascii="Arial" w:cs="Arial" w:eastAsia="Arial" w:hAnsi="Arial"/>
          <w:sz w:val="18"/>
          <w:szCs w:val="18"/>
          <w:color w:val="auto"/>
        </w:rPr>
        <w:t>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8.04. REVOCATION, EFFECT AND SOLICITATION OF CONSENTS; SPECIAL RECORD DATES; ETC.</w:t>
      </w:r>
    </w:p>
    <w:p>
      <w:pPr>
        <w:spacing w:after="0" w:line="229" w:lineRule="exact"/>
        <w:rPr>
          <w:sz w:val="20"/>
          <w:szCs w:val="20"/>
          <w:color w:val="auto"/>
        </w:rPr>
      </w:pPr>
    </w:p>
    <w:p>
      <w:pPr>
        <w:ind w:firstLine="656"/>
        <w:spacing w:after="0" w:line="279" w:lineRule="auto"/>
        <w:tabs>
          <w:tab w:leader="none" w:pos="1317"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The consent of a Holder of a Note to an amendment, supplement or waiver will bind (and constitute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consent of) each subsequent Holder of any Note to the extent the same evidences any portion of the same indebtedness as the consenting Holder’s Note, subject to the right of any Holder of a Note to revoke (if not prohibited pursuant to </w:t>
      </w:r>
      <w:r>
        <w:rPr>
          <w:rFonts w:ascii="Arial" w:cs="Arial" w:eastAsia="Arial" w:hAnsi="Arial"/>
          <w:sz w:val="17"/>
          <w:szCs w:val="17"/>
          <w:b w:val="1"/>
          <w:bCs w:val="1"/>
          <w:color w:val="auto"/>
        </w:rPr>
        <w:t>Section 8.04(B)</w:t>
      </w:r>
      <w:r>
        <w:rPr>
          <w:rFonts w:ascii="Arial" w:cs="Arial" w:eastAsia="Arial" w:hAnsi="Arial"/>
          <w:sz w:val="17"/>
          <w:szCs w:val="17"/>
          <w:color w:val="auto"/>
        </w:rPr>
        <w:t>) any such consent with respect to such Note by delivering notice of revocation to the Trustee before the time such amendment, supplement or waiver becomes effective.</w:t>
      </w:r>
    </w:p>
    <w:p>
      <w:pPr>
        <w:spacing w:after="0" w:line="171" w:lineRule="exact"/>
        <w:rPr>
          <w:rFonts w:ascii="Arial" w:cs="Arial" w:eastAsia="Arial" w:hAnsi="Arial"/>
          <w:sz w:val="17"/>
          <w:szCs w:val="17"/>
          <w:color w:val="auto"/>
        </w:rPr>
      </w:pPr>
    </w:p>
    <w:p>
      <w:pPr>
        <w:ind w:right="20" w:firstLine="656"/>
        <w:spacing w:after="0" w:line="255" w:lineRule="auto"/>
        <w:tabs>
          <w:tab w:leader="none" w:pos="1307"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Special Record Dates</w:t>
      </w:r>
      <w:r>
        <w:rPr>
          <w:rFonts w:ascii="Arial" w:cs="Arial" w:eastAsia="Arial" w:hAnsi="Arial"/>
          <w:sz w:val="18"/>
          <w:szCs w:val="18"/>
          <w:color w:val="auto"/>
        </w:rPr>
        <w:t>. The Company may, but is not required to, fix a record date for the purpose of determining the Holders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consent or take any other action in connection with any amendment, supplement or waiver pursuant to this </w:t>
      </w:r>
      <w:r>
        <w:rPr>
          <w:rFonts w:ascii="Arial" w:cs="Arial" w:eastAsia="Arial" w:hAnsi="Arial"/>
          <w:sz w:val="18"/>
          <w:szCs w:val="18"/>
          <w:b w:val="1"/>
          <w:bCs w:val="1"/>
          <w:color w:val="auto"/>
        </w:rPr>
        <w:t>Article 8</w:t>
      </w:r>
      <w:r>
        <w:rPr>
          <w:rFonts w:ascii="Arial" w:cs="Arial" w:eastAsia="Arial" w:hAnsi="Arial"/>
          <w:sz w:val="18"/>
          <w:szCs w:val="18"/>
          <w:color w:val="auto"/>
        </w:rPr>
        <w:t xml:space="preserve">. If a record date is fixed, then, notwithstanding anything to the contrary in </w:t>
      </w:r>
      <w:r>
        <w:rPr>
          <w:rFonts w:ascii="Arial" w:cs="Arial" w:eastAsia="Arial" w:hAnsi="Arial"/>
          <w:sz w:val="18"/>
          <w:szCs w:val="18"/>
          <w:b w:val="1"/>
          <w:bCs w:val="1"/>
          <w:color w:val="auto"/>
        </w:rPr>
        <w:t>Section 8.04(A)</w:t>
      </w:r>
      <w:r>
        <w:rPr>
          <w:rFonts w:ascii="Arial" w:cs="Arial" w:eastAsia="Arial" w:hAnsi="Arial"/>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consent will be valid or effective for more than one hundred and twenty (120) calendar days after such record date.</w:t>
      </w:r>
    </w:p>
    <w:p>
      <w:pPr>
        <w:spacing w:after="0" w:line="193" w:lineRule="exact"/>
        <w:rPr>
          <w:rFonts w:ascii="Arial" w:cs="Arial" w:eastAsia="Arial" w:hAnsi="Arial"/>
          <w:sz w:val="18"/>
          <w:szCs w:val="18"/>
          <w:color w:val="auto"/>
        </w:rPr>
      </w:pPr>
    </w:p>
    <w:p>
      <w:pPr>
        <w:ind w:right="560" w:firstLine="656"/>
        <w:spacing w:after="0" w:line="308" w:lineRule="auto"/>
        <w:tabs>
          <w:tab w:leader="none" w:pos="1307"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Solicitation of Consents</w:t>
      </w:r>
      <w:r>
        <w:rPr>
          <w:rFonts w:ascii="Arial" w:cs="Arial" w:eastAsia="Arial" w:hAnsi="Arial"/>
          <w:sz w:val="17"/>
          <w:szCs w:val="17"/>
          <w:color w:val="auto"/>
        </w:rPr>
        <w:t>. For the avoidance of doubt, each reference in this Indenture or the Notes to the consent of a Holder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include any such consent obtained in connection with a repurchase of, or tender or exchange offer for, any Notes.</w:t>
      </w:r>
    </w:p>
    <w:p>
      <w:pPr>
        <w:spacing w:after="0" w:line="142" w:lineRule="exact"/>
        <w:rPr>
          <w:rFonts w:ascii="Arial" w:cs="Arial" w:eastAsia="Arial" w:hAnsi="Arial"/>
          <w:sz w:val="17"/>
          <w:szCs w:val="17"/>
          <w:color w:val="auto"/>
        </w:rPr>
      </w:pPr>
    </w:p>
    <w:p>
      <w:pPr>
        <w:ind w:right="200" w:firstLine="656"/>
        <w:spacing w:after="0" w:line="266" w:lineRule="auto"/>
        <w:tabs>
          <w:tab w:leader="none" w:pos="1317"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Effectiveness and Binding Effect</w:t>
      </w:r>
      <w:r>
        <w:rPr>
          <w:rFonts w:ascii="Arial" w:cs="Arial" w:eastAsia="Arial" w:hAnsi="Arial"/>
          <w:sz w:val="18"/>
          <w:szCs w:val="18"/>
          <w:color w:val="auto"/>
        </w:rPr>
        <w:t>. Each amendment, supplement or waiver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8</w:t>
      </w:r>
      <w:r>
        <w:rPr>
          <w:rFonts w:ascii="Arial" w:cs="Arial" w:eastAsia="Arial" w:hAnsi="Arial"/>
          <w:sz w:val="18"/>
          <w:szCs w:val="18"/>
          <w:i w:val="1"/>
          <w:iCs w:val="1"/>
          <w:color w:val="auto"/>
        </w:rPr>
        <w:t xml:space="preserve"> </w:t>
      </w:r>
      <w:r>
        <w:rPr>
          <w:rFonts w:ascii="Arial" w:cs="Arial" w:eastAsia="Arial" w:hAnsi="Arial"/>
          <w:sz w:val="18"/>
          <w:szCs w:val="18"/>
          <w:color w:val="auto"/>
        </w:rPr>
        <w:t>will become effective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terms and, when it becomes effective with respect to any Note (or any portion thereof), will thereafter bind every Holder of such Note (or such portion).</w:t>
      </w:r>
    </w:p>
    <w:p>
      <w:pPr>
        <w:spacing w:after="0" w:line="17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8.05.</w:t>
      </w:r>
      <w:r>
        <w:rPr>
          <w:sz w:val="20"/>
          <w:szCs w:val="20"/>
          <w:color w:val="auto"/>
        </w:rPr>
        <w:tab/>
      </w:r>
      <w:r>
        <w:rPr>
          <w:rFonts w:ascii="Arial" w:cs="Arial" w:eastAsia="Arial" w:hAnsi="Arial"/>
          <w:sz w:val="17"/>
          <w:szCs w:val="17"/>
          <w:b w:val="1"/>
          <w:bCs w:val="1"/>
          <w:color w:val="auto"/>
        </w:rPr>
        <w:t>NOTATIONS AND EXCHANGES.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If any amendment, supplement or waiver changes the terms of a Note, then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a new Note that reflects the changed terms. The f</w:t>
      </w:r>
      <w:r>
        <w:rPr>
          <w:rFonts w:ascii="Arial" w:cs="Arial" w:eastAsia="Arial" w:hAnsi="Arial"/>
          <w:sz w:val="16"/>
          <w:szCs w:val="16"/>
          <w:color w:val="auto"/>
        </w:rPr>
        <w:t>ailure to make any appropriate notation or issue a new Note pursuant to</w:t>
      </w:r>
      <w:r>
        <w:rPr>
          <w:rFonts w:ascii="Arial" w:cs="Arial" w:eastAsia="Arial" w:hAnsi="Arial"/>
          <w:sz w:val="17"/>
          <w:szCs w:val="17"/>
          <w:color w:val="auto"/>
        </w:rPr>
        <w:t xml:space="preserve"> </w:t>
      </w:r>
      <w:r>
        <w:rPr>
          <w:rFonts w:ascii="Arial" w:cs="Arial" w:eastAsia="Arial" w:hAnsi="Arial"/>
          <w:sz w:val="16"/>
          <w:szCs w:val="16"/>
          <w:color w:val="auto"/>
        </w:rPr>
        <w:t xml:space="preserve">this </w:t>
      </w:r>
      <w:r>
        <w:rPr>
          <w:rFonts w:ascii="Arial" w:cs="Arial" w:eastAsia="Arial" w:hAnsi="Arial"/>
          <w:sz w:val="16"/>
          <w:szCs w:val="16"/>
          <w:b w:val="1"/>
          <w:bCs w:val="1"/>
          <w:color w:val="auto"/>
        </w:rPr>
        <w:t>Section 8.05</w:t>
      </w:r>
      <w:r>
        <w:rPr>
          <w:rFonts w:ascii="Arial" w:cs="Arial" w:eastAsia="Arial" w:hAnsi="Arial"/>
          <w:sz w:val="16"/>
          <w:szCs w:val="16"/>
          <w:color w:val="auto"/>
        </w:rPr>
        <w:t xml:space="preserve"> will not </w:t>
      </w:r>
      <w:r>
        <w:rPr>
          <w:rFonts w:ascii="Arial" w:cs="Arial" w:eastAsia="Arial" w:hAnsi="Arial"/>
          <w:sz w:val="17"/>
          <w:szCs w:val="17"/>
          <w:color w:val="auto"/>
        </w:rPr>
        <w:t>impair or affect the validity of such amendment, supplement or waiver.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spacing w:after="0"/>
        <w:tabs>
          <w:tab w:leader="none" w:pos="1300" w:val="left"/>
        </w:tabs>
        <w:rPr>
          <w:sz w:val="20"/>
          <w:szCs w:val="20"/>
          <w:color w:val="auto"/>
        </w:rPr>
      </w:pPr>
      <w:r>
        <w:rPr>
          <w:rFonts w:ascii="Arial" w:cs="Arial" w:eastAsia="Arial" w:hAnsi="Arial"/>
          <w:sz w:val="18"/>
          <w:szCs w:val="18"/>
          <w:b w:val="1"/>
          <w:bCs w:val="1"/>
          <w:color w:val="auto"/>
        </w:rPr>
        <w:t>Section 8.06.</w:t>
      </w:r>
      <w:r>
        <w:rPr>
          <w:sz w:val="20"/>
          <w:szCs w:val="20"/>
          <w:color w:val="auto"/>
        </w:rPr>
        <w:tab/>
      </w:r>
      <w:r>
        <w:rPr>
          <w:rFonts w:ascii="Arial" w:cs="Arial" w:eastAsia="Arial" w:hAnsi="Arial"/>
          <w:sz w:val="17"/>
          <w:szCs w:val="17"/>
          <w:b w:val="1"/>
          <w:bCs w:val="1"/>
          <w:color w:val="auto"/>
        </w:rPr>
        <w:t>TRUSTEE TO EXECUTE SUPPLEMENTAL INDENTURES.</w:t>
      </w:r>
    </w:p>
    <w:p>
      <w:pPr>
        <w:spacing w:after="0" w:line="225"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 xml:space="preserve">The Trustee will execute and deliver any amendment or supplemental indenture authorized pursuant to this </w:t>
      </w:r>
      <w:r>
        <w:rPr>
          <w:rFonts w:ascii="Arial" w:cs="Arial" w:eastAsia="Arial" w:hAnsi="Arial"/>
          <w:sz w:val="17"/>
          <w:szCs w:val="17"/>
          <w:b w:val="1"/>
          <w:bCs w:val="1"/>
          <w:color w:val="auto"/>
        </w:rPr>
        <w:t>Article 8</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Arial" w:cs="Arial" w:eastAsia="Arial" w:hAnsi="Arial"/>
          <w:sz w:val="17"/>
          <w:szCs w:val="17"/>
          <w:b w:val="1"/>
          <w:bCs w:val="1"/>
          <w:color w:val="auto"/>
        </w:rPr>
        <w:t>Sections 10.01</w:t>
      </w:r>
      <w:r>
        <w:rPr>
          <w:rFonts w:ascii="Arial" w:cs="Arial" w:eastAsia="Arial" w:hAnsi="Arial"/>
          <w:sz w:val="17"/>
          <w:szCs w:val="17"/>
          <w:color w:val="auto"/>
        </w:rPr>
        <w:t xml:space="preserve"> and </w:t>
      </w:r>
      <w:r>
        <w:rPr>
          <w:rFonts w:ascii="Arial" w:cs="Arial" w:eastAsia="Arial" w:hAnsi="Arial"/>
          <w:sz w:val="17"/>
          <w:szCs w:val="17"/>
          <w:b w:val="1"/>
          <w:bCs w:val="1"/>
          <w:color w:val="auto"/>
        </w:rPr>
        <w:t>10.02</w:t>
      </w:r>
      <w:r>
        <w:rPr>
          <w:rFonts w:ascii="Arial" w:cs="Arial" w:eastAsia="Arial" w:hAnsi="Arial"/>
          <w:sz w:val="17"/>
          <w:szCs w:val="17"/>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174" w:lineRule="exact"/>
        <w:rPr>
          <w:sz w:val="20"/>
          <w:szCs w:val="20"/>
          <w:color w:val="auto"/>
        </w:rPr>
      </w:pPr>
    </w:p>
    <w:p>
      <w:pPr>
        <w:ind w:left="3820"/>
        <w:spacing w:after="0"/>
        <w:tabs>
          <w:tab w:leader="none" w:pos="470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SATISFACTION AND DISCHARGE</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8"/>
          <w:szCs w:val="18"/>
          <w:b w:val="1"/>
          <w:bCs w:val="1"/>
          <w:color w:val="auto"/>
        </w:rPr>
        <w:t>TERMINATION OF COMPANY’S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ind w:left="1320" w:hanging="664"/>
        <w:spacing w:after="0"/>
        <w:tabs>
          <w:tab w:leader="none" w:pos="13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all Notes then outstanding (other than Notes replaced pursuant to </w:t>
      </w:r>
      <w:r>
        <w:rPr>
          <w:rFonts w:ascii="Arial" w:cs="Arial" w:eastAsia="Arial" w:hAnsi="Arial"/>
          <w:sz w:val="16"/>
          <w:szCs w:val="16"/>
          <w:b w:val="1"/>
          <w:bCs w:val="1"/>
          <w:color w:val="auto"/>
        </w:rPr>
        <w:t>Section 2.13</w:t>
      </w:r>
      <w:r>
        <w:rPr>
          <w:rFonts w:ascii="Arial" w:cs="Arial" w:eastAsia="Arial" w:hAnsi="Arial"/>
          <w:sz w:val="16"/>
          <w:szCs w:val="16"/>
          <w:color w:val="auto"/>
        </w:rPr>
        <w:t>) have (i) been delivered to the Trustee for cancellation; or</w:t>
      </w:r>
    </w:p>
    <w:p>
      <w:pPr>
        <w:spacing w:after="0" w:line="50" w:lineRule="exact"/>
        <w:rPr>
          <w:rFonts w:ascii="Arial" w:cs="Arial" w:eastAsia="Arial" w:hAnsi="Arial"/>
          <w:sz w:val="16"/>
          <w:szCs w:val="16"/>
          <w:color w:val="auto"/>
        </w:rPr>
      </w:pPr>
    </w:p>
    <w:p>
      <w:pPr>
        <w:ind w:firstLine="8"/>
        <w:spacing w:after="0" w:line="261" w:lineRule="auto"/>
        <w:tabs>
          <w:tab w:leader="none" w:pos="2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become due and payable (whether on a Fundamental Change Repurchase Date, the Maturity Date, upon conversion or otherwise) for an amount of cash or Conversion Consideration, as applicable, that has been fixed;</w:t>
      </w:r>
    </w:p>
    <w:p>
      <w:pPr>
        <w:spacing w:after="0" w:line="183" w:lineRule="exact"/>
        <w:rPr>
          <w:rFonts w:ascii="Arial" w:cs="Arial" w:eastAsia="Arial" w:hAnsi="Arial"/>
          <w:sz w:val="18"/>
          <w:szCs w:val="18"/>
          <w:color w:val="auto"/>
        </w:rPr>
      </w:pPr>
    </w:p>
    <w:p>
      <w:pPr>
        <w:ind w:right="100" w:firstLine="656"/>
        <w:spacing w:after="0" w:line="259" w:lineRule="auto"/>
        <w:tabs>
          <w:tab w:leader="none" w:pos="130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Arial" w:cs="Arial" w:eastAsia="Arial" w:hAnsi="Arial"/>
          <w:sz w:val="18"/>
          <w:szCs w:val="18"/>
          <w:b w:val="1"/>
          <w:bCs w:val="1"/>
          <w:color w:val="auto"/>
        </w:rPr>
        <w:t>Section 2.13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has paid all other amounts payable by it under this Indenture; and</w:t>
      </w:r>
    </w:p>
    <w:p>
      <w:pPr>
        <w:spacing w:after="0" w:line="225" w:lineRule="exact"/>
        <w:rPr>
          <w:rFonts w:ascii="Arial" w:cs="Arial" w:eastAsia="Arial" w:hAnsi="Arial"/>
          <w:sz w:val="18"/>
          <w:szCs w:val="18"/>
          <w:color w:val="auto"/>
        </w:rPr>
      </w:pPr>
    </w:p>
    <w:p>
      <w:pPr>
        <w:ind w:right="140" w:firstLine="656"/>
        <w:spacing w:after="0" w:line="277" w:lineRule="auto"/>
        <w:tabs>
          <w:tab w:leader="none" w:pos="131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the conditions precedent to the discharge of this Indenture have been satisfied;</w:t>
      </w:r>
    </w:p>
    <w:p>
      <w:pPr>
        <w:spacing w:after="0" w:line="16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Article 10</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11.01</w:t>
      </w:r>
      <w:r>
        <w:rPr>
          <w:rFonts w:ascii="Arial" w:cs="Arial" w:eastAsia="Arial" w:hAnsi="Arial"/>
          <w:sz w:val="16"/>
          <w:szCs w:val="16"/>
          <w:i w:val="1"/>
          <w:iCs w:val="1"/>
          <w:color w:val="auto"/>
        </w:rPr>
        <w:t xml:space="preserve"> </w:t>
      </w:r>
      <w:r>
        <w:rPr>
          <w:rFonts w:ascii="Arial" w:cs="Arial" w:eastAsia="Arial" w:hAnsi="Arial"/>
          <w:sz w:val="16"/>
          <w:szCs w:val="16"/>
          <w:color w:val="auto"/>
        </w:rPr>
        <w:t>will survive such discharge and, until no Notes remain outstanding,</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2.15</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obligations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Trustee, the Paying Agent and the Conversion Agent with respect to money or other property deposited with them will survive such discharge.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Company’s request, the Trustee will acknowledge the satisfaction and discharge of this Indenture.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7" w:name="page78"/>
    <w:bookmarkEnd w:id="77"/>
    <w:p>
      <w:pPr>
        <w:spacing w:after="0"/>
        <w:tabs>
          <w:tab w:leader="none" w:pos="130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7"/>
          <w:szCs w:val="17"/>
          <w:b w:val="1"/>
          <w:bCs w:val="1"/>
          <w:color w:val="auto"/>
        </w:rPr>
        <w:t>REPAYMENT TO COMPANY.</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9.03.</w:t>
      </w:r>
      <w:r>
        <w:rPr>
          <w:sz w:val="20"/>
          <w:szCs w:val="20"/>
          <w:color w:val="auto"/>
        </w:rPr>
        <w:tab/>
      </w:r>
      <w:r>
        <w:rPr>
          <w:rFonts w:ascii="Arial" w:cs="Arial" w:eastAsia="Arial" w:hAnsi="Arial"/>
          <w:sz w:val="17"/>
          <w:szCs w:val="17"/>
          <w:b w:val="1"/>
          <w:bCs w:val="1"/>
          <w:color w:val="auto"/>
        </w:rPr>
        <w:t>REINSTATEMENT.</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If the Trustee, the Paying Agent or the Conversion Agent is unable to apply any cash or other property deposited with it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will be rescinded;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15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10.01. DUTIES OF THE TRUSTEE.</w:t>
      </w:r>
    </w:p>
    <w:p>
      <w:pPr>
        <w:spacing w:after="0" w:line="229" w:lineRule="exact"/>
        <w:rPr>
          <w:sz w:val="20"/>
          <w:szCs w:val="20"/>
          <w:color w:val="auto"/>
        </w:rPr>
      </w:pPr>
    </w:p>
    <w:p>
      <w:pPr>
        <w:ind w:right="100" w:firstLine="656"/>
        <w:spacing w:after="0" w:line="264" w:lineRule="auto"/>
        <w:tabs>
          <w:tab w:leader="none" w:pos="1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660" w:right="160" w:firstLine="645"/>
        <w:spacing w:after="0" w:line="264" w:lineRule="auto"/>
        <w:tabs>
          <w:tab w:leader="none" w:pos="19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81" w:lineRule="exact"/>
        <w:rPr>
          <w:rFonts w:ascii="Arial" w:cs="Arial" w:eastAsia="Arial" w:hAnsi="Arial"/>
          <w:sz w:val="18"/>
          <w:szCs w:val="18"/>
          <w:color w:val="auto"/>
        </w:rPr>
      </w:pPr>
    </w:p>
    <w:p>
      <w:pPr>
        <w:ind w:left="660" w:firstLine="645"/>
        <w:spacing w:after="0" w:line="302" w:lineRule="auto"/>
        <w:tabs>
          <w:tab w:leader="none" w:pos="198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in the absence of bad faith or willful misconduct on its part, the Trustee may conclusively rely, as to the truth of the statements and the correctness of the opinions expressed therein, upon any certificates or opinions that are provided to the Trustee and conform to the requirements of this Indenture. However, the Trustee will examine the certificates and opinions to determine whether or not they conform to the requirements of this Indenture but the Trustee need not confirm or investigate the accuracy of any mathematical calculations or other facts stated therein.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8" w:name="page79"/>
    <w:bookmarkEnd w:id="78"/>
    <w:p>
      <w:pPr>
        <w:ind w:left="1340" w:hanging="684"/>
        <w:spacing w:after="0"/>
        <w:tabs>
          <w:tab w:leader="none" w:pos="1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negligence, bad faith or willful misconduct, except that:</w:t>
      </w:r>
    </w:p>
    <w:p>
      <w:pPr>
        <w:spacing w:after="0" w:line="221" w:lineRule="exact"/>
        <w:rPr>
          <w:rFonts w:ascii="Arial" w:cs="Arial" w:eastAsia="Arial" w:hAnsi="Arial"/>
          <w:sz w:val="18"/>
          <w:szCs w:val="18"/>
          <w:color w:val="auto"/>
        </w:rPr>
      </w:pPr>
    </w:p>
    <w:p>
      <w:pPr>
        <w:ind w:left="2020" w:hanging="715"/>
        <w:spacing w:after="0"/>
        <w:tabs>
          <w:tab w:leader="none" w:pos="20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this paragraph will not limit the effect of </w:t>
      </w:r>
      <w:r>
        <w:rPr>
          <w:rFonts w:ascii="Arial" w:cs="Arial" w:eastAsia="Arial" w:hAnsi="Arial"/>
          <w:sz w:val="18"/>
          <w:szCs w:val="18"/>
          <w:b w:val="1"/>
          <w:bCs w:val="1"/>
          <w:color w:val="auto"/>
        </w:rPr>
        <w:t>Section 10.01(B)</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200" w:firstLine="645"/>
        <w:spacing w:after="0" w:line="277" w:lineRule="auto"/>
        <w:tabs>
          <w:tab w:leader="none" w:pos="202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60" w:right="480" w:firstLine="645"/>
        <w:spacing w:after="0" w:line="277" w:lineRule="auto"/>
        <w:tabs>
          <w:tab w:leader="none" w:pos="202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the Trustee will not be liable with respect to any action it takes or omits to take in good faith in accordance with a direction received by it pursuant to </w:t>
      </w:r>
      <w:r>
        <w:rPr>
          <w:rFonts w:ascii="Arial" w:cs="Arial" w:eastAsia="Arial" w:hAnsi="Arial"/>
          <w:sz w:val="18"/>
          <w:szCs w:val="18"/>
          <w:b w:val="1"/>
          <w:bCs w:val="1"/>
          <w:color w:val="auto"/>
        </w:rPr>
        <w:t>Section 7.06</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right="420" w:firstLine="656"/>
        <w:spacing w:after="0" w:line="282" w:lineRule="auto"/>
        <w:tabs>
          <w:tab w:leader="none" w:pos="13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Each provision of this Indenture that in any way relates to the Trustee is subject to paragraphs </w:t>
      </w:r>
      <w:r>
        <w:rPr>
          <w:rFonts w:ascii="Arial" w:cs="Arial" w:eastAsia="Arial" w:hAnsi="Arial"/>
          <w:sz w:val="18"/>
          <w:szCs w:val="18"/>
          <w:b w:val="1"/>
          <w:bCs w:val="1"/>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and </w:t>
      </w:r>
      <w:r>
        <w:rPr>
          <w:rFonts w:ascii="Arial" w:cs="Arial" w:eastAsia="Arial" w:hAnsi="Arial"/>
          <w:sz w:val="18"/>
          <w:szCs w:val="18"/>
          <w:b w:val="1"/>
          <w:bCs w:val="1"/>
          <w:color w:val="auto"/>
        </w:rPr>
        <w:t>(C)</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10.01</w:t>
      </w:r>
      <w:r>
        <w:rPr>
          <w:rFonts w:ascii="Arial" w:cs="Arial" w:eastAsia="Arial" w:hAnsi="Arial"/>
          <w:sz w:val="18"/>
          <w:szCs w:val="18"/>
          <w:color w:val="auto"/>
        </w:rPr>
        <w:t>, regardless of whether such provision so expressly provides.</w:t>
      </w:r>
    </w:p>
    <w:p>
      <w:pPr>
        <w:spacing w:after="0" w:line="165" w:lineRule="exact"/>
        <w:rPr>
          <w:rFonts w:ascii="Arial" w:cs="Arial" w:eastAsia="Arial" w:hAnsi="Arial"/>
          <w:sz w:val="18"/>
          <w:szCs w:val="18"/>
          <w:color w:val="auto"/>
        </w:rPr>
      </w:pPr>
    </w:p>
    <w:p>
      <w:pPr>
        <w:ind w:left="1380" w:hanging="724"/>
        <w:spacing w:after="0"/>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w:t>
      </w:r>
    </w:p>
    <w:p>
      <w:pPr>
        <w:spacing w:after="0" w:line="225" w:lineRule="exact"/>
        <w:rPr>
          <w:rFonts w:ascii="Arial" w:cs="Arial" w:eastAsia="Arial" w:hAnsi="Arial"/>
          <w:sz w:val="18"/>
          <w:szCs w:val="18"/>
          <w:color w:val="auto"/>
        </w:rPr>
      </w:pPr>
    </w:p>
    <w:p>
      <w:pPr>
        <w:ind w:right="400" w:firstLine="656"/>
        <w:spacing w:after="0" w:line="277" w:lineRule="auto"/>
        <w:tabs>
          <w:tab w:leader="none" w:pos="136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10.02. RIGHTS OF THE TRUSTEE.</w:t>
      </w:r>
    </w:p>
    <w:p>
      <w:pPr>
        <w:spacing w:after="0" w:line="229" w:lineRule="exact"/>
        <w:rPr>
          <w:sz w:val="20"/>
          <w:szCs w:val="20"/>
          <w:color w:val="auto"/>
        </w:rPr>
      </w:pPr>
    </w:p>
    <w:p>
      <w:pPr>
        <w:ind w:right="220" w:firstLine="656"/>
        <w:spacing w:after="0" w:line="277" w:lineRule="auto"/>
        <w:tabs>
          <w:tab w:leader="none" w:pos="13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70" w:lineRule="exact"/>
        <w:rPr>
          <w:rFonts w:ascii="Arial" w:cs="Arial" w:eastAsia="Arial" w:hAnsi="Arial"/>
          <w:sz w:val="18"/>
          <w:szCs w:val="18"/>
          <w:color w:val="auto"/>
        </w:rPr>
      </w:pPr>
    </w:p>
    <w:p>
      <w:pPr>
        <w:ind w:firstLine="656"/>
        <w:spacing w:after="0" w:line="259" w:lineRule="auto"/>
        <w:tabs>
          <w:tab w:leader="none" w:pos="13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advice of such counsel, or any Opinion of Counsel, will constitute full and complete authorization of the Trustee to take or omit to take any action in good faith in reliance thereon without liability.</w:t>
      </w:r>
    </w:p>
    <w:p>
      <w:pPr>
        <w:spacing w:after="0" w:line="186" w:lineRule="exact"/>
        <w:rPr>
          <w:rFonts w:ascii="Arial" w:cs="Arial" w:eastAsia="Arial" w:hAnsi="Arial"/>
          <w:sz w:val="18"/>
          <w:szCs w:val="18"/>
          <w:color w:val="auto"/>
        </w:rPr>
      </w:pPr>
    </w:p>
    <w:p>
      <w:pPr>
        <w:ind w:right="300" w:firstLine="656"/>
        <w:spacing w:after="0" w:line="277" w:lineRule="auto"/>
        <w:tabs>
          <w:tab w:leader="none" w:pos="13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such agent or attorney appointed with due care.</w:t>
      </w:r>
    </w:p>
    <w:p>
      <w:pPr>
        <w:spacing w:after="0" w:line="170" w:lineRule="exact"/>
        <w:rPr>
          <w:rFonts w:ascii="Arial" w:cs="Arial" w:eastAsia="Arial" w:hAnsi="Arial"/>
          <w:sz w:val="18"/>
          <w:szCs w:val="18"/>
          <w:color w:val="auto"/>
        </w:rPr>
      </w:pPr>
    </w:p>
    <w:p>
      <w:pPr>
        <w:ind w:right="120" w:firstLine="656"/>
        <w:spacing w:after="0" w:line="277" w:lineRule="auto"/>
        <w:tabs>
          <w:tab w:leader="none" w:pos="13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and that it believes to be authorized or within the rights or powers vested in it by this Indenture.</w:t>
      </w:r>
    </w:p>
    <w:p>
      <w:pPr>
        <w:spacing w:after="0" w:line="170" w:lineRule="exact"/>
        <w:rPr>
          <w:rFonts w:ascii="Arial" w:cs="Arial" w:eastAsia="Arial" w:hAnsi="Arial"/>
          <w:sz w:val="18"/>
          <w:szCs w:val="18"/>
          <w:color w:val="auto"/>
        </w:rPr>
      </w:pPr>
    </w:p>
    <w:p>
      <w:pPr>
        <w:ind w:right="160" w:firstLine="656"/>
        <w:spacing w:after="0" w:line="277" w:lineRule="auto"/>
        <w:tabs>
          <w:tab w:leader="none" w:pos="137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right="420" w:firstLine="656"/>
        <w:spacing w:after="0" w:line="342" w:lineRule="auto"/>
        <w:tabs>
          <w:tab w:leader="none" w:pos="136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Trustee need not exercise any rights or powers vested in it by this Indenture at the request or direction of any Holder unless such Holder has offered the Trustee security or indemnity satisfactory to the Trustee against any loss, liability or expense that it may incur in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complying with such request or direction.</w:t>
      </w:r>
    </w:p>
    <w:p>
      <w:pPr>
        <w:spacing w:after="0" w:line="225" w:lineRule="exact"/>
        <w:rPr>
          <w:sz w:val="20"/>
          <w:szCs w:val="20"/>
          <w:color w:val="auto"/>
        </w:rPr>
      </w:pPr>
    </w:p>
    <w:p>
      <w:pPr>
        <w:ind w:right="20" w:firstLine="656"/>
        <w:spacing w:after="0" w:line="277" w:lineRule="auto"/>
        <w:tabs>
          <w:tab w:leader="none" w:pos="13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70" w:lineRule="exact"/>
        <w:rPr>
          <w:rFonts w:ascii="Arial" w:cs="Arial" w:eastAsia="Arial" w:hAnsi="Arial"/>
          <w:sz w:val="18"/>
          <w:szCs w:val="18"/>
          <w:color w:val="auto"/>
        </w:rPr>
      </w:pPr>
    </w:p>
    <w:p>
      <w:pPr>
        <w:ind w:right="40" w:firstLine="656"/>
        <w:spacing w:after="0" w:line="264" w:lineRule="auto"/>
        <w:tabs>
          <w:tab w:leader="none" w:pos="13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will not be deemed to have notice or knowledge of any Default or Event of Default unless written notice of any event that is in fact such a Default or Event of Default is received by a Responsible Officer of the Trustee at the Corporate Trust Office of the Trustee, and such notice references the Notes and this Indenture.</w:t>
      </w:r>
    </w:p>
    <w:p>
      <w:pPr>
        <w:spacing w:after="0" w:line="181" w:lineRule="exact"/>
        <w:rPr>
          <w:rFonts w:ascii="Arial" w:cs="Arial" w:eastAsia="Arial" w:hAnsi="Arial"/>
          <w:sz w:val="18"/>
          <w:szCs w:val="18"/>
          <w:color w:val="auto"/>
        </w:rPr>
      </w:pPr>
    </w:p>
    <w:p>
      <w:pPr>
        <w:jc w:val="both"/>
        <w:ind w:right="100" w:firstLine="656"/>
        <w:spacing w:after="0" w:line="264" w:lineRule="auto"/>
        <w:tabs>
          <w:tab w:leader="none" w:pos="13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will be enforceable by, the Trustee in each of its capacities hereunder, including as Note Agents, and each agent, custodian and other Person employed to act hereunder.</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will not be construed as a duty unless so specified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firstLine="656"/>
        <w:spacing w:after="0" w:line="276" w:lineRule="auto"/>
        <w:tabs>
          <w:tab w:leader="none" w:pos="134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Trustee is not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determines to make such further inquiry or investigation, it will be entitled to examine the books, records and premises of the Company, personally or by agent or attorney at the sole cost of the Company, and will incur no liability of any kind by reason of such inquiry or investigation.</w:t>
      </w:r>
    </w:p>
    <w:p>
      <w:pPr>
        <w:spacing w:after="0" w:line="172" w:lineRule="exact"/>
        <w:rPr>
          <w:rFonts w:ascii="Arial" w:cs="Arial" w:eastAsia="Arial" w:hAnsi="Arial"/>
          <w:sz w:val="17"/>
          <w:szCs w:val="17"/>
          <w:color w:val="auto"/>
        </w:rPr>
      </w:pPr>
    </w:p>
    <w:p>
      <w:pPr>
        <w:ind w:left="1380" w:hanging="724"/>
        <w:spacing w:after="0"/>
        <w:tabs>
          <w:tab w:leader="none" w:pos="13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Trustee will not be required to give any bond or surety in respect of the performance of its powers and duties under this Indenture.</w:t>
      </w:r>
    </w:p>
    <w:p>
      <w:pPr>
        <w:spacing w:after="0" w:line="248" w:lineRule="exact"/>
        <w:rPr>
          <w:rFonts w:ascii="Arial" w:cs="Arial" w:eastAsia="Arial" w:hAnsi="Arial"/>
          <w:sz w:val="16"/>
          <w:szCs w:val="16"/>
          <w:color w:val="auto"/>
        </w:rPr>
      </w:pPr>
    </w:p>
    <w:p>
      <w:pPr>
        <w:ind w:right="80" w:firstLine="656"/>
        <w:spacing w:after="0" w:line="277" w:lineRule="auto"/>
        <w:tabs>
          <w:tab w:leader="none" w:pos="13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or titles of officers authorized at such time to take specified actions pursuant to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10.03. INDIVIDUAL RIGHTS OF THE TRUSTEE.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w:t>
      </w:r>
      <w:r>
        <w:rPr>
          <w:rFonts w:ascii="Arial" w:cs="Arial" w:eastAsia="Arial" w:hAnsi="Arial"/>
          <w:sz w:val="17"/>
          <w:szCs w:val="17"/>
          <w:color w:val="auto"/>
        </w:rPr>
        <w:t>he Trustee, in its individual or any other capacity, may become the owner or pledgee of any Note and may otherwise deal with the Company or any of</w:t>
      </w:r>
      <w:r>
        <w:rPr>
          <w:rFonts w:ascii="Arial" w:cs="Arial" w:eastAsia="Arial" w:hAnsi="Arial"/>
          <w:sz w:val="18"/>
          <w:szCs w:val="18"/>
          <w:color w:val="auto"/>
        </w:rPr>
        <w:t xml:space="preserve"> </w:t>
      </w:r>
      <w:r>
        <w:rPr>
          <w:rFonts w:ascii="Arial" w:cs="Arial" w:eastAsia="Arial" w:hAnsi="Arial"/>
          <w:sz w:val="17"/>
          <w:szCs w:val="17"/>
          <w:color w:val="auto"/>
        </w:rPr>
        <w:t xml:space="preserve">its Affiliates with the same rights that it would have if it were not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w:t>
      </w:r>
      <w:r>
        <w:rPr>
          <w:rFonts w:ascii="Arial" w:cs="Arial" w:eastAsia="Arial" w:hAnsi="Arial"/>
          <w:sz w:val="18"/>
          <w:szCs w:val="18"/>
          <w:color w:val="auto"/>
        </w:rPr>
        <w:t>if the Trustee acquires a “conflicting interest” (within the</w:t>
      </w:r>
      <w:r>
        <w:rPr>
          <w:rFonts w:ascii="Arial" w:cs="Arial" w:eastAsia="Arial" w:hAnsi="Arial"/>
          <w:sz w:val="17"/>
          <w:szCs w:val="17"/>
          <w:color w:val="auto"/>
        </w:rPr>
        <w:t xml:space="preserve"> </w:t>
      </w:r>
      <w:r>
        <w:rPr>
          <w:rFonts w:ascii="Arial" w:cs="Arial" w:eastAsia="Arial" w:hAnsi="Arial"/>
          <w:sz w:val="18"/>
          <w:szCs w:val="18"/>
          <w:color w:val="auto"/>
        </w:rPr>
        <w:t xml:space="preserve">meaning of Section 310(b) of the Trust Indenture Act), then it must eliminate such conflict within ninety (90) days or resign as Trustee. Each Note Agent will have the same rights and duties as the trustee under this </w:t>
      </w:r>
      <w:r>
        <w:rPr>
          <w:rFonts w:ascii="Arial" w:cs="Arial" w:eastAsia="Arial" w:hAnsi="Arial"/>
          <w:sz w:val="18"/>
          <w:szCs w:val="18"/>
          <w:b w:val="1"/>
          <w:bCs w:val="1"/>
          <w:color w:val="auto"/>
        </w:rPr>
        <w:t>Section 10.03</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10.04. TRUSTEE’S DISCLAIMER.</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Trustee will not be (A) responsible for, and makes no representation as to, the validity or adequacy of this Indenture (or any supplement hereto) or the Notes; (B) accountable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spacing w:after="0" w:line="259" w:lineRule="auto"/>
        <w:rPr>
          <w:sz w:val="20"/>
          <w:szCs w:val="20"/>
          <w:color w:val="auto"/>
        </w:rPr>
      </w:pPr>
      <w:r>
        <w:rPr>
          <w:rFonts w:ascii="Arial" w:cs="Arial" w:eastAsia="Arial" w:hAnsi="Arial"/>
          <w:sz w:val="18"/>
          <w:szCs w:val="18"/>
          <w:color w:val="auto"/>
        </w:rPr>
        <w:t>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10.05. NOTICE OF DEFAULTS.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If a Default or Event of Default occurs and is continuing and is known to the Trustee, then the Trustee will send Holders a notice of such Default or Event of Default within ninety (90) days after it occurs or, if it is not known to the Trustee at such time, promptly (and in any event within ten (10) Business Days) after it becomes known to a Responsible Officer;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or Event of Default in the payment of the principal of, or interest on, any Note, the Trustee may withhold such notice if and for so long as it in good faith determines that withholding such notice is in the interests of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10.06. COMPENSATION AND INDEMNITY.</w:t>
      </w:r>
    </w:p>
    <w:p>
      <w:pPr>
        <w:spacing w:after="0" w:line="229" w:lineRule="exact"/>
        <w:rPr>
          <w:sz w:val="20"/>
          <w:szCs w:val="20"/>
          <w:color w:val="auto"/>
        </w:rPr>
      </w:pPr>
    </w:p>
    <w:p>
      <w:pPr>
        <w:ind w:right="20" w:firstLine="656"/>
        <w:spacing w:after="0" w:line="257" w:lineRule="auto"/>
        <w:tabs>
          <w:tab w:leader="none" w:pos="13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will, from time to time, pay the Trustee compensation as is agreed between the Company and the Trustee for its acceptance of this Indenture and services under this Indenture.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88" w:lineRule="exact"/>
        <w:rPr>
          <w:rFonts w:ascii="Arial" w:cs="Arial" w:eastAsia="Arial" w:hAnsi="Arial"/>
          <w:sz w:val="18"/>
          <w:szCs w:val="18"/>
          <w:color w:val="auto"/>
        </w:rPr>
      </w:pPr>
    </w:p>
    <w:p>
      <w:pPr>
        <w:ind w:right="60" w:firstLine="656"/>
        <w:spacing w:after="0" w:line="288" w:lineRule="auto"/>
        <w:tabs>
          <w:tab w:leader="none" w:pos="133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Company will indemnify the Trustee against any and all losses, liabilities or expenses incurred by it arising out of or in connection with the acceptance or administration of its duties under this Indenture, including the costs and expenses of enforcing this Indenture (including this </w:t>
      </w:r>
      <w:r>
        <w:rPr>
          <w:rFonts w:ascii="Arial" w:cs="Arial" w:eastAsia="Arial" w:hAnsi="Arial"/>
          <w:sz w:val="16"/>
          <w:szCs w:val="16"/>
          <w:b w:val="1"/>
          <w:bCs w:val="1"/>
          <w:color w:val="auto"/>
        </w:rPr>
        <w:t>Section 10.06</w:t>
      </w:r>
      <w:r>
        <w:rPr>
          <w:rFonts w:ascii="Arial" w:cs="Arial" w:eastAsia="Arial" w:hAnsi="Arial"/>
          <w:sz w:val="16"/>
          <w:szCs w:val="16"/>
          <w:color w:val="auto"/>
        </w:rPr>
        <w:t>) and defending itself against any claim (whether asserted by the Company, any Holder or any other Person) or liability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exercise or performance of any of its powers or duties under this Indenture, except to the extent any such loss, liability or expense may be attributable to its negligence, bad faith or willful misconduct. The Trustee will promptly notify the Company of any claim for which it may seek indemnity, but the Trustee’s failure to so notify the Company will not relieve the Company of its obligations under this </w:t>
      </w:r>
      <w:r>
        <w:rPr>
          <w:rFonts w:ascii="Arial" w:cs="Arial" w:eastAsia="Arial" w:hAnsi="Arial"/>
          <w:sz w:val="16"/>
          <w:szCs w:val="16"/>
          <w:b w:val="1"/>
          <w:bCs w:val="1"/>
          <w:color w:val="auto"/>
        </w:rPr>
        <w:t>Section 10.06(B)</w:t>
      </w:r>
      <w:r>
        <w:rPr>
          <w:rFonts w:ascii="Arial" w:cs="Arial" w:eastAsia="Arial" w:hAnsi="Arial"/>
          <w:sz w:val="16"/>
          <w:szCs w:val="16"/>
          <w:color w:val="auto"/>
        </w:rPr>
        <w:t>,.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65" w:lineRule="exact"/>
        <w:rPr>
          <w:rFonts w:ascii="Arial" w:cs="Arial" w:eastAsia="Arial" w:hAnsi="Arial"/>
          <w:sz w:val="16"/>
          <w:szCs w:val="16"/>
          <w:color w:val="auto"/>
        </w:rPr>
      </w:pPr>
    </w:p>
    <w:p>
      <w:pPr>
        <w:ind w:left="1340" w:hanging="684"/>
        <w:spacing w:after="0"/>
        <w:tabs>
          <w:tab w:leader="none" w:pos="1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obligations of the Company under this </w:t>
      </w:r>
      <w:r>
        <w:rPr>
          <w:rFonts w:ascii="Arial" w:cs="Arial" w:eastAsia="Arial" w:hAnsi="Arial"/>
          <w:sz w:val="16"/>
          <w:szCs w:val="16"/>
          <w:b w:val="1"/>
          <w:bCs w:val="1"/>
          <w:color w:val="auto"/>
        </w:rPr>
        <w:t>Section 10.06</w:t>
      </w:r>
      <w:r>
        <w:rPr>
          <w:rFonts w:ascii="Arial" w:cs="Arial" w:eastAsia="Arial" w:hAnsi="Arial"/>
          <w:sz w:val="16"/>
          <w:szCs w:val="16"/>
          <w:color w:val="auto"/>
        </w:rPr>
        <w:t xml:space="preserve"> will survive the resignation or removal of the Trustee and the discharge of this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firstLine="656"/>
        <w:spacing w:after="0" w:line="266" w:lineRule="auto"/>
        <w:tabs>
          <w:tab w:leader="none" w:pos="13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To secure the Company’s payment obligations in this </w:t>
      </w:r>
      <w:r>
        <w:rPr>
          <w:rFonts w:ascii="Arial" w:cs="Arial" w:eastAsia="Arial" w:hAnsi="Arial"/>
          <w:sz w:val="18"/>
          <w:szCs w:val="18"/>
          <w:b w:val="1"/>
          <w:bCs w:val="1"/>
          <w:color w:val="auto"/>
        </w:rPr>
        <w:t>Section 10.06</w:t>
      </w:r>
      <w:r>
        <w:rPr>
          <w:rFonts w:ascii="Arial" w:cs="Arial" w:eastAsia="Arial" w:hAnsi="Arial"/>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6" w:lineRule="exact"/>
        <w:rPr>
          <w:rFonts w:ascii="Arial" w:cs="Arial" w:eastAsia="Arial" w:hAnsi="Arial"/>
          <w:sz w:val="18"/>
          <w:szCs w:val="18"/>
          <w:color w:val="auto"/>
        </w:rPr>
      </w:pPr>
    </w:p>
    <w:p>
      <w:pPr>
        <w:ind w:right="220" w:firstLine="656"/>
        <w:spacing w:after="0" w:line="266" w:lineRule="auto"/>
        <w:tabs>
          <w:tab w:leader="none" w:pos="137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If the Trustee incurs expenses or renders services after an Event of Default pursuant to </w:t>
      </w:r>
      <w:r>
        <w:rPr>
          <w:rFonts w:ascii="Arial" w:cs="Arial" w:eastAsia="Arial" w:hAnsi="Arial"/>
          <w:sz w:val="18"/>
          <w:szCs w:val="18"/>
          <w:b w:val="1"/>
          <w:bCs w:val="1"/>
          <w:color w:val="auto"/>
        </w:rPr>
        <w:t>clause (ix)</w:t>
      </w:r>
      <w:r>
        <w:rPr>
          <w:rFonts w:ascii="Arial" w:cs="Arial" w:eastAsia="Arial" w:hAnsi="Arial"/>
          <w:sz w:val="18"/>
          <w:szCs w:val="18"/>
          <w:color w:val="auto"/>
        </w:rPr>
        <w:t xml:space="preserve"> or </w:t>
      </w:r>
      <w:r>
        <w:rPr>
          <w:rFonts w:ascii="Arial" w:cs="Arial" w:eastAsia="Arial" w:hAnsi="Arial"/>
          <w:sz w:val="18"/>
          <w:szCs w:val="18"/>
          <w:b w:val="1"/>
          <w:bCs w:val="1"/>
          <w:color w:val="auto"/>
        </w:rPr>
        <w:t>(x)</w:t>
      </w:r>
      <w:r>
        <w:rPr>
          <w:rFonts w:ascii="Arial" w:cs="Arial" w:eastAsia="Arial" w:hAnsi="Arial"/>
          <w:sz w:val="18"/>
          <w:szCs w:val="18"/>
          <w:color w:val="auto"/>
        </w:rPr>
        <w:t xml:space="preserve"> of </w:t>
      </w:r>
      <w:r>
        <w:rPr>
          <w:rFonts w:ascii="Arial" w:cs="Arial" w:eastAsia="Arial" w:hAnsi="Arial"/>
          <w:sz w:val="18"/>
          <w:szCs w:val="18"/>
          <w:b w:val="1"/>
          <w:bCs w:val="1"/>
          <w:color w:val="auto"/>
        </w:rPr>
        <w:t>Section 7.01(A)</w:t>
      </w:r>
      <w:r>
        <w:rPr>
          <w:rFonts w:ascii="Arial" w:cs="Arial" w:eastAsia="Arial" w:hAnsi="Arial"/>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10.07. REPLACEMENT OF THE TRUSTEE.</w:t>
      </w:r>
    </w:p>
    <w:p>
      <w:pPr>
        <w:spacing w:after="0" w:line="225" w:lineRule="exact"/>
        <w:rPr>
          <w:sz w:val="20"/>
          <w:szCs w:val="20"/>
          <w:color w:val="auto"/>
        </w:rPr>
      </w:pPr>
    </w:p>
    <w:p>
      <w:pPr>
        <w:ind w:right="60" w:firstLine="656"/>
        <w:spacing w:after="0" w:line="313" w:lineRule="auto"/>
        <w:tabs>
          <w:tab w:leader="none" w:pos="134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b w:val="1"/>
          <w:bCs w:val="1"/>
          <w:color w:val="auto"/>
        </w:rPr>
        <w:t>Section 10.07</w:t>
      </w:r>
      <w:r>
        <w:rPr>
          <w:rFonts w:ascii="Arial" w:cs="Arial" w:eastAsia="Arial" w:hAnsi="Arial"/>
          <w:sz w:val="17"/>
          <w:szCs w:val="17"/>
          <w:color w:val="auto"/>
        </w:rPr>
        <w:t xml:space="preserve">, a resignation or removal of the Trustee, and the appointment of a successor Trustee, will become effective only upon such successor Trustee’s acceptance of appointment as provided in this </w:t>
      </w:r>
      <w:r>
        <w:rPr>
          <w:rFonts w:ascii="Arial" w:cs="Arial" w:eastAsia="Arial" w:hAnsi="Arial"/>
          <w:sz w:val="17"/>
          <w:szCs w:val="17"/>
          <w:b w:val="1"/>
          <w:bCs w:val="1"/>
          <w:color w:val="auto"/>
        </w:rPr>
        <w:t>Section 10.07</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right="180" w:firstLine="656"/>
        <w:spacing w:after="0" w:line="264" w:lineRule="auto"/>
        <w:tabs>
          <w:tab w:leader="none" w:pos="13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7" w:lineRule="exact"/>
        <w:rPr>
          <w:rFonts w:ascii="Arial" w:cs="Arial" w:eastAsia="Arial" w:hAnsi="Arial"/>
          <w:sz w:val="18"/>
          <w:szCs w:val="18"/>
          <w:color w:val="auto"/>
        </w:rPr>
      </w:pPr>
    </w:p>
    <w:p>
      <w:pPr>
        <w:ind w:left="2020" w:hanging="715"/>
        <w:spacing w:after="0"/>
        <w:tabs>
          <w:tab w:leader="none" w:pos="2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b w:val="1"/>
          <w:bCs w:val="1"/>
          <w:color w:val="auto"/>
        </w:rPr>
        <w:t>Section 10.09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020" w:hanging="715"/>
        <w:spacing w:after="0"/>
        <w:tabs>
          <w:tab w:leader="none" w:pos="20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Trustee is adjudged to be bankrupt or insolvent or an order for relief is entered with respect to the Trustee under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7"/>
          <w:szCs w:val="17"/>
          <w:color w:val="auto"/>
        </w:rPr>
      </w:pPr>
    </w:p>
    <w:p>
      <w:pPr>
        <w:ind w:left="2020" w:hanging="715"/>
        <w:spacing w:after="0"/>
        <w:tabs>
          <w:tab w:leader="none" w:pos="2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200" w:firstLine="656"/>
        <w:spacing w:after="0" w:line="286" w:lineRule="auto"/>
        <w:tabs>
          <w:tab w:leader="none" w:pos="133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65" w:lineRule="exact"/>
        <w:rPr>
          <w:rFonts w:ascii="Arial" w:cs="Arial" w:eastAsia="Arial" w:hAnsi="Arial"/>
          <w:sz w:val="17"/>
          <w:szCs w:val="17"/>
          <w:color w:val="auto"/>
        </w:rPr>
      </w:pPr>
    </w:p>
    <w:p>
      <w:pPr>
        <w:ind w:right="180" w:firstLine="656"/>
        <w:spacing w:after="0" w:line="264" w:lineRule="auto"/>
        <w:tabs>
          <w:tab w:leader="none" w:pos="13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7" w:lineRule="exact"/>
        <w:rPr>
          <w:rFonts w:ascii="Arial" w:cs="Arial" w:eastAsia="Arial" w:hAnsi="Arial"/>
          <w:sz w:val="18"/>
          <w:szCs w:val="18"/>
          <w:color w:val="auto"/>
        </w:rPr>
      </w:pPr>
    </w:p>
    <w:p>
      <w:pPr>
        <w:ind w:right="540" w:firstLine="656"/>
        <w:spacing w:after="0" w:line="282" w:lineRule="auto"/>
        <w:tabs>
          <w:tab w:leader="none" w:pos="13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If the Trustee, after written request by a Holder of at least six (6) months, fails to comply with </w:t>
      </w:r>
      <w:r>
        <w:rPr>
          <w:rFonts w:ascii="Arial" w:cs="Arial" w:eastAsia="Arial" w:hAnsi="Arial"/>
          <w:sz w:val="18"/>
          <w:szCs w:val="18"/>
          <w:b w:val="1"/>
          <w:bCs w:val="1"/>
          <w:color w:val="auto"/>
        </w:rPr>
        <w:t>Section 10.09</w:t>
      </w:r>
      <w:r>
        <w:rPr>
          <w:rFonts w:ascii="Arial" w:cs="Arial" w:eastAsia="Arial" w:hAnsi="Arial"/>
          <w:sz w:val="18"/>
          <w:szCs w:val="18"/>
          <w:color w:val="auto"/>
        </w:rPr>
        <w:t>, then such Holder may petition any court of competent jurisdiction for the removal of the Trustee and the appointment of a successor Trustee.</w:t>
      </w:r>
    </w:p>
    <w:p>
      <w:pPr>
        <w:spacing w:after="0" w:line="165" w:lineRule="exact"/>
        <w:rPr>
          <w:rFonts w:ascii="Arial" w:cs="Arial" w:eastAsia="Arial" w:hAnsi="Arial"/>
          <w:sz w:val="18"/>
          <w:szCs w:val="18"/>
          <w:color w:val="auto"/>
        </w:rPr>
      </w:pPr>
    </w:p>
    <w:p>
      <w:pPr>
        <w:ind w:right="100" w:firstLine="656"/>
        <w:spacing w:after="0" w:line="308" w:lineRule="auto"/>
        <w:tabs>
          <w:tab w:leader="none" w:pos="136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successor Trustee will deliver a written acceptance of its appointment to the retiring Trustee and to the Company, upon which notice the resignation or removal of the retiring Trustee will become effective and the successor Trustee will have all the rights, powers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both"/>
        <w:ind w:right="40"/>
        <w:spacing w:after="0" w:line="264" w:lineRule="auto"/>
        <w:rPr>
          <w:sz w:val="20"/>
          <w:szCs w:val="20"/>
          <w:color w:val="auto"/>
        </w:rPr>
      </w:pPr>
      <w:r>
        <w:rPr>
          <w:rFonts w:ascii="Arial" w:cs="Arial" w:eastAsia="Arial" w:hAnsi="Arial"/>
          <w:sz w:val="18"/>
          <w:szCs w:val="18"/>
          <w:color w:val="auto"/>
        </w:rPr>
        <w:t xml:space="preserve">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Arial" w:cs="Arial" w:eastAsia="Arial" w:hAnsi="Arial"/>
          <w:sz w:val="18"/>
          <w:szCs w:val="18"/>
          <w:b w:val="1"/>
          <w:bCs w:val="1"/>
          <w:color w:val="auto"/>
        </w:rPr>
        <w:t>Section 10.06(D)</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10.08. SUCCESSOR TRUSTEE BY MERGER, ETC.</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then such corporation will become the successor Trustee without any further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10.09. ELIGIBILITY; DISQUALIFICATION.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43"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Article 11.</w:t>
        <w:tab/>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11.01. NOTICES.</w:t>
      </w:r>
    </w:p>
    <w:p>
      <w:pPr>
        <w:spacing w:after="0" w:line="229"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13200 Pioneer Trail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Eden Prairie, MN 55347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Faegre Baker Daniels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MN 55402-3901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Ben Stacke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190 LaSalle Street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3" w:name="page84"/>
    <w:bookmarkEnd w:id="83"/>
    <w:p>
      <w:pPr>
        <w:ind w:left="1300"/>
        <w:spacing w:after="0"/>
        <w:rPr>
          <w:sz w:val="20"/>
          <w:szCs w:val="20"/>
          <w:color w:val="auto"/>
        </w:rPr>
      </w:pPr>
      <w:r>
        <w:rPr>
          <w:rFonts w:ascii="Arial" w:cs="Arial" w:eastAsia="Arial" w:hAnsi="Arial"/>
          <w:sz w:val="18"/>
          <w:szCs w:val="18"/>
          <w:color w:val="auto"/>
        </w:rPr>
        <w:t>10th Floor — MK-IL-SLTR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Global Corporate Truste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(312) 332-8008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Linda Garcia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linda.garcia@usbank.com</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(including facsimile numbers and electronic addresses) for subsequent notices or communications.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5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request is evidenced in a Company Order delivered, together with the text of such notice, to the Trustee at least two (2) Business Days before the date such notice is to be so sent. The Trustee will not have any liability relating to the contents of any notice that it sends to any Holder pursuant to any such Company Order.</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 notice or communication is mailed or sent in the manner provided above within the time prescribed, it will be deemed to have been duly given, whether or not the addressee receives it.</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Notwithstanding anything to the contrary in this Indenture or the Notes, whenever any provision of this Indenture requires a party to send notice to another party, no such notice need be sent if the sending party and the recipient are the same Person acting in different capacities.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Section 11.02. DELIVERY OF OFFICER’S CERTIFICATE AND OPINION OF COUNSEL AS TO CONDITIONS PRECEDENT.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Upon any request or application by the Company to the Trustee to take any action under this Indenture (other than the initial authentication of Notes under this Indenture), the Company will furnish to the Trustee:</w:t>
      </w:r>
    </w:p>
    <w:p>
      <w:pPr>
        <w:spacing w:after="0" w:line="166" w:lineRule="exact"/>
        <w:rPr>
          <w:sz w:val="20"/>
          <w:szCs w:val="20"/>
          <w:color w:val="auto"/>
        </w:rPr>
      </w:pPr>
    </w:p>
    <w:p>
      <w:pPr>
        <w:ind w:right="60" w:firstLine="656"/>
        <w:spacing w:after="0" w:line="347" w:lineRule="auto"/>
        <w:tabs>
          <w:tab w:leader="none" w:pos="134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an Officer’s Certificate in form and substance reasonably satisfactory to the Trustee that complies with </w:t>
      </w:r>
      <w:r>
        <w:rPr>
          <w:rFonts w:ascii="Arial" w:cs="Arial" w:eastAsia="Arial" w:hAnsi="Arial"/>
          <w:sz w:val="16"/>
          <w:szCs w:val="16"/>
          <w:b w:val="1"/>
          <w:bCs w:val="1"/>
          <w:color w:val="auto"/>
        </w:rPr>
        <w:t>Section 11.03</w:t>
      </w:r>
      <w:r>
        <w:rPr>
          <w:rFonts w:ascii="Arial" w:cs="Arial" w:eastAsia="Arial" w:hAnsi="Arial"/>
          <w:sz w:val="16"/>
          <w:szCs w:val="16"/>
          <w:color w:val="auto"/>
        </w:rPr>
        <w:t xml:space="preserve"> and states that, in the opinion of the signatory thereto, all conditions precedent and covenants, if any, provided for in this Indenture relating to such action have been satisfied; and</w:t>
      </w:r>
    </w:p>
    <w:p>
      <w:pPr>
        <w:spacing w:after="0" w:line="116" w:lineRule="exact"/>
        <w:rPr>
          <w:rFonts w:ascii="Arial" w:cs="Arial" w:eastAsia="Arial" w:hAnsi="Arial"/>
          <w:sz w:val="16"/>
          <w:szCs w:val="16"/>
          <w:color w:val="auto"/>
        </w:rPr>
      </w:pPr>
    </w:p>
    <w:p>
      <w:pPr>
        <w:ind w:right="100" w:firstLine="656"/>
        <w:spacing w:after="0" w:line="282" w:lineRule="auto"/>
        <w:tabs>
          <w:tab w:leader="none" w:pos="133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an Opinion of Counsel in form and substance reasonably satisfactory to the Trustee that complies with </w:t>
      </w:r>
      <w:r>
        <w:rPr>
          <w:rFonts w:ascii="Arial" w:cs="Arial" w:eastAsia="Arial" w:hAnsi="Arial"/>
          <w:sz w:val="18"/>
          <w:szCs w:val="18"/>
          <w:b w:val="1"/>
          <w:bCs w:val="1"/>
          <w:color w:val="auto"/>
        </w:rPr>
        <w:t>Section 11.03</w:t>
      </w:r>
      <w:r>
        <w:rPr>
          <w:rFonts w:ascii="Arial" w:cs="Arial" w:eastAsia="Arial" w:hAnsi="Arial"/>
          <w:sz w:val="18"/>
          <w:szCs w:val="18"/>
          <w:color w:val="auto"/>
        </w:rPr>
        <w:t xml:space="preserve"> and states that, in the opinion of such counsel, all such conditions precedent and covenants, if any, have been satisfied.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11.03. STATEMENTS REQUIRED IN OFFICER’S CERTIFICATE AND OPINION OF COUNSEL.</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Each Officer’s Certificate (other than an Officer’s Certificate pursuant to </w:t>
      </w:r>
      <w:r>
        <w:rPr>
          <w:rFonts w:ascii="Arial" w:cs="Arial" w:eastAsia="Arial" w:hAnsi="Arial"/>
          <w:sz w:val="18"/>
          <w:szCs w:val="18"/>
          <w:b w:val="1"/>
          <w:bCs w:val="1"/>
          <w:color w:val="auto"/>
        </w:rPr>
        <w:t>Section 3.05</w:t>
      </w:r>
      <w:r>
        <w:rPr>
          <w:rFonts w:ascii="Arial" w:cs="Arial" w:eastAsia="Arial" w:hAnsi="Arial"/>
          <w:sz w:val="18"/>
          <w:szCs w:val="18"/>
          <w:color w:val="auto"/>
        </w:rPr>
        <w:t>) or Opinion of Counsel with respect to compliance with a covenant or condition provided for in this Indenture will include:</w:t>
      </w:r>
    </w:p>
    <w:p>
      <w:pPr>
        <w:spacing w:after="0" w:line="166" w:lineRule="exact"/>
        <w:rPr>
          <w:sz w:val="20"/>
          <w:szCs w:val="20"/>
          <w:color w:val="auto"/>
        </w:rPr>
      </w:pPr>
    </w:p>
    <w:p>
      <w:pPr>
        <w:ind w:left="1360" w:hanging="704"/>
        <w:spacing w:after="0"/>
        <w:tabs>
          <w:tab w:leader="none" w:pos="13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statement that the signatory thereto has read such covenant or condition;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brief statement as to the nature and scope of the examination or investigation upon which the statements or opinions contained therein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w:t>
      </w:r>
    </w:p>
    <w:p>
      <w:pPr>
        <w:spacing w:after="0" w:line="211" w:lineRule="exact"/>
        <w:rPr>
          <w:sz w:val="20"/>
          <w:szCs w:val="20"/>
          <w:color w:val="auto"/>
        </w:rPr>
      </w:pPr>
    </w:p>
    <w:p>
      <w:pPr>
        <w:ind w:firstLine="656"/>
        <w:spacing w:after="0" w:line="277" w:lineRule="auto"/>
        <w:tabs>
          <w:tab w:leader="none" w:pos="133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statement as to whether, in the opinion of such signatory, such covenant or condition has been satisfied.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11.04. RULES BY THE TRUSTEE, THE REGISTRAR AND THE PAYING AGENT.</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11.05. NO PERSONAL LIABILITY OF DIRECTORS, OFFICERS, EMPLOYEES AND STOCKHOLDERS.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Section 11.06. GOVERNING LAW; WAIVER OF JURY TRIAL.</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INDENTURE AND THE NOTES, AND ANY CLAIM, CONTROVERSY OR DISPUTE ARISING UNDER OR RELATED TO THIS INDENTURE OR THE NOTES, WILL BE GOVERNED BY AND CONSTRUED IN ACCORDANCE WITH THE LAWS OF THE STATE OF NEW YORK</w:t>
      </w:r>
      <w:r>
        <w:rPr>
          <w:rFonts w:ascii="Arial" w:cs="Arial" w:eastAsia="Arial" w:hAnsi="Arial"/>
          <w:sz w:val="17"/>
          <w:szCs w:val="17"/>
          <w:color w:val="auto"/>
        </w:rPr>
        <w:t>.</w:t>
      </w:r>
      <w:r>
        <w:rPr>
          <w:rFonts w:ascii="Arial" w:cs="Arial" w:eastAsia="Arial" w:hAnsi="Arial"/>
          <w:sz w:val="18"/>
          <w:szCs w:val="18"/>
          <w:color w:val="auto"/>
        </w:rPr>
        <w:t xml:space="preserve">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11.07. SUBMISSION TO JURISDICTION.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Arial" w:cs="Arial" w:eastAsia="Arial" w:hAnsi="Arial"/>
          <w:sz w:val="17"/>
          <w:szCs w:val="17"/>
          <w:b w:val="1"/>
          <w:bCs w:val="1"/>
          <w:color w:val="auto"/>
        </w:rPr>
        <w:t>Section 11.01</w:t>
      </w:r>
      <w:r>
        <w:rPr>
          <w:rFonts w:ascii="Arial" w:cs="Arial" w:eastAsia="Arial" w:hAnsi="Arial"/>
          <w:sz w:val="17"/>
          <w:szCs w:val="17"/>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11.08. NO ADVERSE INTERPRETATION OF OTHER AGREEMENTS.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11.09. SUCCESSORS.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in this Indenture will bind its successors.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11.10. FORCE MAJEURE.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Section 11.11. U.S.A. PATRIOT ACT.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11.12. CALCULATIONS.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accrued interest on the Notes and the Conversion Rate. Neither the Trustee nor any Conversion Agent will be responsible for making any such calculations or monitoring the price of the Common Stock.</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11.13. SEVERABILITY.</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11.14. COUNTERPARTS.</w:t>
      </w:r>
    </w:p>
    <w:p>
      <w:pPr>
        <w:spacing w:after="0" w:line="22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11.15. TABLE OF CONTENTS, HEADINGS, ETC.</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Section 11.16. WITHHOLDING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to the Conversion Rate, then the Company or such withholding agent, as applicable, may, at its option,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11.17. ADDITIONAL INFORMATION.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agrees (A) to provide the Trustee with such reasonable information as it has in its possession to enable the Trustee to determine whether any payments pursuant to the Indenture are subject to the withholding requirements described in Section 1471(b) of the U.S.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or otherwise imposed pursuant to Sections 1471 through 1474 of the Code and any regulations, or agreements thereunder or official interpretations thereof (“</w:t>
      </w:r>
      <w:r>
        <w:rPr>
          <w:rFonts w:ascii="Arial" w:cs="Arial" w:eastAsia="Arial" w:hAnsi="Arial"/>
          <w:sz w:val="18"/>
          <w:szCs w:val="18"/>
          <w:b w:val="1"/>
          <w:bCs w:val="1"/>
          <w:color w:val="auto"/>
        </w:rPr>
        <w:t>Applicable Law</w:t>
      </w:r>
      <w:r>
        <w:rPr>
          <w:rFonts w:ascii="Arial" w:cs="Arial" w:eastAsia="Arial" w:hAnsi="Arial"/>
          <w:sz w:val="18"/>
          <w:szCs w:val="18"/>
          <w:color w:val="auto"/>
        </w:rPr>
        <w:t>”); and (B) that the Trustee will be entitled to make any withholding or deduction from payments under the Indenture to the extent necessary to comply with Applicable Law.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to this Indenture have caused this Indenture to be duly executed as of the date first written above.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p>
      <w:pPr>
        <w:ind w:left="6200"/>
        <w:spacing w:after="0"/>
        <w:tabs>
          <w:tab w:leader="none" w:pos="6920" w:val="left"/>
        </w:tabs>
        <w:rPr>
          <w:sz w:val="20"/>
          <w:szCs w:val="20"/>
          <w:color w:val="auto"/>
        </w:rPr>
      </w:pPr>
      <w:r>
        <w:rPr>
          <w:rFonts w:ascii="Arial" w:cs="Arial" w:eastAsia="Arial" w:hAnsi="Arial"/>
          <w:sz w:val="18"/>
          <w:szCs w:val="18"/>
          <w:color w:val="auto"/>
        </w:rPr>
        <w:t>Name:</w:t>
        <w:tab/>
        <w:t>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Linda Garcia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Linda Garcia</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8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860" w:type="dxa"/>
            <w:vAlign w:val="bottom"/>
            <w:gridSpan w:val="2"/>
          </w:tcPr>
          <w:p>
            <w:pPr>
              <w:ind w:left="4660"/>
              <w:spacing w:after="0"/>
              <w:rPr>
                <w:sz w:val="20"/>
                <w:szCs w:val="20"/>
                <w:color w:val="auto"/>
              </w:rPr>
            </w:pPr>
            <w:r>
              <w:rPr>
                <w:rFonts w:ascii="Arial" w:cs="Arial" w:eastAsia="Arial" w:hAnsi="Arial"/>
                <w:sz w:val="18"/>
                <w:szCs w:val="18"/>
                <w:color w:val="auto"/>
                <w:w w:val="92"/>
              </w:rPr>
              <w:t>[Signature Page to Indenture]</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392"/>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00" w:type="dxa"/>
            <w:vAlign w:val="bottom"/>
            <w:gridSpan w:val="2"/>
          </w:tcPr>
          <w:p>
            <w:pPr>
              <w:jc w:val="center"/>
              <w:ind w:right="1700"/>
              <w:spacing w:after="0"/>
              <w:rPr>
                <w:sz w:val="20"/>
                <w:szCs w:val="20"/>
                <w:color w:val="auto"/>
              </w:rPr>
            </w:pPr>
            <w:r>
              <w:rPr>
                <w:rFonts w:ascii="Arial" w:cs="Arial" w:eastAsia="Arial" w:hAnsi="Arial"/>
                <w:sz w:val="18"/>
                <w:szCs w:val="18"/>
                <w:color w:val="auto"/>
                <w:w w:val="94"/>
              </w:rPr>
              <w:t>FORM OF NOTE</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6760" w:type="dxa"/>
            <w:vAlign w:val="bottom"/>
            <w:gridSpan w:val="3"/>
          </w:tcPr>
          <w:p>
            <w:pPr>
              <w:jc w:val="center"/>
              <w:ind w:left="199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Insert Global Note Legend, if applicable</w:t>
            </w:r>
            <w:r>
              <w:rPr>
                <w:rFonts w:ascii="Arial" w:cs="Arial" w:eastAsia="Arial" w:hAnsi="Arial"/>
                <w:sz w:val="18"/>
                <w:szCs w:val="18"/>
                <w:color w:val="auto"/>
                <w:w w:val="93"/>
              </w:rPr>
              <w:t>]</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760" w:type="dxa"/>
            <w:vAlign w:val="bottom"/>
            <w:gridSpan w:val="3"/>
          </w:tcPr>
          <w:p>
            <w:pPr>
              <w:jc w:val="center"/>
              <w:ind w:left="197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Insert Restricted Note Legend, if applicable</w:t>
            </w:r>
            <w:r>
              <w:rPr>
                <w:rFonts w:ascii="Arial" w:cs="Arial" w:eastAsia="Arial" w:hAnsi="Arial"/>
                <w:sz w:val="18"/>
                <w:szCs w:val="18"/>
                <w:color w:val="auto"/>
                <w:w w:val="92"/>
              </w:rPr>
              <w:t>]</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760" w:type="dxa"/>
            <w:vAlign w:val="bottom"/>
            <w:gridSpan w:val="3"/>
          </w:tcPr>
          <w:p>
            <w:pPr>
              <w:jc w:val="center"/>
              <w:ind w:left="19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Insert Non-Affiliate Legend</w:t>
            </w:r>
            <w:r>
              <w:rPr>
                <w:rFonts w:ascii="Arial" w:cs="Arial" w:eastAsia="Arial" w:hAnsi="Arial"/>
                <w:sz w:val="18"/>
                <w:szCs w:val="18"/>
                <w:color w:val="auto"/>
                <w:w w:val="94"/>
              </w:rPr>
              <w:t>]</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760" w:type="dxa"/>
            <w:vAlign w:val="bottom"/>
            <w:gridSpan w:val="3"/>
          </w:tcPr>
          <w:p>
            <w:pPr>
              <w:jc w:val="center"/>
              <w:ind w:left="1970"/>
              <w:spacing w:after="0"/>
              <w:rPr>
                <w:sz w:val="20"/>
                <w:szCs w:val="20"/>
                <w:color w:val="auto"/>
              </w:rPr>
            </w:pPr>
            <w:r>
              <w:rPr>
                <w:rFonts w:ascii="Arial" w:cs="Arial" w:eastAsia="Arial" w:hAnsi="Arial"/>
                <w:sz w:val="18"/>
                <w:szCs w:val="18"/>
                <w:b w:val="1"/>
                <w:bCs w:val="1"/>
                <w:color w:val="auto"/>
              </w:rPr>
              <w:t>WINNEBAGO INDUSTRIES, INC.</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760" w:type="dxa"/>
            <w:vAlign w:val="bottom"/>
            <w:gridSpan w:val="3"/>
          </w:tcPr>
          <w:p>
            <w:pPr>
              <w:jc w:val="center"/>
              <w:ind w:left="1970"/>
              <w:spacing w:after="0"/>
              <w:rPr>
                <w:sz w:val="20"/>
                <w:szCs w:val="20"/>
                <w:color w:val="auto"/>
              </w:rPr>
            </w:pPr>
            <w:r>
              <w:rPr>
                <w:rFonts w:ascii="Arial" w:cs="Arial" w:eastAsia="Arial" w:hAnsi="Arial"/>
                <w:sz w:val="18"/>
                <w:szCs w:val="18"/>
                <w:b w:val="1"/>
                <w:bCs w:val="1"/>
                <w:color w:val="auto"/>
                <w:w w:val="91"/>
              </w:rPr>
              <w:t>1.50% Convertible Senior Note due 2025</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CUSIP No.:</w:t>
            </w:r>
          </w:p>
        </w:tc>
        <w:tc>
          <w:tcPr>
            <w:tcW w:w="6760" w:type="dxa"/>
            <w:vAlign w:val="bottom"/>
            <w:gridSpan w:val="3"/>
          </w:tcPr>
          <w:p>
            <w:pPr>
              <w:ind w:left="4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i w:val="1"/>
                <w:iCs w:val="1"/>
                <w:color w:val="auto"/>
              </w:rPr>
              <w:t>Insert for a “restricted” CUSIP number</w:t>
            </w:r>
            <w:r>
              <w:rPr>
                <w:rFonts w:ascii="Arial" w:cs="Arial" w:eastAsia="Arial" w:hAnsi="Arial"/>
                <w:sz w:val="18"/>
                <w:szCs w:val="18"/>
                <w:color w:val="auto"/>
              </w:rPr>
              <w:t>: *]</w:t>
            </w:r>
          </w:p>
        </w:tc>
        <w:tc>
          <w:tcPr>
            <w:tcW w:w="2100" w:type="dxa"/>
            <w:vAlign w:val="bottom"/>
          </w:tcPr>
          <w:p>
            <w:pPr>
              <w:ind w:left="720"/>
              <w:spacing w:after="0"/>
              <w:rPr>
                <w:sz w:val="20"/>
                <w:szCs w:val="20"/>
                <w:color w:val="auto"/>
              </w:rPr>
            </w:pPr>
            <w:r>
              <w:rPr>
                <w:rFonts w:ascii="Arial" w:cs="Arial" w:eastAsia="Arial" w:hAnsi="Arial"/>
                <w:sz w:val="18"/>
                <w:szCs w:val="18"/>
                <w:color w:val="auto"/>
              </w:rPr>
              <w:t>Certificate No.</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ISIN No.:</w:t>
            </w:r>
          </w:p>
        </w:tc>
        <w:tc>
          <w:tcPr>
            <w:tcW w:w="6760" w:type="dxa"/>
            <w:vAlign w:val="bottom"/>
            <w:gridSpan w:val="3"/>
          </w:tcPr>
          <w:p>
            <w:pPr>
              <w:ind w:left="4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i w:val="1"/>
                <w:iCs w:val="1"/>
                <w:color w:val="auto"/>
              </w:rPr>
              <w:t>Insert for a “restricted” ISIN number</w:t>
            </w:r>
            <w:r>
              <w:rPr>
                <w:rFonts w:ascii="Arial" w:cs="Arial" w:eastAsia="Arial" w:hAnsi="Arial"/>
                <w:sz w:val="18"/>
                <w:szCs w:val="18"/>
                <w:color w:val="auto"/>
              </w:rPr>
              <w:t>: *]</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Winnebago Industries, Inc., an Iowa corporation, for value received, promises to pay to [Cede &amp; Co.], or its registered assigns, the principal sum of</w:t>
      </w:r>
    </w:p>
    <w:p>
      <w:pPr>
        <w:spacing w:after="0" w:line="46" w:lineRule="exact"/>
        <w:rPr>
          <w:sz w:val="20"/>
          <w:szCs w:val="20"/>
          <w:color w:val="auto"/>
        </w:rPr>
      </w:pPr>
    </w:p>
    <w:p>
      <w:pPr>
        <w:ind w:right="500" w:firstLine="8"/>
        <w:spacing w:after="0" w:line="290" w:lineRule="auto"/>
        <w:tabs>
          <w:tab w:leader="none" w:pos="1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dollars ($[ ]) [(as revised by the attached Schedule of Exchanges of Interests in the Global Note)]† on April 1, 2025 and to pay interest thereon, as provided in the Indenture referred to below, until the principal and all accrued and unpaid interest are paid or duly provided for.</w:t>
      </w:r>
    </w:p>
    <w:p>
      <w:pPr>
        <w:sectPr>
          <w:pgSz w:w="11900" w:h="16838" w:orient="portrait"/>
          <w:cols w:equalWidth="0" w:num="1">
            <w:col w:w="11420"/>
          </w:cols>
          <w:pgMar w:left="240" w:top="337" w:right="2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April 1 and October 1 of each year, commencing on [</w:t>
      </w:r>
      <w:r>
        <w:rPr>
          <w:rFonts w:ascii="Arial" w:cs="Arial" w:eastAsia="Arial" w:hAnsi="Arial"/>
          <w:sz w:val="16"/>
          <w:szCs w:val="16"/>
          <w:i w:val="1"/>
          <w:iCs w:val="1"/>
          <w:color w:val="auto"/>
        </w:rPr>
        <w:t>date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240" w:space="720"/>
            <w:col w:w="8460"/>
          </w:cols>
          <w:pgMar w:left="240" w:top="337"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Regular Record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March 15 and September 15.</w:t>
      </w:r>
    </w:p>
    <w:p>
      <w:pPr>
        <w:spacing w:after="0" w:line="200" w:lineRule="exact"/>
        <w:rPr>
          <w:sz w:val="20"/>
          <w:szCs w:val="20"/>
          <w:color w:val="auto"/>
        </w:rPr>
      </w:pPr>
    </w:p>
    <w:p>
      <w:pPr>
        <w:sectPr>
          <w:pgSz w:w="11900" w:h="16838" w:orient="portrait"/>
          <w:cols w:equalWidth="0" w:num="2">
            <w:col w:w="2240" w:space="720"/>
            <w:col w:w="8460"/>
          </w:cols>
          <w:pgMar w:left="240" w:top="337"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20" w:right="160" w:hanging="323"/>
        <w:spacing w:after="0" w:line="291" w:lineRule="auto"/>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Note will be deemed to be identified by CUSIP No. [ ] and ISIN No. [ ] from and after such time when the Company delivers, pursuant to Section 2.12 of the within-mentioned Indenture, written notice to the Trustee of the deemed removal of the Restricted Note Legend affixed to this Note.</w:t>
      </w: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Insert bracketed language for Global Notes only.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90" w:name="page91"/>
    <w:bookmarkEnd w:id="90"/>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Winnebago Industries, Inc. has caused this instrument to be duly executed as of the date set forth below.</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80"/>
          </w:cols>
          <w:pgMar w:left="240" w:top="337" w:right="1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 certifies that this is one of the Notes referred to in the within-mentioned Indenture.</w:t>
      </w: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3"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92" w:name="page93"/>
    <w:bookmarkEnd w:id="92"/>
    <w:p>
      <w:pPr>
        <w:ind w:left="4320"/>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1.50% Convertible Senior Note due 2025</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This Note is one of a duly authorized issue of notes of Winnebago Industries, Inc., an Iowa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designated as its 1.50% Convertible Senior Notes due 2025 (the “</w:t>
      </w:r>
      <w:r>
        <w:rPr>
          <w:rFonts w:ascii="Arial" w:cs="Arial" w:eastAsia="Arial" w:hAnsi="Arial"/>
          <w:sz w:val="18"/>
          <w:szCs w:val="18"/>
          <w:b w:val="1"/>
          <w:bCs w:val="1"/>
          <w:color w:val="auto"/>
        </w:rPr>
        <w:t>Notes</w:t>
      </w:r>
      <w:r>
        <w:rPr>
          <w:rFonts w:ascii="Arial" w:cs="Arial" w:eastAsia="Arial" w:hAnsi="Arial"/>
          <w:sz w:val="18"/>
          <w:szCs w:val="18"/>
          <w:color w:val="auto"/>
        </w:rPr>
        <w:t>”), all issued or to be issued pursuant to an indenture, dated as of November 1, 2019 (as the same may be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Capitalized terms used in this Note without definition have the respective meanings ascribed to them in the Indenture.</w:t>
      </w:r>
    </w:p>
    <w:p>
      <w:pPr>
        <w:spacing w:after="0" w:line="184"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77" w:lineRule="exact"/>
        <w:rPr>
          <w:sz w:val="20"/>
          <w:szCs w:val="20"/>
          <w:color w:val="auto"/>
        </w:rPr>
      </w:pPr>
    </w:p>
    <w:p>
      <w:pPr>
        <w:ind w:right="140" w:firstLine="656"/>
        <w:spacing w:after="0" w:line="282" w:lineRule="auto"/>
        <w:tabs>
          <w:tab w:leader="none" w:pos="1368"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This Note will accrue interest at a rate and in the manner set forth in Section 2.05 of the Indenture. Stated Interest on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will begin to accrue from, and including,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380" w:hanging="724"/>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Maturity</w:t>
      </w:r>
      <w:r>
        <w:rPr>
          <w:rFonts w:ascii="Arial" w:cs="Arial" w:eastAsia="Arial" w:hAnsi="Arial"/>
          <w:sz w:val="18"/>
          <w:szCs w:val="18"/>
          <w:color w:val="auto"/>
        </w:rPr>
        <w:t>. This Note will mature on April 1, 2025, unless earlier repurchased or converted.</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Method of Payment</w:t>
      </w:r>
      <w:r>
        <w:rPr>
          <w:rFonts w:ascii="Arial" w:cs="Arial" w:eastAsia="Arial" w:hAnsi="Arial"/>
          <w:sz w:val="18"/>
          <w:szCs w:val="18"/>
          <w:color w:val="auto"/>
        </w:rPr>
        <w:t>. Cash amounts due on this Note will be paid in the manner set forth in Section 2.04 of the Indenture.</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Persons Deemed Owners</w:t>
      </w:r>
      <w:r>
        <w:rPr>
          <w:rFonts w:ascii="Arial" w:cs="Arial" w:eastAsia="Arial" w:hAnsi="Arial"/>
          <w:sz w:val="18"/>
          <w:szCs w:val="18"/>
          <w:color w:val="auto"/>
        </w:rPr>
        <w:t>. The Holder of this Note will be treated as the owner of this Note for all purposes.</w:t>
      </w:r>
    </w:p>
    <w:p>
      <w:pPr>
        <w:spacing w:after="0" w:line="225" w:lineRule="exact"/>
        <w:rPr>
          <w:rFonts w:ascii="Arial" w:cs="Arial" w:eastAsia="Arial" w:hAnsi="Arial"/>
          <w:sz w:val="18"/>
          <w:szCs w:val="18"/>
          <w:color w:val="auto"/>
        </w:rPr>
      </w:pPr>
    </w:p>
    <w:p>
      <w:pPr>
        <w:ind w:right="20" w:firstLine="656"/>
        <w:spacing w:after="0" w:line="266" w:lineRule="auto"/>
        <w:tabs>
          <w:tab w:leader="none" w:pos="1368"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Denominations; Transfers and Exchanges</w:t>
      </w:r>
      <w:r>
        <w:rPr>
          <w:rFonts w:ascii="Arial" w:cs="Arial" w:eastAsia="Arial" w:hAnsi="Arial"/>
          <w:sz w:val="18"/>
          <w:szCs w:val="18"/>
          <w:color w:val="auto"/>
        </w:rPr>
        <w:t>. All Notes will be in registered form, without coupons, in principal amounts equal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6" w:lineRule="exact"/>
        <w:rPr>
          <w:rFonts w:ascii="Arial" w:cs="Arial" w:eastAsia="Arial" w:hAnsi="Arial"/>
          <w:sz w:val="18"/>
          <w:szCs w:val="18"/>
          <w:color w:val="auto"/>
        </w:rPr>
      </w:pPr>
    </w:p>
    <w:p>
      <w:pPr>
        <w:jc w:val="both"/>
        <w:ind w:firstLine="656"/>
        <w:spacing w:after="0" w:line="266" w:lineRule="auto"/>
        <w:tabs>
          <w:tab w:leader="none" w:pos="1368"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Right of Holders to Require the Company to Repurchase Notes upon a Fundamental Change</w:t>
      </w:r>
      <w:r>
        <w:rPr>
          <w:rFonts w:ascii="Arial" w:cs="Arial" w:eastAsia="Arial" w:hAnsi="Arial"/>
          <w:sz w:val="18"/>
          <w:szCs w:val="18"/>
          <w:color w:val="auto"/>
        </w:rPr>
        <w:t>. If a Fundamental Change occurs, then</w:t>
      </w:r>
      <w:r>
        <w:rPr>
          <w:rFonts w:ascii="Arial" w:cs="Arial" w:eastAsia="Arial" w:hAnsi="Arial"/>
          <w:sz w:val="18"/>
          <w:szCs w:val="18"/>
          <w:b w:val="1"/>
          <w:bCs w:val="1"/>
          <w:color w:val="auto"/>
        </w:rPr>
        <w:t xml:space="preserve"> </w:t>
      </w:r>
      <w:r>
        <w:rPr>
          <w:rFonts w:ascii="Arial" w:cs="Arial" w:eastAsia="Arial" w:hAnsi="Arial"/>
          <w:sz w:val="18"/>
          <w:szCs w:val="18"/>
          <w:color w:val="auto"/>
        </w:rPr>
        <w:t>each Holder will have the right to require the Company to repurchase such Holder’s Notes (or any portion thereof in an Authorized Denomination) for cash in the manner, and subject to the terms, set forth in Section 4.02 of the Indenture.</w:t>
      </w:r>
    </w:p>
    <w:p>
      <w:pPr>
        <w:spacing w:after="0" w:line="176" w:lineRule="exact"/>
        <w:rPr>
          <w:rFonts w:ascii="Arial" w:cs="Arial" w:eastAsia="Arial" w:hAnsi="Arial"/>
          <w:sz w:val="18"/>
          <w:szCs w:val="18"/>
          <w:color w:val="auto"/>
        </w:rPr>
      </w:pPr>
    </w:p>
    <w:p>
      <w:pPr>
        <w:ind w:right="260" w:firstLine="656"/>
        <w:spacing w:after="0" w:line="282" w:lineRule="auto"/>
        <w:tabs>
          <w:tab w:leader="none" w:pos="1368"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Conversion</w:t>
      </w:r>
      <w:r>
        <w:rPr>
          <w:rFonts w:ascii="Arial" w:cs="Arial" w:eastAsia="Arial" w:hAnsi="Arial"/>
          <w:sz w:val="18"/>
          <w:szCs w:val="18"/>
          <w:color w:val="auto"/>
        </w:rPr>
        <w:t>. The Holder of this Note may convert this Note into Conversion Consideration in the manner, and subject to the terms,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Article 5 of the Indenture.</w:t>
      </w:r>
    </w:p>
    <w:p>
      <w:pPr>
        <w:spacing w:after="0" w:line="161" w:lineRule="exact"/>
        <w:rPr>
          <w:rFonts w:ascii="Arial" w:cs="Arial" w:eastAsia="Arial" w:hAnsi="Arial"/>
          <w:sz w:val="18"/>
          <w:szCs w:val="18"/>
          <w:color w:val="auto"/>
        </w:rPr>
      </w:pPr>
    </w:p>
    <w:p>
      <w:pPr>
        <w:ind w:right="200" w:firstLine="656"/>
        <w:spacing w:after="0" w:line="282" w:lineRule="auto"/>
        <w:tabs>
          <w:tab w:leader="none" w:pos="1368"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When the Company May Merge, Etc</w:t>
      </w:r>
      <w:r>
        <w:rPr>
          <w:rFonts w:ascii="Arial" w:cs="Arial" w:eastAsia="Arial" w:hAnsi="Arial"/>
          <w:sz w:val="18"/>
          <w:szCs w:val="18"/>
          <w:color w:val="auto"/>
        </w:rPr>
        <w:t>. Article 6 of the Indenture places limited restrictions on the Company’s ability to be a party to a</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Event.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3" w:name="page94"/>
    <w:bookmarkEnd w:id="93"/>
    <w:p>
      <w:pPr>
        <w:ind w:right="220" w:firstLine="656"/>
        <w:spacing w:after="0" w:line="266" w:lineRule="auto"/>
        <w:tabs>
          <w:tab w:leader="none" w:pos="1368"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Defaults and Remedies</w:t>
      </w:r>
      <w:r>
        <w:rPr>
          <w:rFonts w:ascii="Arial" w:cs="Arial" w:eastAsia="Arial" w:hAnsi="Arial"/>
          <w:sz w:val="18"/>
          <w:szCs w:val="18"/>
          <w:color w:val="auto"/>
        </w:rPr>
        <w:t>. If an Event of Default occurs, then the principal amount of, and all accrued and unpaid interest on,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then outstanding may (and, in certain circumstances, will automatically) become due and payable in the manner, and subject to the terms, set forth in Article 7 of the Indenture.</w:t>
      </w:r>
    </w:p>
    <w:p>
      <w:pPr>
        <w:spacing w:after="0" w:line="176" w:lineRule="exact"/>
        <w:rPr>
          <w:rFonts w:ascii="Arial" w:cs="Arial" w:eastAsia="Arial" w:hAnsi="Arial"/>
          <w:sz w:val="18"/>
          <w:szCs w:val="18"/>
          <w:color w:val="auto"/>
        </w:rPr>
      </w:pPr>
    </w:p>
    <w:p>
      <w:pPr>
        <w:ind w:right="100" w:firstLine="656"/>
        <w:spacing w:after="0" w:line="313" w:lineRule="auto"/>
        <w:tabs>
          <w:tab w:leader="none" w:pos="1323"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Amendments, Supplements and Waivers</w:t>
      </w:r>
      <w:r>
        <w:rPr>
          <w:rFonts w:ascii="Arial" w:cs="Arial" w:eastAsia="Arial" w:hAnsi="Arial"/>
          <w:sz w:val="17"/>
          <w:szCs w:val="17"/>
          <w:color w:val="auto"/>
        </w:rPr>
        <w:t>. The Company and the Trustee may amend or supplement the Indenture or the Notes or waive</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any provision of the Indenture or the Notes in the manner, and subject to the terms, set forth in Article 8 of the Indenture.</w:t>
      </w:r>
    </w:p>
    <w:p>
      <w:pPr>
        <w:spacing w:after="0" w:line="138" w:lineRule="exact"/>
        <w:rPr>
          <w:rFonts w:ascii="Arial" w:cs="Arial" w:eastAsia="Arial" w:hAnsi="Arial"/>
          <w:sz w:val="17"/>
          <w:szCs w:val="17"/>
          <w:color w:val="auto"/>
        </w:rPr>
      </w:pPr>
    </w:p>
    <w:p>
      <w:pPr>
        <w:ind w:firstLine="656"/>
        <w:spacing w:after="0" w:line="261" w:lineRule="auto"/>
        <w:tabs>
          <w:tab w:leader="none" w:pos="1317"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No Personal Liability of Directors, Officers, Employees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7"/>
          <w:szCs w:val="17"/>
          <w:color w:val="auto"/>
        </w:rPr>
        <w:t>No past, present or future director, officer, employee,</w:t>
      </w:r>
      <w:r>
        <w:rPr>
          <w:rFonts w:ascii="Arial" w:cs="Arial" w:eastAsia="Arial" w:hAnsi="Arial"/>
          <w:sz w:val="18"/>
          <w:szCs w:val="18"/>
          <w:b w:val="1"/>
          <w:bCs w:val="1"/>
          <w:color w:val="auto"/>
        </w:rPr>
        <w:t xml:space="preserve"> </w:t>
      </w:r>
      <w:r>
        <w:rPr>
          <w:rFonts w:ascii="Arial" w:cs="Arial" w:eastAsia="Arial" w:hAnsi="Arial"/>
          <w:sz w:val="17"/>
          <w:szCs w:val="17"/>
          <w:color w:val="auto"/>
        </w:rPr>
        <w:t xml:space="preserve">incorporator or stockholder of the Company, as such, will have any liability for any obligations of the Company under the Indenture </w:t>
      </w:r>
      <w:r>
        <w:rPr>
          <w:rFonts w:ascii="Arial" w:cs="Arial" w:eastAsia="Arial" w:hAnsi="Arial"/>
          <w:sz w:val="18"/>
          <w:szCs w:val="18"/>
          <w:color w:val="auto"/>
        </w:rPr>
        <w:t>or the Notes or for any claim</w:t>
      </w:r>
      <w:r>
        <w:rPr>
          <w:rFonts w:ascii="Arial" w:cs="Arial" w:eastAsia="Arial" w:hAnsi="Arial"/>
          <w:sz w:val="17"/>
          <w:szCs w:val="17"/>
          <w:color w:val="auto"/>
        </w:rPr>
        <w:t xml:space="preserve"> </w:t>
      </w:r>
      <w:r>
        <w:rPr>
          <w:rFonts w:ascii="Arial" w:cs="Arial" w:eastAsia="Arial" w:hAnsi="Arial"/>
          <w:sz w:val="18"/>
          <w:szCs w:val="18"/>
          <w:color w:val="auto"/>
        </w:rPr>
        <w:t>based on, in respect of, or by reason of, such obligations or their creation. By accepting any Note, each Holder waives and releases all such liability. Such waiver and release are part of the consideration for the issuance of the Notes.</w:t>
      </w:r>
    </w:p>
    <w:p>
      <w:pPr>
        <w:spacing w:after="0" w:line="184" w:lineRule="exact"/>
        <w:rPr>
          <w:rFonts w:ascii="Arial" w:cs="Arial" w:eastAsia="Arial" w:hAnsi="Arial"/>
          <w:sz w:val="18"/>
          <w:szCs w:val="18"/>
          <w:color w:val="auto"/>
        </w:rPr>
      </w:pPr>
    </w:p>
    <w:p>
      <w:pPr>
        <w:ind w:right="120" w:firstLine="656"/>
        <w:spacing w:after="0" w:line="308" w:lineRule="auto"/>
        <w:tabs>
          <w:tab w:leader="none" w:pos="1323"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Authentication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No Note will be valid until it is authenticated by the Trustee. A Note will be deemed to be duly authenticated only when</w:t>
      </w:r>
      <w:r>
        <w:rPr>
          <w:rFonts w:ascii="Arial" w:cs="Arial" w:eastAsia="Arial" w:hAnsi="Arial"/>
          <w:sz w:val="17"/>
          <w:szCs w:val="17"/>
          <w:b w:val="1"/>
          <w:bCs w:val="1"/>
          <w:color w:val="auto"/>
        </w:rPr>
        <w:t xml:space="preserve"> </w:t>
      </w:r>
      <w:r>
        <w:rPr>
          <w:rFonts w:ascii="Arial" w:cs="Arial" w:eastAsia="Arial" w:hAnsi="Arial"/>
          <w:sz w:val="17"/>
          <w:szCs w:val="17"/>
          <w:color w:val="auto"/>
        </w:rPr>
        <w:t>an authorized signatory of the Trustee (or a duly appointed authenticating agent) manually signs the certificate of authentication of such Note.</w:t>
      </w:r>
    </w:p>
    <w:p>
      <w:pPr>
        <w:spacing w:after="0" w:line="142" w:lineRule="exact"/>
        <w:rPr>
          <w:rFonts w:ascii="Arial" w:cs="Arial" w:eastAsia="Arial" w:hAnsi="Arial"/>
          <w:sz w:val="17"/>
          <w:szCs w:val="17"/>
          <w:color w:val="auto"/>
        </w:rPr>
      </w:pPr>
    </w:p>
    <w:p>
      <w:pPr>
        <w:ind w:right="240" w:firstLine="656"/>
        <w:spacing w:after="0" w:line="266" w:lineRule="auto"/>
        <w:tabs>
          <w:tab w:leader="none" w:pos="1323"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Abbreviations</w:t>
      </w:r>
      <w:r>
        <w:rPr>
          <w:rFonts w:ascii="Arial" w:cs="Arial" w:eastAsia="Arial" w:hAnsi="Arial"/>
          <w:sz w:val="18"/>
          <w:szCs w:val="18"/>
          <w:color w:val="auto"/>
        </w:rPr>
        <w:t>. Customary abbreviations may be used in the name of a Holder or its assignee, such as TEN COM (tenants in common),</w:t>
      </w:r>
      <w:r>
        <w:rPr>
          <w:rFonts w:ascii="Arial" w:cs="Arial" w:eastAsia="Arial" w:hAnsi="Arial"/>
          <w:sz w:val="18"/>
          <w:szCs w:val="18"/>
          <w:b w:val="1"/>
          <w:bCs w:val="1"/>
          <w:color w:val="auto"/>
        </w:rPr>
        <w:t xml:space="preserve"> </w:t>
      </w:r>
      <w:r>
        <w:rPr>
          <w:rFonts w:ascii="Arial" w:cs="Arial" w:eastAsia="Arial" w:hAnsi="Arial"/>
          <w:sz w:val="18"/>
          <w:szCs w:val="18"/>
          <w:color w:val="auto"/>
        </w:rPr>
        <w:t>TEN ENT (tenants by the entireties), JT TEN (joint tenants with right of survivorship and not as tenants in common), CUST (custodian), and U/G/M/A (Uniform Gift to Minors Act).</w:t>
      </w:r>
    </w:p>
    <w:p>
      <w:pPr>
        <w:spacing w:after="0" w:line="176" w:lineRule="exact"/>
        <w:rPr>
          <w:rFonts w:ascii="Arial" w:cs="Arial" w:eastAsia="Arial" w:hAnsi="Arial"/>
          <w:sz w:val="18"/>
          <w:szCs w:val="18"/>
          <w:color w:val="auto"/>
        </w:rPr>
      </w:pPr>
    </w:p>
    <w:p>
      <w:pPr>
        <w:ind w:right="460" w:firstLine="656"/>
        <w:spacing w:after="0" w:line="282" w:lineRule="auto"/>
        <w:tabs>
          <w:tab w:leader="none" w:pos="1323"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NOTE, AND ANY CLAIM, CONTROVERSY OR DISPUTE ARISING UNDER OR RELATED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WILL BE GOVERNED BY AND CONSTRUED IN ACCORDANCE WITH THE LAWS OF THE STATE OF NEW YORK</w:t>
      </w:r>
      <w:r>
        <w:rPr>
          <w:rFonts w:ascii="Arial" w:cs="Arial" w:eastAsia="Arial" w:hAnsi="Arial"/>
          <w:sz w:val="17"/>
          <w:szCs w:val="17"/>
          <w:color w:val="auto"/>
        </w:rPr>
        <w:t>.</w:t>
      </w:r>
    </w:p>
    <w:p>
      <w:pPr>
        <w:spacing w:after="0" w:line="1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request a copy of the Indenture, which the Company will provide to any Holder at no charge, please send a written request to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13200 Pioneer Trail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Eden Prairie, MN 55347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SCHEDULE OF EXCHANGES OF INTERESTS IN THE GLOBAL NOTE</w:t>
      </w:r>
      <w:r>
        <w:rPr>
          <w:rFonts w:ascii="Arial" w:cs="Arial" w:eastAsia="Arial" w:hAnsi="Arial"/>
          <w:sz w:val="18"/>
          <w:szCs w:val="18"/>
          <w:color w:val="auto"/>
        </w:rPr>
        <w:t>*</w:t>
      </w:r>
    </w:p>
    <w:p>
      <w:pPr>
        <w:spacing w:after="0" w:line="22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INITIAL PRINCIPAL AMOUNT OF THIS GLOBAL NOTE: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transfers or cancellations of this Global Note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Amount of Increase</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 of</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2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2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After Such Increase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this Global Note</w:t>
            </w: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Signatory of Trustee</w:t>
            </w: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880" w:type="dxa"/>
            <w:vAlign w:val="bottom"/>
            <w:tcBorders>
              <w:bottom w:val="single" w:sz="8" w:color="808080"/>
            </w:tcBorders>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Insert for Global Notes only.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jc w:val="center"/>
        <w:ind w:right="-33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1.50% Convertible Senior Notes due 2025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of the Indenture, by executing and delivering this Conversion Notice, the undersigned Holder of the Note identified below directs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to convert (check one):</w:t>
      </w:r>
    </w:p>
    <w:p>
      <w:pPr>
        <w:spacing w:after="0" w:line="211"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the entire principal amount of</w:t>
      </w:r>
    </w:p>
    <w:p>
      <w:pPr>
        <w:sectPr>
          <w:pgSz w:w="11900" w:h="16838" w:orient="portrait"/>
          <w:cols w:equalWidth="0" w:num="1">
            <w:col w:w="11080"/>
          </w:cols>
          <w:pgMar w:left="240" w:top="337" w:right="579" w:bottom="1440" w:gutter="0" w:footer="0" w:header="0"/>
        </w:sectPr>
      </w:pPr>
    </w:p>
    <w:p>
      <w:pPr>
        <w:spacing w:after="0" w:line="22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aggregate principal amount of</w:t>
      </w:r>
    </w:p>
    <w:p>
      <w:pPr>
        <w:spacing w:after="0" w:line="222" w:lineRule="exact"/>
        <w:rPr>
          <w:sz w:val="20"/>
          <w:szCs w:val="20"/>
          <w:color w:val="auto"/>
        </w:rPr>
      </w:pPr>
    </w:p>
    <w:p>
      <w:pPr>
        <w:sectPr>
          <w:pgSz w:w="11900" w:h="16838" w:orient="portrait"/>
          <w:cols w:equalWidth="0" w:num="2">
            <w:col w:w="580" w:space="720"/>
            <w:col w:w="9780"/>
          </w:cols>
          <w:pgMar w:left="240" w:top="337" w:right="5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Note identified by CUSIP No.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and Certificate No.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2760" w:space="720"/>
            <w:col w:w="1640" w:space="720"/>
            <w:col w:w="5240"/>
          </w:cols>
          <w:pgMar w:left="240" w:top="337" w:right="579" w:bottom="1440" w:gutter="0" w:footer="0" w:header="0"/>
          <w:type w:val="continuous"/>
        </w:sectPr>
      </w:pPr>
    </w:p>
    <w:p>
      <w:pPr>
        <w:spacing w:after="0" w:line="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Must be an Authorized Denomination.</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240" w:top="337" w:right="579" w:bottom="1440" w:gutter="0" w:footer="0" w:header="0"/>
          <w:type w:val="continuous"/>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FUNDAMENTAL CHANGE REPURCHASE NOTICE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 Convertible Senior Notes due 2025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7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the entire principal amount of</w:t>
      </w:r>
    </w:p>
    <w:p>
      <w:pPr>
        <w:sectPr>
          <w:pgSz w:w="11900" w:h="16838" w:orient="portrait"/>
          <w:cols w:equalWidth="0" w:num="1">
            <w:col w:w="11400"/>
          </w:cols>
          <w:pgMar w:left="240" w:top="337" w:right="259" w:bottom="1440" w:gutter="0" w:footer="0" w:header="0"/>
        </w:sectPr>
      </w:pPr>
    </w:p>
    <w:p>
      <w:pPr>
        <w:spacing w:after="0" w:line="22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aggregate principal amount of</w:t>
      </w:r>
    </w:p>
    <w:p>
      <w:pPr>
        <w:spacing w:after="0" w:line="222" w:lineRule="exact"/>
        <w:rPr>
          <w:sz w:val="20"/>
          <w:szCs w:val="20"/>
          <w:color w:val="auto"/>
        </w:rPr>
      </w:pPr>
    </w:p>
    <w:p>
      <w:pPr>
        <w:sectPr>
          <w:pgSz w:w="11900" w:h="16838" w:orient="portrait"/>
          <w:cols w:equalWidth="0" w:num="2">
            <w:col w:w="580" w:space="720"/>
            <w:col w:w="10100"/>
          </w:cols>
          <w:pgMar w:left="240" w:top="337"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Note identified by CUSIP No.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and Certificate No.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2760" w:space="720"/>
            <w:col w:w="1640" w:space="720"/>
            <w:col w:w="5560"/>
          </w:cols>
          <w:pgMar w:left="240" w:top="337" w:right="259" w:bottom="1440" w:gutter="0" w:footer="0" w:header="0"/>
          <w:type w:val="continuous"/>
        </w:sectPr>
      </w:pPr>
    </w:p>
    <w:p>
      <w:pPr>
        <w:spacing w:after="0" w:line="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undersigned acknowledges that this Note, duly endorsed for transfer, must be delivered to the Paying Agent before the Fundamental Change Repurchase Price will be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Must be an Authorized Denomination.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97" w:name="page98"/>
    <w:bookmarkEnd w:id="97"/>
    <w:p>
      <w:pPr>
        <w:jc w:val="center"/>
        <w:ind w:right="-12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1.50% Convertible Senior Notes due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Indenture, the undersigned Holder of the within Note assigns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irrevocably appoints: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left="5740"/>
        <w:spacing w:after="0"/>
        <w:rPr>
          <w:sz w:val="20"/>
          <w:szCs w:val="20"/>
          <w:color w:val="auto"/>
        </w:rPr>
      </w:pPr>
      <w:r>
        <w:rPr>
          <w:rFonts w:ascii="Arial" w:cs="Arial" w:eastAsia="Arial" w:hAnsi="Arial"/>
          <w:sz w:val="16"/>
          <w:szCs w:val="16"/>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-115570</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6"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98" w:name="page99"/>
    <w:bookmarkEnd w:id="98"/>
    <w:p>
      <w:pPr>
        <w:ind w:left="4160"/>
        <w:spacing w:after="0"/>
        <w:rPr>
          <w:sz w:val="20"/>
          <w:szCs w:val="20"/>
          <w:color w:val="auto"/>
        </w:rPr>
      </w:pPr>
      <w:r>
        <w:rPr>
          <w:rFonts w:ascii="Arial" w:cs="Arial" w:eastAsia="Arial" w:hAnsi="Arial"/>
          <w:sz w:val="18"/>
          <w:szCs w:val="18"/>
          <w:color w:val="auto"/>
        </w:rPr>
        <w:t>TRANSFEROR ACKNOWLEDGEMENT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within Note bears a Restricted Note Legend, the undersigned further certifies that (check one):</w:t>
      </w:r>
    </w:p>
    <w:p>
      <w:pPr>
        <w:spacing w:after="0" w:line="225" w:lineRule="exact"/>
        <w:rPr>
          <w:sz w:val="20"/>
          <w:szCs w:val="20"/>
          <w:color w:val="auto"/>
        </w:rPr>
      </w:pPr>
    </w:p>
    <w:p>
      <w:pPr>
        <w:ind w:left="260" w:hanging="252"/>
        <w:spacing w:after="0"/>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   Such Transfer is being made to the Company or a Subsidiary of the Company.</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 Such Transfer is being made pursuant to, and in accordance with, a registration statement that is effective under the Securities Act at the time of the Transfer.</w:t>
      </w:r>
    </w:p>
    <w:p>
      <w:pPr>
        <w:spacing w:after="0" w:line="170" w:lineRule="exact"/>
        <w:rPr>
          <w:rFonts w:ascii="Arial" w:cs="Arial" w:eastAsia="Arial" w:hAnsi="Arial"/>
          <w:sz w:val="18"/>
          <w:szCs w:val="18"/>
          <w:color w:val="auto"/>
        </w:rPr>
      </w:pPr>
    </w:p>
    <w:p>
      <w:pPr>
        <w:ind w:left="660" w:hanging="652"/>
        <w:spacing w:after="0" w:line="286" w:lineRule="auto"/>
        <w:tabs>
          <w:tab w:leader="none" w:pos="2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color w:val="auto"/>
        </w:rPr>
        <w:t xml:space="preserve">Rule 144A. </w:t>
      </w:r>
      <w:r>
        <w:rPr>
          <w:rFonts w:ascii="Arial" w:cs="Arial" w:eastAsia="Arial" w:hAnsi="Arial"/>
          <w:sz w:val="17"/>
          <w:szCs w:val="17"/>
          <w:b w:val="1"/>
          <w:bCs w:val="1"/>
          <w:color w:val="auto"/>
        </w:rPr>
        <w:t>If this item is checked, then the transferee must complete and execute the acknowledgment contained on the next page</w:t>
      </w:r>
      <w:r>
        <w:rPr>
          <w:rFonts w:ascii="Arial" w:cs="Arial" w:eastAsia="Arial" w:hAnsi="Arial"/>
          <w:sz w:val="17"/>
          <w:szCs w:val="17"/>
          <w:color w:val="auto"/>
        </w:rPr>
        <w:t>.</w:t>
      </w:r>
    </w:p>
    <w:p>
      <w:pPr>
        <w:spacing w:after="0" w:line="222" w:lineRule="exact"/>
        <w:rPr>
          <w:rFonts w:ascii="Arial" w:cs="Arial" w:eastAsia="Arial" w:hAnsi="Arial"/>
          <w:sz w:val="16"/>
          <w:szCs w:val="16"/>
          <w:color w:val="auto"/>
        </w:rPr>
      </w:pPr>
    </w:p>
    <w:p>
      <w:pPr>
        <w:ind w:left="660" w:right="80" w:hanging="652"/>
        <w:spacing w:after="0" w:line="277"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 Such Transfer is being made pursuant to, and in accordance with, any other available exemption from the registration requirements of the Securities Act (including, if available, the exemption provided by Rule 144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31388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color w:val="auto"/>
        </w:rPr>
        <w:t>TRANSFEREE ACKNOWLEDGEMENT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31388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B-1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RESTRICTED NOTE LEGEND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OFFER AND SALE OF THIS NOTE AND THE SHARES OF COMMON STOCK, IF ANY, ISSUABLE UPON CONVERSION OF THIS NOTE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HAVE NOT BEEN REGISTERED UNDER THE SECURITIES ACT OF 1933, AS AMENDED (THE “SECURITIES ACT”), AND THIS NOTE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MAY NOT BE OFFERED, SOLD OR OTHERWISE TRANSFERRED EXCEPT IN ACCORDANCE WITH THE FOLLOWING SENTENCE. BY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 HEREOF OR OF A BENEFICIAL INTEREST HEREIN, THE ACQUIRER:</w:t>
      </w:r>
    </w:p>
    <w:p>
      <w:pPr>
        <w:spacing w:after="0" w:line="211" w:lineRule="exact"/>
        <w:rPr>
          <w:sz w:val="20"/>
          <w:szCs w:val="20"/>
          <w:color w:val="auto"/>
        </w:rPr>
      </w:pPr>
    </w:p>
    <w:p>
      <w:pPr>
        <w:ind w:left="660" w:right="180" w:hanging="652"/>
        <w:spacing w:after="0" w:line="264" w:lineRule="auto"/>
        <w:tabs>
          <w:tab w:leader="none" w:pos="6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AGREES FOR THE BENEFIT OF THE COMPANY THAT IT WILL NOT OFFER, SELL OR OTHERWISE TRANSFER THIS NOTE OR ANY BENEFICIAL INTEREST HEREIN, EXCEPT ONLY: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THE COMPANY OR ANY SUBSIDIARY THEREOF;</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PURSUANT TO A REGISTRATION STATEMENT THAT HAS BECOME EFFECTIVE UNDER THE SECURITIES ACT;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PURSUANT TO RULE 144 UNDER THE SECURITIES ACT; OR</w:t>
      </w:r>
    </w:p>
    <w:p>
      <w:pPr>
        <w:spacing w:after="0" w:line="225" w:lineRule="exact"/>
        <w:rPr>
          <w:rFonts w:ascii="Arial" w:cs="Arial" w:eastAsia="Arial" w:hAnsi="Arial"/>
          <w:sz w:val="18"/>
          <w:szCs w:val="18"/>
          <w:color w:val="auto"/>
        </w:rPr>
      </w:pPr>
    </w:p>
    <w:p>
      <w:pPr>
        <w:ind w:left="1300" w:right="800" w:hanging="644"/>
        <w:spacing w:after="0" w:line="277" w:lineRule="auto"/>
        <w:tabs>
          <w:tab w:leader="none" w:pos="131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PURSUANT TO ANY OTHER EXEMPTION FROM, OR IN A TRANSACTION NOT SUBJECT TO, THE REGISTRATION REQUIREMENTS OF THE SECURITIES ACT.</w:t>
      </w:r>
    </w:p>
    <w:p>
      <w:pPr>
        <w:spacing w:after="0" w:line="17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BEFORE THE REGISTRATION OF ANY SALE OR TRANSFER IN ACCORDANCE WITH (2)(C), (D) OR (E) ABOVE, THE COMPANY, THE TRUSTEE AND THE REGISTRAR RESERVE THE RIGHT TO REQUIRE THE DELIVERY OF SUCH CERTIFICATES OR OTHER DOCUMENTATION OR EVIDENCE AS THE COMPANY MAY REASONABLY REQUIRE IN ORDER TO DETERMINE THAT THE PROPOSED SALE OR TRANSFER IS BEING MADE IN COMPLIANCE WITH THE SECURITIES ACT AND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1" w:lineRule="exact"/>
        <w:rPr>
          <w:sz w:val="20"/>
          <w:szCs w:val="20"/>
          <w:color w:val="auto"/>
        </w:rPr>
      </w:pPr>
    </w:p>
    <w:p>
      <w:pPr>
        <w:ind w:left="160" w:right="40" w:hanging="152"/>
        <w:spacing w:after="0" w:line="277" w:lineRule="auto"/>
        <w:tabs>
          <w:tab w:leader="none" w:pos="1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paragraph and the immediately preceding paragraph will be deemed to be removed from the face of this Note at such time when the Company delivers written notice to the Trustee of such deemed removal pursuant to Section 2.12 of the within-mentioned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GLOBAL NOTE LEGEND</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DTC), ANY TRANSFER, PLEDGE OR OTHER USE HEREOF FOR VALUE OR OTHERWISE BY OR TO ANY PERSON IS WRONGFUL SINCE THE REGISTERED OWNER HEREOF, CEDE &amp; CO., HAS AN INTEREST HEREIN.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B-3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NON-AFFILIATE LEGEND</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AFFILIATE (AS DEFINED IN RULE 144 UNDER THE SECURITIES ACT OF 1933, AS AMENDED) OF THE COMPANY MAY PURCHASE OR OTHERWISE ACQUIRE THIS NOTE OR ANY BENEFICIAL INTEREST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 Convertible Senior Notes Due 2025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Purchase Agreement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October 29,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Winnebago Industries, Inc., an Iowa corporation (the “Company”), proposes, subject to the terms and conditions set forth in this agreement (this “Agreement”), to issue and sell to the several Initial Purchasers named in Schedule I hereto (the “Purchasers”) an aggregate of $270,000,000 principal amount of its 1.50% Convertible Senior Notes due 2025 (the “Firm Securities”) and, at the option of the Purchasers, up to an additional $30,000,000 aggregate principal amount of its 1.50% Convertible Senior Notes due 2025 (the “Optional Securities”) if and to the extent that the Purchasers shall exercise the option to purchase such Optional Securities granted to the Purchasers in Section 2 hereof. The Firm Securities and the Optional Securities are herein referred to collectively as the “Securities.” The Securities will be convertible into cash, shares of common stock, par value $0.50 per share, of the Company (“Stock”), or a combination of cash and shares of Stock, at the option of the Company, on the terms, and subject to the conditions, set forth in the Indenture (as defined below).</w:t>
      </w:r>
    </w:p>
    <w:p>
      <w:pPr>
        <w:spacing w:after="0" w:line="19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the date of this Agreement, the Company and its subsidiary, Octavius Corporation (“Octavius”), are each a party to a stock purchase agreement, dated as of September 15, 2019 (as amended and supplemented to date, the “Stock Purchase Agreement,” which term, as used herein, includes all exhibits, schedules and attachments thereto, in each case as amended or supplemented, if applicable) to acquire (the “Acquisition”) all of the outstanding equity interests of Newmar Corporation, an Indiana corporation, Dutch Real Estate Corp., an Indiana corporation, New-Way Transport Corp., an Indiana corporation, New-Serv, Inc., an Indiana corporation and certain other entities specified in the Stock Purchase Agreement (collectively, the “Newmar Entities”).</w:t>
      </w:r>
    </w:p>
    <w:p>
      <w:pPr>
        <w:spacing w:after="0" w:line="19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Securities will be issued pursuant to an indenture (the “Indenture”), dated as of the Time of Delivery (as defined below), that will be entered into by and between the Company and U.S. Bank National Association, as trustee, registrar, paying agent and conversion agent (in such capacity, the “Trustee”).</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offering of the Firm Securities, the Company is separately entering into convertible note hedge and warrant transactions with certain financial institutions, including one or more of the Purchasers (the “Call Spread Counterparties”) pursuant to convertible note hedge confirmations (the “Base Bond Hedge Confirmations”) and warrant confirmations (the “Base Warrant Confirmations” and, together with the Base Bond Hedge Confirmations, the “Base Call Spread Confirmations”),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ind w:right="20"/>
        <w:spacing w:after="0" w:line="273" w:lineRule="auto"/>
        <w:rPr>
          <w:sz w:val="20"/>
          <w:szCs w:val="20"/>
          <w:color w:val="auto"/>
        </w:rPr>
      </w:pPr>
      <w:r>
        <w:rPr>
          <w:rFonts w:ascii="Arial" w:cs="Arial" w:eastAsia="Arial" w:hAnsi="Arial"/>
          <w:sz w:val="17"/>
          <w:szCs w:val="17"/>
          <w:color w:val="auto"/>
        </w:rPr>
        <w:t>respectively, each to be dated the date hereof, and in connection with any exercise by the Purchasers of their option to purchase any Optional Securities, the Company and the Call Spread Counterparties will enter into additional convertible note hedge and warrant transactions pursuant to additional convertible note hedge confirmations (the “Additional Bond Hedge Confirmations”) and additional warrant confirmations (the “Additional Warrant Confirmations” and, the Additional Warrant Confirmations together with the Additional Bond Hedge Confirmations, the “Additional Call Spread Confirmations”), respectively, each to be dated the date on which the Purchasers exercise their option to purchase such Optional Securities. We refer to the Base Call Spread Confirmations and the Additional Call Spread Confirmations collectively herein as the “Call Spread Confirmations.”</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This Agreement, the Securities and the Indenture are hereinafter referred to collectively as the “Transaction Documents.”</w:t>
      </w:r>
    </w:p>
    <w:p>
      <w:pPr>
        <w:spacing w:after="0" w:line="225" w:lineRule="exact"/>
        <w:rPr>
          <w:sz w:val="20"/>
          <w:szCs w:val="20"/>
          <w:color w:val="auto"/>
        </w:rPr>
      </w:pPr>
    </w:p>
    <w:p>
      <w:pPr>
        <w:jc w:val="both"/>
        <w:ind w:left="340" w:right="120" w:hanging="332"/>
        <w:spacing w:after="0" w:line="264" w:lineRule="auto"/>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Purchasers (it being understood and agreed that all representations and warranties of the Company and its subsidiaries shall include the Newmar Entities and shall be made to the best knowledge of the Company after due inquiry) as of the date hereof and as of the Time of Delivery, that:</w:t>
      </w:r>
    </w:p>
    <w:p>
      <w:pPr>
        <w:spacing w:after="0" w:line="181" w:lineRule="exact"/>
        <w:rPr>
          <w:rFonts w:ascii="Arial" w:cs="Arial" w:eastAsia="Arial" w:hAnsi="Arial"/>
          <w:sz w:val="18"/>
          <w:szCs w:val="18"/>
          <w:color w:val="auto"/>
        </w:rPr>
      </w:pPr>
    </w:p>
    <w:p>
      <w:pPr>
        <w:ind w:left="1220" w:hanging="564"/>
        <w:spacing w:after="0" w:line="284" w:lineRule="auto"/>
        <w:tabs>
          <w:tab w:leader="none" w:pos="121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 preliminary offering memorandum, dated October 28, 2019 (the “Preliminary Offering Memorandum”), and an offering memorandum, dated October 29, 2019 (the “Offering Memorandum”), have been prepared in connection with the offering of the Securities and the shares of Stock issuable upon conversion thereof. The Preliminary Offering Memorandum, as amended and supplemented immediately prior to the Applicable Time (as defined in Section 1(b)), is hereinafter referred to as the “Pricing Disclosure Package.” Any reference to the Preliminary Offering Memorandum, the Pricing Disclosure Package or the Offering Memorandum shall be deemed to refer to and include all documents filed with the United States Securities and Exchange Commission (the “Commission”) pursuant to Section 13(a), 13(c) or</w:t>
      </w:r>
    </w:p>
    <w:p>
      <w:pPr>
        <w:spacing w:after="0" w:line="4" w:lineRule="exact"/>
        <w:rPr>
          <w:rFonts w:ascii="Arial" w:cs="Arial" w:eastAsia="Arial" w:hAnsi="Arial"/>
          <w:sz w:val="16"/>
          <w:szCs w:val="16"/>
          <w:color w:val="auto"/>
        </w:rPr>
      </w:pPr>
    </w:p>
    <w:p>
      <w:pPr>
        <w:ind w:left="1220"/>
        <w:spacing w:after="0" w:line="267" w:lineRule="auto"/>
        <w:rPr>
          <w:rFonts w:ascii="Arial" w:cs="Arial" w:eastAsia="Arial" w:hAnsi="Arial"/>
          <w:sz w:val="16"/>
          <w:szCs w:val="16"/>
          <w:color w:val="auto"/>
        </w:rPr>
      </w:pPr>
      <w:r>
        <w:rPr>
          <w:rFonts w:ascii="Arial" w:cs="Arial" w:eastAsia="Arial" w:hAnsi="Arial"/>
          <w:sz w:val="17"/>
          <w:szCs w:val="17"/>
          <w:color w:val="auto"/>
        </w:rPr>
        <w:t>15(d) of the United States Securities Exchange Act of 1934, as amended (the “Exchange Act”), on or prior to the date of such circular and incorporated by reference therein and any reference to the Preliminary Offering Memorandum or the Offering Memorandum, as the case may be, as amended or supplemented, as of any specified date, shall be deemed to include (i) any documents filed with the Commission pursuant to Section 13(a), 13(c) or 15(d) of the Exchange Act after the date of the Preliminary Offering Memorandum or the Offering Memorandum, as the case may be, and prior to such specified date and (ii) any Additional Issuer Information (as defined in Section 5(f)) furnished by the Company prior to the completion of the distribution of the Securities; and all documents filed under the Exchange Act and so deemed to be included in the Preliminary Offering Memorandum, the Pricing Disclosure Package or the Offering Memorandum, as the case may be, or any amendment or supplement thereto are hereinafter called the “Exchange Act Reports” (provided that where only sections of such documents are specifically incorporated by reference, only such sections shall be considered to be part of the “Exchange Act Reports”). The Exchange Act Reports, when they were or are filed with the Commission, conformed or will conform in all material respects to the applicable requirements of the Exchange Act and the applicable rules and regulations of the Commission thereunder; and no such documents were filed with the Commission since the Commission’s close of business on the business day immediately prior to the date of this Agreement and prior to the execution of this Agreement, except as set forth on Schedule II(a) hereof. The Preliminary Offering Memorandum or the Offering Memorandum and any amendments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ind w:left="564" w:right="40"/>
        <w:spacing w:after="0" w:line="302" w:lineRule="auto"/>
        <w:rPr>
          <w:sz w:val="20"/>
          <w:szCs w:val="20"/>
          <w:color w:val="auto"/>
        </w:rPr>
      </w:pPr>
      <w:r>
        <w:rPr>
          <w:rFonts w:ascii="Arial" w:cs="Arial" w:eastAsia="Arial" w:hAnsi="Arial"/>
          <w:sz w:val="16"/>
          <w:szCs w:val="16"/>
          <w:color w:val="auto"/>
        </w:rPr>
        <w:t xml:space="preserve">supplements thereto and the Exchange Act Reports did not and will not, as of their respective dates,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any statements or omissions made in reliance upon and in conformity with information furnished in writing to the Company by a Purchaser expressly for use therein.</w:t>
      </w:r>
    </w:p>
    <w:p>
      <w:pPr>
        <w:spacing w:after="0" w:line="154" w:lineRule="exact"/>
        <w:rPr>
          <w:sz w:val="20"/>
          <w:szCs w:val="20"/>
          <w:color w:val="auto"/>
        </w:rPr>
      </w:pPr>
    </w:p>
    <w:p>
      <w:pPr>
        <w:ind w:left="564" w:hanging="564"/>
        <w:spacing w:after="0" w:line="287" w:lineRule="auto"/>
        <w:tabs>
          <w:tab w:leader="none" w:pos="57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 the purposes of this Agreement, the “Applicable Time” is 4:30 pm (Eastern time) on the date of this Agreement; the Pricing Disclosure Package as supplemented by the information set forth in Schedule III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Company Supplemental Disclosure Document (as defined in Section 6(i)) listed on Schedule II(b) hereto and each Permitted General Solicitation Material (as defined in Section 6(i)) listed on Schedule II(d) hereto) does not conflict with the information contained in the Pricing Disclosure Package or the Offering Memorandum and each such Company Supplemental Disclosure Document and Permitted General Solicitation Material,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 Company Supplemental Disclosure Document or Permitted General Solicitation Material in reliance upon and in conformity with information furnished in writing to the Company by a Purchaser expressly for use therein.</w:t>
      </w:r>
    </w:p>
    <w:p>
      <w:pPr>
        <w:spacing w:after="0" w:line="168" w:lineRule="exact"/>
        <w:rPr>
          <w:rFonts w:ascii="Arial" w:cs="Arial" w:eastAsia="Arial" w:hAnsi="Arial"/>
          <w:sz w:val="16"/>
          <w:szCs w:val="16"/>
          <w:color w:val="auto"/>
        </w:rPr>
      </w:pPr>
    </w:p>
    <w:p>
      <w:pPr>
        <w:ind w:left="564" w:right="40" w:hanging="564"/>
        <w:spacing w:after="0" w:line="270" w:lineRule="auto"/>
        <w:tabs>
          <w:tab w:leader="none" w:pos="57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sustained since the date of the latest audited financial statements included in the Pricing Disclosure Package any material loss or interference with its business from fire, explosion, flood or other calamity, whether or not covered by insurance, or from any labor dispute or court or governmental action, order or decree, otherwise than as set forth or contemplated in the Pricing Disclosure Package; and, since the respective dates as of which information is given in the Pricing Disclosure Package, there has not been any change in the capital stock (except for subsequent issuances, if any, pursuant to reservations, agreements or employee benefit plans referred to in the Pricing Disclosure Package and Offering Memorandum or pursuant to the exercise of options referred to in the Pricing Disclosure Package and Offering Memorandum)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taken as a whole, otherwise than as set forth or contemplated in the Pricing Disclosure Package.</w:t>
      </w:r>
    </w:p>
    <w:p>
      <w:pPr>
        <w:spacing w:after="0" w:line="177" w:lineRule="exact"/>
        <w:rPr>
          <w:rFonts w:ascii="Arial" w:cs="Arial" w:eastAsia="Arial" w:hAnsi="Arial"/>
          <w:sz w:val="17"/>
          <w:szCs w:val="17"/>
          <w:color w:val="auto"/>
        </w:rPr>
      </w:pPr>
    </w:p>
    <w:p>
      <w:pPr>
        <w:ind w:left="564" w:right="320" w:hanging="564"/>
        <w:spacing w:after="0" w:line="259" w:lineRule="auto"/>
        <w:tabs>
          <w:tab w:leader="none" w:pos="5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Pricing Disclosure Package and Offering Memorandum or such as do not materially affect the value of such property and do not interfere with the use made and proposed to</w:t>
      </w:r>
    </w:p>
    <w:p>
      <w:pPr>
        <w:spacing w:after="0" w:line="18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06" w:name="page107"/>
    <w:bookmarkEnd w:id="106"/>
    <w:p>
      <w:pPr>
        <w:jc w:val="both"/>
        <w:ind w:left="564"/>
        <w:spacing w:after="0" w:line="286" w:lineRule="auto"/>
        <w:rPr>
          <w:sz w:val="20"/>
          <w:szCs w:val="20"/>
          <w:color w:val="auto"/>
        </w:rPr>
      </w:pPr>
      <w:r>
        <w:rPr>
          <w:rFonts w:ascii="Arial" w:cs="Arial" w:eastAsia="Arial" w:hAnsi="Arial"/>
          <w:sz w:val="17"/>
          <w:szCs w:val="17"/>
          <w:color w:val="auto"/>
        </w:rPr>
        <w:t>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66" w:lineRule="exact"/>
        <w:rPr>
          <w:sz w:val="20"/>
          <w:szCs w:val="20"/>
          <w:color w:val="auto"/>
        </w:rPr>
      </w:pPr>
    </w:p>
    <w:p>
      <w:pPr>
        <w:ind w:left="564" w:right="40" w:hanging="564"/>
        <w:spacing w:after="0" w:line="271" w:lineRule="auto"/>
        <w:tabs>
          <w:tab w:leader="none" w:pos="57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of the Company and its subsidiaries has been duly incorporated and is validly existing as a corporation in good standing under the laws of the jurisdiction in which it is incorporated, chartered, organized or formed with full corporate or limited liability company, as applicable, power and authority to own or lease, as the case may be, and to operate its properties and conduct its business as described in the Pricing Disclosure Package and the Offering Memorandum, and is duly qualified to do business as a foreign corporation and is in good standing under the laws of each jurisdiction which requires such qualification, and in which the failure to so qualify or to so be in good standing would have a material adverse effect on the condition (financial or otherwise), earnings, business or properties of the Company and its subsidiaries, taken as a whole (“Material Adverse Effect”). None of the outstanding shares of capital stock of any subsidiary were issued in violation of the preemptive or similar rights of any securityholder of such subsidiary.</w:t>
      </w:r>
    </w:p>
    <w:p>
      <w:pPr>
        <w:spacing w:after="0" w:line="178" w:lineRule="exact"/>
        <w:rPr>
          <w:rFonts w:ascii="Arial" w:cs="Arial" w:eastAsia="Arial" w:hAnsi="Arial"/>
          <w:sz w:val="17"/>
          <w:szCs w:val="17"/>
          <w:color w:val="auto"/>
        </w:rPr>
      </w:pPr>
    </w:p>
    <w:p>
      <w:pPr>
        <w:ind w:left="564" w:hanging="564"/>
        <w:spacing w:after="0" w:line="289" w:lineRule="auto"/>
        <w:tabs>
          <w:tab w:leader="none" w:pos="56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Pricing Disclosure Package and the Offering Memorandum, and all of the issued shares of capital stock of the Company have been duly and validly authorized and issued and are fully paid and non-assessable; the shares of Stock initially issuable upon conversion of the Securities (assuming full physical settlement of the Securities upon conversion and the maximum conversion rate under any “make-whole” adjustment applies (the “Conversion Shares”)) have been duly and validly authorized and reserved for issuance and, when issued and delivered in accordance with the provisions of the Securities and the Indenture referred to below, will be duly and validly issued, fully paid and non-assessable and will conform to the description of the Stock contained in the Pricing Disclosure Package and the Offering Memorandum; and all of the issued shares of capital stock, partnership interests or membership interests, as applicable, of each subsidiary of the Company have been duly and validly authorized and issued, are fully paid and non-assessable and are owned directly or indirectly by the Company, free and clear of all liens, encumbrances, equities or claims.</w:t>
      </w:r>
    </w:p>
    <w:p>
      <w:pPr>
        <w:spacing w:after="0" w:line="166" w:lineRule="exact"/>
        <w:rPr>
          <w:rFonts w:ascii="Arial" w:cs="Arial" w:eastAsia="Arial" w:hAnsi="Arial"/>
          <w:sz w:val="16"/>
          <w:szCs w:val="16"/>
          <w:color w:val="auto"/>
        </w:rPr>
      </w:pPr>
    </w:p>
    <w:p>
      <w:pPr>
        <w:ind w:left="564" w:right="60" w:hanging="564"/>
        <w:spacing w:after="0" w:line="253" w:lineRule="auto"/>
        <w:tabs>
          <w:tab w:leader="none" w:pos="58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Securities have been duly authorized by the Company and, when issued and delivered at the Time of Delivery pursuant to this Agreement, will have been duly executed, authenticated, issued and delivered and will constitute valid and legally binding obligations of the Company entitled to the benefits provided by the Indenture, under which they are to be issued, which will be substantially in the form previously delivered to you, subject, as to enforcement, to bankruptcy, insolvency, reorganization and other laws of general applicability relating to or affecting creditors’ rights and to general equity principles; the Indenture has been duly authorized by the Company and, when executed and delivered by the Company and the Trustee, the Indenture will constitute a valid and legally binding instrument, enforceable against the Company in accordance with its terms, subject, as to enforcement, to bankruptcy, insolvency, reorganization and other laws of general applicability relating to or affecting creditors’ rights and to general equity principles and entitled to the benefits provided by the Indenture; and the Securities and the</w:t>
      </w:r>
    </w:p>
    <w:p>
      <w:pPr>
        <w:spacing w:after="0" w:line="19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07" w:name="page108"/>
    <w:bookmarkEnd w:id="107"/>
    <w:p>
      <w:pPr>
        <w:ind w:left="564" w:right="160"/>
        <w:spacing w:after="0" w:line="277" w:lineRule="auto"/>
        <w:rPr>
          <w:sz w:val="20"/>
          <w:szCs w:val="20"/>
          <w:color w:val="auto"/>
        </w:rPr>
      </w:pPr>
      <w:r>
        <w:rPr>
          <w:rFonts w:ascii="Arial" w:cs="Arial" w:eastAsia="Arial" w:hAnsi="Arial"/>
          <w:sz w:val="18"/>
          <w:szCs w:val="18"/>
          <w:color w:val="auto"/>
        </w:rPr>
        <w:t>Indenture will conform in all material respects to the descriptions thereof in the Pricing Disclosure Package and the Offering Memorandum and will be in substantially the form previously delivered to you.</w:t>
      </w:r>
    </w:p>
    <w:p>
      <w:pPr>
        <w:spacing w:after="0" w:line="170" w:lineRule="exact"/>
        <w:rPr>
          <w:sz w:val="20"/>
          <w:szCs w:val="20"/>
          <w:color w:val="auto"/>
        </w:rPr>
      </w:pPr>
    </w:p>
    <w:p>
      <w:pPr>
        <w:ind w:left="564" w:hanging="564"/>
        <w:spacing w:after="0" w:line="287" w:lineRule="auto"/>
        <w:tabs>
          <w:tab w:leader="none" w:pos="57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Base Call Spread Confirmations have been, and any Additional Call Spread Confirmations on the date or dates that the Purchasers exercise their right to purchase the relevant Optional Securities will have been, duly authorized, executed and delivered by the Company and, assuming due execution and delivery thereof by the counterparties, constitute, or will constitute, as the case may be, valid and legally binding agreements of the Company enforceable against the Company in accordance with their terms, subject, as to enforcement, to bankruptcy, insolvency, reorganization and other laws of general applicability relating to or affecting creditors’ rights and to general equity principles. A total of 9,414,360 shares of Stock issuable under the Base Warrant Confirmations and any Additional Warrant Confirmations (the “Warrant Shares”), have been duly authorized and reserved for issuance by all necessary corporate action and all shares of Stock issuable upon conversion of the Securities will be duly authorized and reserved for issuance. All shares of Stock issuable upon conversion of the Securities and when issued in accordance with the terms of the Securities and the Indenture, and all Warrant Shares, when issued in accordance with the Base Warrant Confirmations or the Additional Warrant Confirmations, as applicable, will be validly issued, fully paid and non-assessable; no holder of such shares will be subject to personal liability by reason of being such a holder; and the issuance of such shares upon such conversion will not be subject to the preemptive or other similar rights of any securityholder of the Company.</w:t>
      </w:r>
    </w:p>
    <w:p>
      <w:pPr>
        <w:spacing w:after="0" w:line="168" w:lineRule="exact"/>
        <w:rPr>
          <w:rFonts w:ascii="Arial" w:cs="Arial" w:eastAsia="Arial" w:hAnsi="Arial"/>
          <w:sz w:val="16"/>
          <w:szCs w:val="16"/>
          <w:color w:val="auto"/>
        </w:rPr>
      </w:pPr>
    </w:p>
    <w:p>
      <w:pPr>
        <w:ind w:left="564" w:right="200" w:hanging="564"/>
        <w:spacing w:after="0" w:line="277" w:lineRule="auto"/>
        <w:tabs>
          <w:tab w:leader="none" w:pos="5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has all requisite corporate power to execute, deliver and perform its obligations under this Agreement. This Agreement has been duly and validly authorized, executed and delivered by the Company.</w:t>
      </w:r>
    </w:p>
    <w:p>
      <w:pPr>
        <w:spacing w:after="0" w:line="170" w:lineRule="exact"/>
        <w:rPr>
          <w:rFonts w:ascii="Arial" w:cs="Arial" w:eastAsia="Arial" w:hAnsi="Arial"/>
          <w:sz w:val="18"/>
          <w:szCs w:val="18"/>
          <w:color w:val="auto"/>
        </w:rPr>
      </w:pPr>
    </w:p>
    <w:p>
      <w:pPr>
        <w:ind w:left="564" w:right="100" w:hanging="564"/>
        <w:spacing w:after="0" w:line="312" w:lineRule="auto"/>
        <w:tabs>
          <w:tab w:leader="none" w:pos="57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None of the transactions contemplated by this Agreement or the other Transaction Documents (including, without limitation, the use of the proceeds from the sale of the Securities) will violate or result in a violation of Section 7 of the Exchange Act, or any regulation promulgated thereunder, including, without limitation, Regulations T, U, and X of the Board of Governors of the Federal Reserve System.</w:t>
      </w:r>
    </w:p>
    <w:p>
      <w:pPr>
        <w:spacing w:after="0" w:line="146" w:lineRule="exact"/>
        <w:rPr>
          <w:rFonts w:ascii="Arial" w:cs="Arial" w:eastAsia="Arial" w:hAnsi="Arial"/>
          <w:sz w:val="16"/>
          <w:szCs w:val="16"/>
          <w:color w:val="auto"/>
        </w:rPr>
      </w:pPr>
    </w:p>
    <w:p>
      <w:pPr>
        <w:ind w:left="564" w:hanging="564"/>
        <w:spacing w:after="0" w:line="264" w:lineRule="auto"/>
        <w:tabs>
          <w:tab w:leader="none" w:pos="5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1" w:lineRule="exact"/>
        <w:rPr>
          <w:rFonts w:ascii="Arial" w:cs="Arial" w:eastAsia="Arial" w:hAnsi="Arial"/>
          <w:sz w:val="18"/>
          <w:szCs w:val="18"/>
          <w:color w:val="auto"/>
        </w:rPr>
      </w:pPr>
    </w:p>
    <w:p>
      <w:pPr>
        <w:ind w:left="564" w:right="60" w:hanging="564"/>
        <w:spacing w:after="0" w:line="290" w:lineRule="auto"/>
        <w:tabs>
          <w:tab w:leader="none" w:pos="58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issue and sale of the Securities (and any conversion of Securities or issuance of Stock upon conversion), the compliance by the Company with all of the provisions of the Transaction Documents (and the consummation of the transactions contemplated therein), the Call Spread Confirmations (and the consummation of the transactions contemplated therein) and the application of the proceeds from the sale of the Securities as described under “Use of Proceeds” in the Pricing Disclosure Package and the Offering Memorandum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for such conflicts, breaches or defaults that would not, singly or in the aggregate, result in a Material Adverse</w:t>
      </w:r>
    </w:p>
    <w:p>
      <w:pPr>
        <w:spacing w:after="0" w:line="1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08" w:name="page109"/>
    <w:bookmarkEnd w:id="108"/>
    <w:p>
      <w:pPr>
        <w:ind w:left="564"/>
        <w:spacing w:after="0" w:line="290" w:lineRule="auto"/>
        <w:rPr>
          <w:sz w:val="20"/>
          <w:szCs w:val="20"/>
          <w:color w:val="auto"/>
        </w:rPr>
      </w:pPr>
      <w:r>
        <w:rPr>
          <w:rFonts w:ascii="Arial" w:cs="Arial" w:eastAsia="Arial" w:hAnsi="Arial"/>
          <w:sz w:val="16"/>
          <w:szCs w:val="16"/>
          <w:color w:val="auto"/>
        </w:rPr>
        <w:t>Effect, nor will such action result in any violation of the provisions of the Certificate of Incorporation or By-laws or equivalent organizational documents of the Company or any statute or any order, rule or regulation of any court or governmental agency or body having jurisdiction over the Company or any of its subsidiaries or any of its properties, except for such violations of any statute or any order, rule or regulation that would not, singly or in the aggregate, result in a Material Adverse Effect; and no consent, approval, authorization, order, registration or qualification of or with any such court or governmental agency or body is required for the transactions contemplated by this Agreement, under the Call Spread Confirmations or the other Transaction Documents (including the conversion of Securities or issuance of Stock upon conversion), except such consents, approvals, authorizations, registrations or qualifications as have already been obtained or may be required under state securities or Blue Sky laws in connection with the purchase and distribution of the Securities by the Purchasers.</w:t>
      </w:r>
    </w:p>
    <w:p>
      <w:pPr>
        <w:spacing w:after="0" w:line="166" w:lineRule="exact"/>
        <w:rPr>
          <w:sz w:val="20"/>
          <w:szCs w:val="20"/>
          <w:color w:val="auto"/>
        </w:rPr>
      </w:pPr>
    </w:p>
    <w:p>
      <w:pPr>
        <w:ind w:left="564" w:right="180" w:hanging="564"/>
        <w:spacing w:after="0" w:line="259" w:lineRule="auto"/>
        <w:tabs>
          <w:tab w:leader="none" w:pos="56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in violation of its Certificate of Incorporation or By-laws or equivalent organizational document or in default in the performance or observance of any material obligation, covenant or condition contained in any indenture, mortgage, deed of trust, loan agreement, lease or other agreement or instrument to which it is a party or by which it or any of its properties may be bound.</w:t>
      </w:r>
    </w:p>
    <w:p>
      <w:pPr>
        <w:spacing w:after="0" w:line="186" w:lineRule="exact"/>
        <w:rPr>
          <w:rFonts w:ascii="Arial" w:cs="Arial" w:eastAsia="Arial" w:hAnsi="Arial"/>
          <w:sz w:val="18"/>
          <w:szCs w:val="18"/>
          <w:color w:val="auto"/>
        </w:rPr>
      </w:pPr>
    </w:p>
    <w:p>
      <w:pPr>
        <w:ind w:left="564" w:right="60" w:hanging="564"/>
        <w:spacing w:after="0" w:line="255" w:lineRule="auto"/>
        <w:tabs>
          <w:tab w:leader="none" w:pos="57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statements set forth in the Pricing Disclosure Package and the Offering Memorandum under the captions “Description of Notes” and “Description of Capital Stock” insofar as they purport to constitute a summary of the terms of the Securities and the Stock, under the captions “Certain Relationships and Related Transactions and Director Independence,” “Description of Other Indebtedness” and “Description of the Concurrent Convertible Note Hedge Transactions and Warrant Transactions” insofar as they purport to constitute a summary of the terms of the documents referred to therein, and under the caption “Material U.S. Federal Income Tax Considerations,” insofar as they purport to describe the provisions of the laws and documents referred to therein, fairly present and summarize, in all material respects, the matters referred to therein.</w:t>
      </w:r>
    </w:p>
    <w:p>
      <w:pPr>
        <w:spacing w:after="0" w:line="189" w:lineRule="exact"/>
        <w:rPr>
          <w:rFonts w:ascii="Arial" w:cs="Arial" w:eastAsia="Arial" w:hAnsi="Arial"/>
          <w:sz w:val="18"/>
          <w:szCs w:val="18"/>
          <w:color w:val="auto"/>
        </w:rPr>
      </w:pPr>
    </w:p>
    <w:p>
      <w:pPr>
        <w:ind w:left="564" w:right="160" w:hanging="564"/>
        <w:spacing w:after="0" w:line="269" w:lineRule="auto"/>
        <w:tabs>
          <w:tab w:leader="none" w:pos="57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consolidated historical financial statements and schedules of the Company and its consolidated subsidiaries included in the Pricing Disclosure Package and Offering Memorandum present fairly in all material respects the financial condition, results of operations and cash flows of the entities to which they relate as of the dates and for the periods indicated, comply as to form in all material respects with the applicable accounting requirements of the Act and have been prepared in conformity with U.S. generally accepted accounting principles (“GAAP”) applied on a consistent basis throughout the periods involved (except as otherwise noted therein). The pro forma financial statements included in the Pricing Disclosure Package and Offering Memorandum present fairly in all material respects the information shown therein and include assumptions that provide a reasonable basis for presenting the significant effects directly attributable to the transactions and events described therein. The pro forma financial statements included in the Pricing Disclosure Package and Offering Memorandum comply as to form in all material respects with the applicable accounting requirements of Regulation S-X under the Act and the Commission’s rules and guidelines with respect to pro forma financial statements and the pro forma adjustments have been properly applied to the historical amounts in the compilation of those statements. The interactive data in eXtensible Business Reporting Language incorporated by reference in the Pricing Disclosure</w:t>
      </w:r>
    </w:p>
    <w:p>
      <w:pPr>
        <w:spacing w:after="0" w:line="18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109" w:name="page110"/>
    <w:bookmarkEnd w:id="109"/>
    <w:p>
      <w:pPr>
        <w:ind w:left="564"/>
        <w:spacing w:after="0" w:line="277" w:lineRule="auto"/>
        <w:rPr>
          <w:sz w:val="20"/>
          <w:szCs w:val="20"/>
          <w:color w:val="auto"/>
        </w:rPr>
      </w:pPr>
      <w:r>
        <w:rPr>
          <w:rFonts w:ascii="Arial" w:cs="Arial" w:eastAsia="Arial" w:hAnsi="Arial"/>
          <w:sz w:val="18"/>
          <w:szCs w:val="18"/>
          <w:color w:val="auto"/>
        </w:rPr>
        <w:t>Package, the Pricing Disclosure Package and the Offering Memorandum fairly presents the information called for in all material respects and has been prepared in accordance with the Commission’s rules and guidelines applicable thereto.</w:t>
      </w:r>
    </w:p>
    <w:p>
      <w:pPr>
        <w:spacing w:after="0" w:line="170" w:lineRule="exact"/>
        <w:rPr>
          <w:sz w:val="20"/>
          <w:szCs w:val="20"/>
          <w:color w:val="auto"/>
        </w:rPr>
      </w:pPr>
    </w:p>
    <w:p>
      <w:pPr>
        <w:ind w:left="564" w:right="160" w:hanging="564"/>
        <w:spacing w:after="0" w:line="276" w:lineRule="auto"/>
        <w:tabs>
          <w:tab w:leader="none" w:pos="57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the Call Spread Transactions or the consummation of the Transactions or (ii) could reasonably be expected to have a Material Adverse Effect, except as set forth in or contemplated in the Pricing Disclosure Package and the Offering Memorandum (exclusive of any supplement thereto).</w:t>
      </w:r>
    </w:p>
    <w:p>
      <w:pPr>
        <w:spacing w:after="0" w:line="172" w:lineRule="exact"/>
        <w:rPr>
          <w:rFonts w:ascii="Arial" w:cs="Arial" w:eastAsia="Arial" w:hAnsi="Arial"/>
          <w:sz w:val="17"/>
          <w:szCs w:val="17"/>
          <w:color w:val="auto"/>
        </w:rPr>
      </w:pPr>
    </w:p>
    <w:p>
      <w:pPr>
        <w:ind w:left="564" w:right="340" w:hanging="564"/>
        <w:spacing w:after="0" w:line="277" w:lineRule="auto"/>
        <w:tabs>
          <w:tab w:leader="none" w:pos="57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and its subsidiaries are not required to register as an “investment company” as defined in the Investment Company Act of 1940, as amended.</w:t>
      </w:r>
    </w:p>
    <w:p>
      <w:pPr>
        <w:spacing w:after="0" w:line="170" w:lineRule="exact"/>
        <w:rPr>
          <w:rFonts w:ascii="Arial" w:cs="Arial" w:eastAsia="Arial" w:hAnsi="Arial"/>
          <w:sz w:val="18"/>
          <w:szCs w:val="18"/>
          <w:color w:val="auto"/>
        </w:rPr>
      </w:pPr>
    </w:p>
    <w:p>
      <w:pPr>
        <w:ind w:left="564" w:hanging="564"/>
        <w:spacing w:after="0" w:line="272" w:lineRule="auto"/>
        <w:tabs>
          <w:tab w:leader="none" w:pos="58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Deloitte &amp; Touche LLP, who have certified certain financial statements of the Company and its consolidated subsidiaries and delivered their report with respect to the audited consolidated financial statements and schedules included in the Pricing Disclosure Package and the Offering Memorandum, are independent public accountants with respect to the Company within the meaning of the Act and the applicable published rules and regulations thereunder; and (ii) Crowe LLP, who have certified certain financial statements of Newmar Corporation and its consolidated subsidiaries and delivered their report with respect to the audited consolidated financial statements and schedules included in the Pricing Disclosure Package and the Offering Memorandum, are independent public accountants with respect to Newmar Corporation within the meaning of the Act and the applicable published rules and regulations thereunder.</w:t>
      </w:r>
    </w:p>
    <w:p>
      <w:pPr>
        <w:spacing w:after="0" w:line="177" w:lineRule="exact"/>
        <w:rPr>
          <w:rFonts w:ascii="Arial" w:cs="Arial" w:eastAsia="Arial" w:hAnsi="Arial"/>
          <w:sz w:val="17"/>
          <w:szCs w:val="17"/>
          <w:color w:val="auto"/>
        </w:rPr>
      </w:pPr>
    </w:p>
    <w:p>
      <w:pPr>
        <w:ind w:left="564" w:hanging="564"/>
        <w:spacing w:after="0" w:line="293" w:lineRule="auto"/>
        <w:tabs>
          <w:tab w:leader="none" w:pos="5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Company has filed all tax returns that are required to be filed or has requested extensions thereof (except in any case in which the failure so to file would not have a Material Adverse Effect, except as set forth in or contemplated in the Pricing Disclosure Package and the Offering Memorandum (exclusive of any supplement thereto)) and has paid all taxes required to be paid by it and any other assessment, fine or penalty levied against it, to the extent that any of the foregoing is due and payable, except for any such assessment, fine or penalty the amount or validity of which is currently being contested in good faith or as would not have a Material Adverse Effect, except as set forth in or contemplated in the Pricing Disclosure Package and the Offering Memorandum (exclusive of any supplement thereto).</w:t>
      </w:r>
    </w:p>
    <w:p>
      <w:pPr>
        <w:spacing w:after="0" w:line="164" w:lineRule="exact"/>
        <w:rPr>
          <w:rFonts w:ascii="Arial" w:cs="Arial" w:eastAsia="Arial" w:hAnsi="Arial"/>
          <w:sz w:val="16"/>
          <w:szCs w:val="16"/>
          <w:color w:val="auto"/>
        </w:rPr>
      </w:pPr>
    </w:p>
    <w:p>
      <w:pPr>
        <w:ind w:left="564" w:right="260" w:hanging="564"/>
        <w:spacing w:after="0" w:line="286" w:lineRule="auto"/>
        <w:tabs>
          <w:tab w:leader="none" w:pos="57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 strike or labor dispute with the employees of the Company or any of its subsidiaries exists or, to the knowledge of the Company, is threatened except as would not reasonably be expected to result in a Material Adverse Effect, except as set forth in or contemplated in the Pricing Disclosure Package and the Offering Memorandum (exclusive of any supplement thereto).</w:t>
      </w:r>
    </w:p>
    <w:p>
      <w:pPr>
        <w:spacing w:after="0" w:line="165" w:lineRule="exact"/>
        <w:rPr>
          <w:rFonts w:ascii="Arial" w:cs="Arial" w:eastAsia="Arial" w:hAnsi="Arial"/>
          <w:sz w:val="17"/>
          <w:szCs w:val="17"/>
          <w:color w:val="auto"/>
        </w:rPr>
      </w:pPr>
    </w:p>
    <w:p>
      <w:pPr>
        <w:ind w:left="564" w:right="40" w:hanging="564"/>
        <w:spacing w:after="0" w:line="279" w:lineRule="auto"/>
        <w:tabs>
          <w:tab w:leader="none" w:pos="57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insurance against such losses and risks and in such amounts as are adequate and customarily maintained by companies engaged in the same or similar businesses operating in the same or similar locations, except where failure to do so would not result in a Material Adverse Effect; all premiums in respect of such insurance have been paid to the extent due and payable; and there are no claims by the Company or any of its subsidiaries under any such policy or instrument</w:t>
      </w:r>
    </w:p>
    <w:p>
      <w:pPr>
        <w:spacing w:after="0" w:line="17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10" w:name="page111"/>
    <w:bookmarkEnd w:id="110"/>
    <w:p>
      <w:pPr>
        <w:ind w:left="564" w:right="600"/>
        <w:spacing w:after="0" w:line="277" w:lineRule="auto"/>
        <w:rPr>
          <w:sz w:val="20"/>
          <w:szCs w:val="20"/>
          <w:color w:val="auto"/>
        </w:rPr>
      </w:pPr>
      <w:r>
        <w:rPr>
          <w:rFonts w:ascii="Arial" w:cs="Arial" w:eastAsia="Arial" w:hAnsi="Arial"/>
          <w:sz w:val="18"/>
          <w:szCs w:val="18"/>
          <w:color w:val="auto"/>
        </w:rPr>
        <w:t>as to which any insurance company is denying liability or defending under a reservation of rights clause where such claims would be reasonably expected to have a Material Adverse Effect.</w:t>
      </w:r>
    </w:p>
    <w:p>
      <w:pPr>
        <w:spacing w:after="0" w:line="170" w:lineRule="exact"/>
        <w:rPr>
          <w:sz w:val="20"/>
          <w:szCs w:val="20"/>
          <w:color w:val="auto"/>
        </w:rPr>
      </w:pPr>
    </w:p>
    <w:p>
      <w:pPr>
        <w:ind w:left="564" w:right="60" w:hanging="564"/>
        <w:spacing w:after="0" w:line="257" w:lineRule="auto"/>
        <w:tabs>
          <w:tab w:leader="none" w:pos="57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provided under applicable law or as described in or contemplated by the Pricing Disclosure Package and the Offering Memorandum (exclusive of any supplement thereto).</w:t>
      </w:r>
    </w:p>
    <w:p>
      <w:pPr>
        <w:spacing w:after="0" w:line="188" w:lineRule="exact"/>
        <w:rPr>
          <w:rFonts w:ascii="Arial" w:cs="Arial" w:eastAsia="Arial" w:hAnsi="Arial"/>
          <w:sz w:val="18"/>
          <w:szCs w:val="18"/>
          <w:color w:val="auto"/>
        </w:rPr>
      </w:pPr>
    </w:p>
    <w:p>
      <w:pPr>
        <w:ind w:left="564" w:right="20" w:hanging="564"/>
        <w:spacing w:after="0" w:line="255" w:lineRule="auto"/>
        <w:tabs>
          <w:tab w:leader="none" w:pos="58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and its subsidiaries possess all licenses, certificates, permits and other authorizations issued by all applicable governmental authorities necessary to conduct their respective businesses as set forth in the Pricing Disclosure Package and the Offering Memorandum, except where the failure to so possess would not, individually or in the aggregate, reasonably be expected to have a Material Adverse Effect, and neither the Company nor any such subsidiary has received any written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Pricing Disclosure Package and the Offering Memorandum (exclusive of any supplement thereto).</w:t>
      </w:r>
    </w:p>
    <w:p>
      <w:pPr>
        <w:spacing w:after="0" w:line="189" w:lineRule="exact"/>
        <w:rPr>
          <w:rFonts w:ascii="Arial" w:cs="Arial" w:eastAsia="Arial" w:hAnsi="Arial"/>
          <w:sz w:val="18"/>
          <w:szCs w:val="18"/>
          <w:color w:val="auto"/>
        </w:rPr>
      </w:pPr>
    </w:p>
    <w:p>
      <w:pPr>
        <w:ind w:left="584" w:hanging="584"/>
        <w:spacing w:after="0"/>
        <w:tabs>
          <w:tab w:leader="none" w:pos="58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w:t>
      </w:r>
    </w:p>
    <w:p>
      <w:pPr>
        <w:spacing w:after="0" w:line="46" w:lineRule="exact"/>
        <w:rPr>
          <w:rFonts w:ascii="Arial" w:cs="Arial" w:eastAsia="Arial" w:hAnsi="Arial"/>
          <w:sz w:val="16"/>
          <w:szCs w:val="16"/>
          <w:color w:val="auto"/>
        </w:rPr>
      </w:pPr>
    </w:p>
    <w:p>
      <w:pPr>
        <w:ind w:left="564"/>
        <w:spacing w:after="0" w:line="267" w:lineRule="auto"/>
        <w:rPr>
          <w:rFonts w:ascii="Arial" w:cs="Arial" w:eastAsia="Arial" w:hAnsi="Arial"/>
          <w:sz w:val="16"/>
          <w:szCs w:val="16"/>
          <w:color w:val="auto"/>
        </w:rPr>
      </w:pPr>
      <w:r>
        <w:rPr>
          <w:rFonts w:ascii="Arial" w:cs="Arial" w:eastAsia="Arial" w:hAnsi="Arial"/>
          <w:sz w:val="17"/>
          <w:szCs w:val="17"/>
          <w:color w:val="auto"/>
        </w:rPr>
        <w:t>(i)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There were no material weaknesses in the Company’s and its subsidiaries’ internal control over financial reporting (as defined in Rule 13a-15(f) of the Exchange Act) as of the end of the period covered by the most recent audited financial statements included in the Pricing Disclosure Package and the Offering Memorandum. The Company and its subsidiaries’ internal controls over financial reporting are effective as of the end of the period covered by the most recent audited financial statements included in the Pricing Disclosure Package and the Offering Memorandum and since the date of the latest audited financial statements included in the Pricing Disclosure Package, there has been no change in the Company’s internal control over financial reporting that has materially affected, or is reasonably likely to materially affect, the Company’s internal control over financial reporting.</w:t>
      </w:r>
    </w:p>
    <w:p>
      <w:pPr>
        <w:spacing w:after="0" w:line="186" w:lineRule="exact"/>
        <w:rPr>
          <w:rFonts w:ascii="Arial" w:cs="Arial" w:eastAsia="Arial" w:hAnsi="Arial"/>
          <w:sz w:val="16"/>
          <w:szCs w:val="16"/>
          <w:color w:val="auto"/>
        </w:rPr>
      </w:pPr>
    </w:p>
    <w:p>
      <w:pPr>
        <w:ind w:left="564" w:right="160" w:hanging="564"/>
        <w:spacing w:after="0" w:line="264" w:lineRule="auto"/>
        <w:tabs>
          <w:tab w:leader="none" w:pos="57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and such disclosure controls and procedures were effective as of the end of the period covered by the most recent unaudited financial statements included in the Pricing Disclosure Package and the Offering Memorandum.</w:t>
      </w:r>
    </w:p>
    <w:p>
      <w:pPr>
        <w:spacing w:after="0" w:line="181" w:lineRule="exact"/>
        <w:rPr>
          <w:rFonts w:ascii="Arial" w:cs="Arial" w:eastAsia="Arial" w:hAnsi="Arial"/>
          <w:sz w:val="18"/>
          <w:szCs w:val="18"/>
          <w:color w:val="auto"/>
        </w:rPr>
      </w:pPr>
    </w:p>
    <w:p>
      <w:pPr>
        <w:ind w:left="564" w:right="20" w:hanging="564"/>
        <w:spacing w:after="0" w:line="277" w:lineRule="auto"/>
        <w:tabs>
          <w:tab w:leader="none" w:pos="57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as described in the Pricing Disclosure Package and the Offering Memorandum or as would not, singly or in the aggregate, reasonably be expected to result in a Material</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11" w:name="page112"/>
    <w:bookmarkEnd w:id="111"/>
    <w:p>
      <w:pPr>
        <w:ind w:left="564" w:right="120"/>
        <w:spacing w:after="0" w:line="272" w:lineRule="auto"/>
        <w:rPr>
          <w:sz w:val="20"/>
          <w:szCs w:val="20"/>
          <w:color w:val="auto"/>
        </w:rPr>
      </w:pPr>
      <w:r>
        <w:rPr>
          <w:rFonts w:ascii="Arial" w:cs="Arial" w:eastAsia="Arial" w:hAnsi="Arial"/>
          <w:sz w:val="17"/>
          <w:szCs w:val="17"/>
          <w:color w:val="auto"/>
        </w:rPr>
        <w:t>Adverse Effect, the Company and its subsidiaries are (i)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written notice of any actual or potential liability under any Environmental Laws. Except as set forth in the Pricing Disclosure Package and the Offering Memorandum, neither the Company nor any of the subsidiaries has been named as a “potentially responsible party” under the Comprehensive Environmental Response, Compensation, and Liability Act of 1980, as amended.</w:t>
      </w:r>
    </w:p>
    <w:p>
      <w:pPr>
        <w:spacing w:after="0" w:line="178" w:lineRule="exact"/>
        <w:rPr>
          <w:sz w:val="20"/>
          <w:szCs w:val="20"/>
          <w:color w:val="auto"/>
        </w:rPr>
      </w:pPr>
    </w:p>
    <w:p>
      <w:pPr>
        <w:ind w:left="564" w:hanging="564"/>
        <w:spacing w:after="0" w:line="286" w:lineRule="auto"/>
        <w:tabs>
          <w:tab w:leader="none" w:pos="54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None of the following events has occurred or exists: (i) a failure to fulfill the obligations, if any, under the minimum funding standards of Section 302 of the United States Employee Retirement Income Security Act of 1974, as amended (“ERISA”), and the regulations and published interpretations thereunder with respect to a Plan (as defined below), determined without regard to any waiver of such obligations or extension of any amortization period; or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which audit or investigation if resulting in an unfavorable decision, ruling or finding would have a Material Adverse Effect. None of the following events has occurred: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or (iii) any event or condition giving rise to a liability under Title IV of ERISA that could have a Material Adverse Effect. For purposes of this paragraph, the term “Plan” means a plan (within the meaning of Section 3(3) of ERISA) subject to Title IV of ERISA with respect to which the Company or any of its subsidiaries may have any liability.</w:t>
      </w:r>
    </w:p>
    <w:p>
      <w:pPr>
        <w:spacing w:after="0" w:line="171" w:lineRule="exact"/>
        <w:rPr>
          <w:rFonts w:ascii="Arial" w:cs="Arial" w:eastAsia="Arial" w:hAnsi="Arial"/>
          <w:sz w:val="16"/>
          <w:szCs w:val="16"/>
          <w:color w:val="auto"/>
        </w:rPr>
      </w:pPr>
    </w:p>
    <w:p>
      <w:pPr>
        <w:ind w:left="564" w:right="200" w:hanging="564"/>
        <w:spacing w:after="0" w:line="259" w:lineRule="auto"/>
        <w:tabs>
          <w:tab w:leader="none" w:pos="56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in all material respects with any provision of the Sarbanes-Oxley Act of 2002 and the rules and regulations promulgated in connection therewith (the “Sarbanes-Oxley Act”) applicable to the Company, including Section 402 relating to loans and Sections 302 and 906 relating to certifications.</w:t>
      </w:r>
    </w:p>
    <w:p>
      <w:pPr>
        <w:spacing w:after="0" w:line="186" w:lineRule="exact"/>
        <w:rPr>
          <w:rFonts w:ascii="Arial" w:cs="Arial" w:eastAsia="Arial" w:hAnsi="Arial"/>
          <w:sz w:val="18"/>
          <w:szCs w:val="18"/>
          <w:color w:val="auto"/>
        </w:rPr>
      </w:pPr>
    </w:p>
    <w:p>
      <w:pPr>
        <w:ind w:left="564" w:right="40" w:hanging="564"/>
        <w:spacing w:after="0" w:line="257" w:lineRule="auto"/>
        <w:tabs>
          <w:tab w:leader="none" w:pos="57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None of the Company, any of its subsidiaries, its directors and officers, nor, to the knowledge of the Company, any agent, employee, affiliate or other person associated with or acting on behalf of the Company or any of its subsidiaries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12" w:name="page113"/>
    <w:bookmarkEnd w:id="112"/>
    <w:p>
      <w:pPr>
        <w:ind w:left="564" w:right="520"/>
        <w:spacing w:after="0" w:line="277" w:lineRule="auto"/>
        <w:rPr>
          <w:sz w:val="20"/>
          <w:szCs w:val="20"/>
          <w:color w:val="auto"/>
        </w:rPr>
      </w:pPr>
      <w:r>
        <w:rPr>
          <w:rFonts w:ascii="Arial" w:cs="Arial" w:eastAsia="Arial" w:hAnsi="Arial"/>
          <w:sz w:val="18"/>
          <w:szCs w:val="18"/>
          <w:color w:val="auto"/>
        </w:rPr>
        <w:t>provision of the Bribery Act 2010 of the United Kingdom; or (v) made any bribe, rebate, payoff, influence payment, kickback or other unlawful payment.</w:t>
      </w:r>
    </w:p>
    <w:p>
      <w:pPr>
        <w:spacing w:after="0" w:line="170" w:lineRule="exact"/>
        <w:rPr>
          <w:sz w:val="20"/>
          <w:szCs w:val="20"/>
          <w:color w:val="auto"/>
        </w:rPr>
      </w:pPr>
    </w:p>
    <w:p>
      <w:pPr>
        <w:ind w:left="564" w:right="40" w:hanging="564"/>
        <w:spacing w:after="0" w:line="273" w:lineRule="auto"/>
        <w:tabs>
          <w:tab w:leader="none" w:pos="56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ind w:left="564" w:hanging="564"/>
        <w:spacing w:after="0" w:line="271" w:lineRule="auto"/>
        <w:tabs>
          <w:tab w:leader="none" w:pos="57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and its subsidiaries, its directors and officers or, to the knowledge of the Company, any agent, employee or affiliate of the Company or any of its subsidiaries is not currently the subject or the target of any sanctions administered or enforced by the U.S. Government, including, without limitation, the Office of Foreign Assets Control of the U.S. Department of the Treasury (“OFAC”), or other relevant sanctions authority (collectively, “Sanctions”),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178" w:lineRule="exact"/>
        <w:rPr>
          <w:rFonts w:ascii="Arial" w:cs="Arial" w:eastAsia="Arial" w:hAnsi="Arial"/>
          <w:sz w:val="17"/>
          <w:szCs w:val="17"/>
          <w:color w:val="auto"/>
        </w:rPr>
      </w:pPr>
    </w:p>
    <w:p>
      <w:pPr>
        <w:ind w:left="564" w:right="60" w:hanging="564"/>
        <w:spacing w:after="0" w:line="255" w:lineRule="auto"/>
        <w:tabs>
          <w:tab w:leader="none" w:pos="55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Other than as set forth in the Pricing Disclosure Package and the Offering Memorandum,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financial position, stockholders’ equity or results of operations of the Company and its subsidiaries; and, to the best of the Company’s knowledge, no such proceedings are threatened or contemplated by governmental authorities or threatened by others.</w:t>
      </w:r>
    </w:p>
    <w:p>
      <w:pPr>
        <w:spacing w:after="0" w:line="193" w:lineRule="exact"/>
        <w:rPr>
          <w:rFonts w:ascii="Arial" w:cs="Arial" w:eastAsia="Arial" w:hAnsi="Arial"/>
          <w:sz w:val="18"/>
          <w:szCs w:val="18"/>
          <w:color w:val="auto"/>
        </w:rPr>
      </w:pPr>
    </w:p>
    <w:p>
      <w:pPr>
        <w:ind w:left="604" w:hanging="604"/>
        <w:spacing w:after="0"/>
        <w:tabs>
          <w:tab w:leader="none" w:pos="6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is subject to Section 13 or 15(d) of the Exchange Act.</w:t>
      </w:r>
    </w:p>
    <w:p>
      <w:pPr>
        <w:spacing w:after="0" w:line="225" w:lineRule="exact"/>
        <w:rPr>
          <w:rFonts w:ascii="Arial" w:cs="Arial" w:eastAsia="Arial" w:hAnsi="Arial"/>
          <w:sz w:val="18"/>
          <w:szCs w:val="18"/>
          <w:color w:val="auto"/>
        </w:rPr>
      </w:pPr>
    </w:p>
    <w:p>
      <w:pPr>
        <w:ind w:left="564" w:hanging="564"/>
        <w:spacing w:after="0" w:line="264" w:lineRule="auto"/>
        <w:tabs>
          <w:tab w:leader="none" w:pos="56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Neither the Company nor any person acting on its behalf (other than the Purchasers, as to which no representation is made) has offered or sold the Securities by means of any general solicitation or general advertising within the meaning of Rule 502(c) under the Act (other than by means of a Permitted General Solicitation, as defined below).</w:t>
      </w:r>
    </w:p>
    <w:p>
      <w:pPr>
        <w:spacing w:after="0" w:line="181" w:lineRule="exact"/>
        <w:rPr>
          <w:rFonts w:ascii="Arial" w:cs="Arial" w:eastAsia="Arial" w:hAnsi="Arial"/>
          <w:sz w:val="18"/>
          <w:szCs w:val="18"/>
          <w:color w:val="auto"/>
        </w:rPr>
      </w:pPr>
    </w:p>
    <w:p>
      <w:pPr>
        <w:ind w:left="564" w:right="100" w:hanging="564"/>
        <w:spacing w:after="0" w:line="273" w:lineRule="auto"/>
        <w:tabs>
          <w:tab w:leader="none" w:pos="5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Within the preceding six months, neither the Company nor any other person acting on behalf of the Company has offered or sold to any person any Securities, or any securities of the same or a similar class as the Securities, other than Securities offered or sold to the Purchasers hereunder. The Company will take reasonable precautions designed to insure that any offer or sale, direct or indirect, in the United States or to any U.S. person (as defined in Rule 902 under the Act) of any Securities or any substantially similar security issued by the Company, within six months subsequent to the date on which the distribution of the Securities has been completed (as notified to the Company by the Purchasers), is made under restrictions and other circumstances reasonably designed</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13" w:name="page114"/>
    <w:bookmarkEnd w:id="113"/>
    <w:p>
      <w:pPr>
        <w:ind w:left="1212" w:right="420"/>
        <w:spacing w:after="0" w:line="277" w:lineRule="auto"/>
        <w:rPr>
          <w:sz w:val="20"/>
          <w:szCs w:val="20"/>
          <w:color w:val="auto"/>
        </w:rPr>
      </w:pPr>
      <w:r>
        <w:rPr>
          <w:rFonts w:ascii="Arial" w:cs="Arial" w:eastAsia="Arial" w:hAnsi="Arial"/>
          <w:sz w:val="18"/>
          <w:szCs w:val="18"/>
          <w:color w:val="auto"/>
        </w:rPr>
        <w:t>not to affect the status of the offer and sale of the Securities in the United States and to U.S. persons contemplated by this Agreement as transactions exempt from the registration provisions of the Act.</w:t>
      </w:r>
    </w:p>
    <w:p>
      <w:pPr>
        <w:spacing w:after="0" w:line="170" w:lineRule="exact"/>
        <w:rPr>
          <w:sz w:val="20"/>
          <w:szCs w:val="20"/>
          <w:color w:val="auto"/>
        </w:rPr>
      </w:pPr>
    </w:p>
    <w:p>
      <w:pPr>
        <w:ind w:left="1212" w:right="20" w:hanging="564"/>
        <w:spacing w:after="0" w:line="269" w:lineRule="auto"/>
        <w:tabs>
          <w:tab w:leader="none" w:pos="1216"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(i)(x) Except as disclosed in the Pricing Disclosure Package and the Offering Memorandum, there has been no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“IT Systems and Data”) and (y) the Company and its subsidiaries have not been notified of, and have no knowledge of any event or condition that would reasonably be expected to result in, any security breach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clauses (i) and (ii), individually or in the aggregate, have a Material Adverse Effect; and (iii) the Company and its subsidiaries have implemented backup and disaster recovery technology consistent with industry standards and practices.</w:t>
      </w:r>
    </w:p>
    <w:p>
      <w:pPr>
        <w:spacing w:after="0" w:line="182" w:lineRule="exact"/>
        <w:rPr>
          <w:rFonts w:ascii="Arial" w:cs="Arial" w:eastAsia="Arial" w:hAnsi="Arial"/>
          <w:sz w:val="17"/>
          <w:szCs w:val="17"/>
          <w:color w:val="auto"/>
        </w:rPr>
      </w:pPr>
    </w:p>
    <w:p>
      <w:pPr>
        <w:ind w:left="1212" w:hanging="564"/>
        <w:spacing w:after="0"/>
        <w:tabs>
          <w:tab w:leader="none" w:pos="121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is not an issuer of the type set forth in Rule 144(i)(1) under the Securities Act.</w:t>
      </w:r>
    </w:p>
    <w:p>
      <w:pPr>
        <w:spacing w:after="0" w:line="225" w:lineRule="exact"/>
        <w:rPr>
          <w:rFonts w:ascii="Arial" w:cs="Arial" w:eastAsia="Arial" w:hAnsi="Arial"/>
          <w:sz w:val="18"/>
          <w:szCs w:val="18"/>
          <w:color w:val="auto"/>
        </w:rPr>
      </w:pPr>
    </w:p>
    <w:p>
      <w:pPr>
        <w:ind w:left="332" w:hanging="332"/>
        <w:spacing w:after="0" w:line="271" w:lineRule="auto"/>
        <w:tabs>
          <w:tab w:leader="none" w:pos="33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Purchasers, and each of the Purchasers agrees, severally and not jointly, to purchase from the Company, at a purchase price of 97.00% of the aggregate principal amount thereof, the Firm Securities, and (b) in the event and to the extent that the Purchasers shall exercise the election to purchase Optional Securities as provided below, the Company agrees to issue and sell to each of the Purchasers, and each of the Purchasers agrees, severally and not jointly, to purchase from the Company, at the same purchase price set forth in clause (a) of this Section 2, that portion of the aggregate principal amount of the Optional Securities as to which such election shall have been exercised (to be adjusted by you so as to eliminate Securities in denominations other than in multiples of $1,000), in each case as set forth opposite the name of such Purchaser in Schedule I hereto and any additional principal amount of Securities which such Purchaser may become obligated to purchase pursuant to the provisions of Section 10(b) hereof.</w:t>
      </w:r>
    </w:p>
    <w:p>
      <w:pPr>
        <w:spacing w:after="0" w:line="178" w:lineRule="exact"/>
        <w:rPr>
          <w:rFonts w:ascii="Arial" w:cs="Arial" w:eastAsia="Arial" w:hAnsi="Arial"/>
          <w:sz w:val="17"/>
          <w:szCs w:val="17"/>
          <w:color w:val="auto"/>
        </w:rPr>
      </w:pPr>
    </w:p>
    <w:p>
      <w:pPr>
        <w:ind w:left="332" w:right="140"/>
        <w:spacing w:after="0" w:line="273" w:lineRule="auto"/>
        <w:rPr>
          <w:rFonts w:ascii="Arial" w:cs="Arial" w:eastAsia="Arial" w:hAnsi="Arial"/>
          <w:sz w:val="17"/>
          <w:szCs w:val="17"/>
          <w:color w:val="auto"/>
        </w:rPr>
      </w:pPr>
      <w:r>
        <w:rPr>
          <w:rFonts w:ascii="Arial" w:cs="Arial" w:eastAsia="Arial" w:hAnsi="Arial"/>
          <w:sz w:val="17"/>
          <w:szCs w:val="17"/>
          <w:color w:val="auto"/>
        </w:rPr>
        <w:t>The Company hereby grants to the Purchasers the right to purchase at their election up to $30,000,000 in aggregate principal amount of the Optional Securities, at the purchase price set forth in clause (a) of the first paragraph of this Section 2. Any such election to purchase Optional Securities may be exercised only by written notice from the Purchasers to the Company, given within a period of 30 calendar days after the date of this Agreement, setting forth the aggregate principal amount of Optional Securities and the date on which such Optional Securities are to be delivered, as determined by the Purchasers but in no event earlier than the First Time of Delivery (as defined in Section 4 hereof) or, unless the Purchasers and the Company otherwise agree in writing, earlier than two or later than ten business days after the date of such notice.</w:t>
      </w:r>
    </w:p>
    <w:p>
      <w:pPr>
        <w:spacing w:after="0" w:line="178" w:lineRule="exact"/>
        <w:rPr>
          <w:rFonts w:ascii="Arial" w:cs="Arial" w:eastAsia="Arial" w:hAnsi="Arial"/>
          <w:sz w:val="17"/>
          <w:szCs w:val="17"/>
          <w:color w:val="auto"/>
        </w:rPr>
      </w:pPr>
    </w:p>
    <w:p>
      <w:pPr>
        <w:ind w:left="332" w:right="760" w:hanging="332"/>
        <w:spacing w:after="0" w:line="277" w:lineRule="auto"/>
        <w:tabs>
          <w:tab w:leader="none" w:pos="3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Securities, the several Purchasers propose to offer the Securities for sale upon the terms and conditions set forth in this Agreement and the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14" w:name="page115"/>
    <w:bookmarkEnd w:id="114"/>
    <w:p>
      <w:pPr>
        <w:ind w:left="332"/>
        <w:spacing w:after="0"/>
        <w:rPr>
          <w:sz w:val="20"/>
          <w:szCs w:val="20"/>
          <w:color w:val="auto"/>
        </w:rPr>
      </w:pPr>
      <w:r>
        <w:rPr>
          <w:rFonts w:ascii="Arial" w:cs="Arial" w:eastAsia="Arial" w:hAnsi="Arial"/>
          <w:sz w:val="17"/>
          <w:szCs w:val="17"/>
          <w:color w:val="auto"/>
        </w:rPr>
        <w:t>Offering Memorandum and each Purchaser, acting severally and not jointly, hereby represents and warrants to, and agrees with the Company that:</w:t>
      </w:r>
    </w:p>
    <w:p>
      <w:pPr>
        <w:spacing w:after="0" w:line="237" w:lineRule="exact"/>
        <w:rPr>
          <w:sz w:val="20"/>
          <w:szCs w:val="20"/>
          <w:color w:val="auto"/>
        </w:rPr>
      </w:pPr>
    </w:p>
    <w:p>
      <w:pPr>
        <w:ind w:left="812" w:right="20" w:hanging="488"/>
        <w:spacing w:after="0" w:line="277" w:lineRule="auto"/>
        <w:tabs>
          <w:tab w:leader="none" w:pos="80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It will sell the Securities only to persons who it reasonably believes are “qualified institutional buyers” (“QIBs”) within the meaning of Rule 144A under the Act in transactions meeting the requirements of Rule 144A; and</w:t>
      </w:r>
    </w:p>
    <w:p>
      <w:pPr>
        <w:spacing w:after="0" w:line="170" w:lineRule="exact"/>
        <w:rPr>
          <w:rFonts w:ascii="Arial" w:cs="Arial" w:eastAsia="Arial" w:hAnsi="Arial"/>
          <w:sz w:val="18"/>
          <w:szCs w:val="18"/>
          <w:color w:val="auto"/>
        </w:rPr>
      </w:pPr>
    </w:p>
    <w:p>
      <w:pPr>
        <w:ind w:left="812" w:hanging="488"/>
        <w:spacing w:after="0"/>
        <w:tabs>
          <w:tab w:leader="none" w:pos="81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It is an Institutional Accredited Investor (within the meaning of Rule 501 under the Act).</w:t>
      </w:r>
    </w:p>
    <w:p>
      <w:pPr>
        <w:spacing w:after="0" w:line="225" w:lineRule="exact"/>
        <w:rPr>
          <w:rFonts w:ascii="Arial" w:cs="Arial" w:eastAsia="Arial" w:hAnsi="Arial"/>
          <w:sz w:val="18"/>
          <w:szCs w:val="18"/>
          <w:color w:val="auto"/>
        </w:rPr>
      </w:pPr>
    </w:p>
    <w:p>
      <w:pPr>
        <w:ind w:left="812" w:right="120" w:hanging="812"/>
        <w:spacing w:after="0" w:line="291"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The Securities to be purchased by each Purchaser hereunder will be represented by one or more definitive global notes in book-entry form which will be deposited by or on behalf of the Company with The Depository Trust Company (“DTC”) or its designated custodian. The Company will deliver the Securities to Goldman Sachs &amp; Co. LLC, for the account of each Purchaser, against payment by or on behalf of such Purchaser of the purchase price therefor by wire transfer in Federal (same day) funds, by causing DTC to credit the Securities to the account of Goldman Sachs &amp; Co. LLC at DTC. The Company will cause the certificates representing the Securities to be made available to Goldman Sachs &amp; Co. LLC for checking at least twenty-four hours prior to the Time of Delivery (as defined below) at the office of Latham &amp; Watkins LLP, 885 Third Avenue, New York, New York 10022 (the “Closing Location”) or such other place as may be agreed by the Company and the Purchasers.</w:t>
      </w:r>
    </w:p>
    <w:p>
      <w:pPr>
        <w:spacing w:after="0" w:line="167" w:lineRule="exact"/>
        <w:rPr>
          <w:sz w:val="20"/>
          <w:szCs w:val="20"/>
          <w:color w:val="auto"/>
        </w:rPr>
      </w:pPr>
    </w:p>
    <w:p>
      <w:pPr>
        <w:ind w:left="812" w:right="260"/>
        <w:spacing w:after="0" w:line="255" w:lineRule="auto"/>
        <w:rPr>
          <w:sz w:val="20"/>
          <w:szCs w:val="20"/>
          <w:color w:val="auto"/>
        </w:rPr>
      </w:pPr>
      <w:r>
        <w:rPr>
          <w:rFonts w:ascii="Arial" w:cs="Arial" w:eastAsia="Arial" w:hAnsi="Arial"/>
          <w:sz w:val="18"/>
          <w:szCs w:val="18"/>
          <w:color w:val="auto"/>
        </w:rPr>
        <w:t>The time and date of such delivery and payment shall be, with respect to the Firm Securities, 9:30 a.m., New York City time, on Friday, November 1, 2019 or such other time and date as the Purchasers and the Company may agree upon in writing, and, with respect to the Optional Securities, 9:30 a.m., New York City time, on the date specified by the Purchasers in the written notice given by the Purchasers of the their election to purchase such Optional Securities, or such other time and date as the Purchasers and the Company may agree upon in writing. Such time and date for delivery of the Firm Securities is herein called the “First Time of Delivery,” such time and date for delivery of the Optional Securities, if not the First Time of Delivery, is herein called the “Second Time of Delivery,” and each such time and date for delivery is herein called a “Time of Delivery.”</w:t>
      </w:r>
    </w:p>
    <w:p>
      <w:pPr>
        <w:spacing w:after="0" w:line="189" w:lineRule="exact"/>
        <w:rPr>
          <w:sz w:val="20"/>
          <w:szCs w:val="20"/>
          <w:color w:val="auto"/>
        </w:rPr>
      </w:pPr>
    </w:p>
    <w:p>
      <w:pPr>
        <w:ind w:left="812" w:hanging="488"/>
        <w:spacing w:after="0" w:line="254" w:lineRule="auto"/>
        <w:tabs>
          <w:tab w:leader="none" w:pos="81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cross-receipt for the Securities and any additional documents requested by the Purchasers pursuant to Section 8(i) hereof, will be delivered at such time and date at the Closing Location, and the Securities will be delivered at the office of DTC (or its designated custodian), all at such Time of Delivery. A meeting will be held at the Closing Location at 4:30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92" w:lineRule="exact"/>
        <w:rPr>
          <w:rFonts w:ascii="Arial" w:cs="Arial" w:eastAsia="Arial" w:hAnsi="Arial"/>
          <w:sz w:val="18"/>
          <w:szCs w:val="18"/>
          <w:color w:val="auto"/>
        </w:rPr>
      </w:pPr>
    </w:p>
    <w:p>
      <w:pPr>
        <w:ind w:left="332" w:hanging="332"/>
        <w:spacing w:after="0"/>
        <w:tabs>
          <w:tab w:leader="none" w:pos="33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agrees with each of the Purchasers:</w:t>
      </w:r>
    </w:p>
    <w:p>
      <w:pPr>
        <w:spacing w:after="0" w:line="225" w:lineRule="exact"/>
        <w:rPr>
          <w:rFonts w:ascii="Arial" w:cs="Arial" w:eastAsia="Arial" w:hAnsi="Arial"/>
          <w:sz w:val="18"/>
          <w:szCs w:val="18"/>
          <w:color w:val="auto"/>
        </w:rPr>
      </w:pPr>
    </w:p>
    <w:p>
      <w:pPr>
        <w:ind w:left="812" w:right="40" w:hanging="488"/>
        <w:spacing w:after="0" w:line="277" w:lineRule="auto"/>
        <w:tabs>
          <w:tab w:leader="none" w:pos="80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 prepare the Offering Memorandum in a form approved by you; to make no amendment or any supplement to the Offering Memorandum which shall be disapproved by you promptly after reasonable notice thereof; and to furnish you with copies thereof;</w:t>
      </w:r>
    </w:p>
    <w:p>
      <w:pPr>
        <w:spacing w:after="0" w:line="170" w:lineRule="exact"/>
        <w:rPr>
          <w:rFonts w:ascii="Arial" w:cs="Arial" w:eastAsia="Arial" w:hAnsi="Arial"/>
          <w:sz w:val="18"/>
          <w:szCs w:val="18"/>
          <w:color w:val="auto"/>
        </w:rPr>
      </w:pPr>
    </w:p>
    <w:p>
      <w:pPr>
        <w:ind w:left="812" w:right="140" w:hanging="488"/>
        <w:spacing w:after="0" w:line="277" w:lineRule="auto"/>
        <w:tabs>
          <w:tab w:leader="none" w:pos="81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(or to obtain exemptions from qualifying) the Securities and the shares of Stock issuable upon</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115" w:name="page116"/>
    <w:bookmarkEnd w:id="115"/>
    <w:p>
      <w:pPr>
        <w:ind w:left="488" w:right="120"/>
        <w:spacing w:after="0" w:line="257" w:lineRule="auto"/>
        <w:rPr>
          <w:sz w:val="20"/>
          <w:szCs w:val="20"/>
          <w:color w:val="auto"/>
        </w:rPr>
      </w:pPr>
      <w:r>
        <w:rPr>
          <w:rFonts w:ascii="Arial" w:cs="Arial" w:eastAsia="Arial" w:hAnsi="Arial"/>
          <w:sz w:val="18"/>
          <w:szCs w:val="18"/>
          <w:color w:val="auto"/>
        </w:rPr>
        <w:t>conversion of the Securities for offering and sale under the securities laws of such jurisdictions as you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in any jurisdiction where it is not now so qualified, subject itself to taxation in any jurisdiction where it is not presently so subject or to file a general consent to service of process in any jurisdiction where it is not presently so subject;</w:t>
      </w:r>
    </w:p>
    <w:p>
      <w:pPr>
        <w:spacing w:after="0" w:line="188" w:lineRule="exact"/>
        <w:rPr>
          <w:sz w:val="20"/>
          <w:szCs w:val="20"/>
          <w:color w:val="auto"/>
        </w:rPr>
      </w:pPr>
    </w:p>
    <w:p>
      <w:pPr>
        <w:ind w:left="488" w:hanging="488"/>
        <w:spacing w:after="0" w:line="270" w:lineRule="auto"/>
        <w:tabs>
          <w:tab w:leader="none" w:pos="49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furnish the Purchasers with written and electronic copies of the Offering Memorandum and any amendment or supplement thereto in such quantities as you may from time to time reasonably request, and if, at any time prior to the expiration of nine months after the date of the Offering Memorandum, any event shall have occurred as a result of which the Offering Memorandum as then amended or supplemented would include an untrue statement of a material fact or omit to state any material fact necessary in order to make the statements therein, in the light of the circumstances under which they were made when such Offering Memorandum is delivered, not misleading, or, if for any other reason it shall be necessary or desirable during such same period to amend or supplement the Offering Memorandum, to notify you and upon your request to prepare and furnish without charge to each Purchaser and to any dealer in securities as many written and electronic copies as you may from time to time reasonably request of an amended Offering Memorandum or a supplement to the Offering Memorandum which will correct such statement or omission or effect such compliance;</w:t>
      </w:r>
    </w:p>
    <w:p>
      <w:pPr>
        <w:spacing w:after="0" w:line="181" w:lineRule="exact"/>
        <w:rPr>
          <w:rFonts w:ascii="Arial" w:cs="Arial" w:eastAsia="Arial" w:hAnsi="Arial"/>
          <w:sz w:val="17"/>
          <w:szCs w:val="17"/>
          <w:color w:val="auto"/>
        </w:rPr>
      </w:pPr>
    </w:p>
    <w:p>
      <w:pPr>
        <w:ind w:left="488" w:right="40" w:hanging="488"/>
        <w:spacing w:after="0" w:line="269" w:lineRule="auto"/>
        <w:tabs>
          <w:tab w:leader="none" w:pos="49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During the period beginning from the date hereof and continuing until the date that is 90 days after the First Time of Delivery, not to (i) offer, issue,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Securities or the Stock,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is to be settled by delivery of Stock or such other securities, in cash or otherwise (other than for (i) and (ii) above pursuant to employee stock option plans existing on, or upon the conversion or exchange of convertible or exchangeable securities outstanding as of, the date of this Agreement), without your prior written consent; provided, however, that nothing in this clause (d) will prohibit the issuance of the Securities to be sold hereunder, the conversion of any Security in accordance with its terms and the terms of the Indenture, the issuance of any Warrant Shares or the issuance of up to 2,000,000 shares of Stock in connection with the Acquisition; or</w:t>
      </w:r>
    </w:p>
    <w:p>
      <w:pPr>
        <w:spacing w:after="0" w:line="179" w:lineRule="exact"/>
        <w:rPr>
          <w:rFonts w:ascii="Arial" w:cs="Arial" w:eastAsia="Arial" w:hAnsi="Arial"/>
          <w:sz w:val="17"/>
          <w:szCs w:val="17"/>
          <w:color w:val="auto"/>
        </w:rPr>
      </w:pPr>
    </w:p>
    <w:p>
      <w:pPr>
        <w:ind w:left="488" w:right="140" w:hanging="488"/>
        <w:spacing w:after="0" w:line="264" w:lineRule="auto"/>
        <w:tabs>
          <w:tab w:leader="none" w:pos="49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 to be or become, at any time prior to the expiration of two years after each Time of Delivery, an open-end investment company, unit investment trust, closed-end investment company or face-amount certificate company that is or is required to be registered under Section 8 of the Investment Company Act;</w:t>
      </w:r>
    </w:p>
    <w:p>
      <w:pPr>
        <w:spacing w:after="0" w:line="181" w:lineRule="exact"/>
        <w:rPr>
          <w:rFonts w:ascii="Arial" w:cs="Arial" w:eastAsia="Arial" w:hAnsi="Arial"/>
          <w:sz w:val="18"/>
          <w:szCs w:val="18"/>
          <w:color w:val="auto"/>
        </w:rPr>
      </w:pPr>
    </w:p>
    <w:p>
      <w:pPr>
        <w:ind w:left="488" w:right="240" w:hanging="488"/>
        <w:spacing w:after="0" w:line="342" w:lineRule="auto"/>
        <w:tabs>
          <w:tab w:leader="none" w:pos="49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At any time when the Company is not subject to Section 13 or 15(d) of the Exchange Act, for the benefit of holders from time to time of Securities, to furnish at its expense, upon request, to holders of Securities and prospective purchasers of Securities information (the “Additional</w:t>
      </w:r>
    </w:p>
    <w:p>
      <w:pPr>
        <w:spacing w:after="0" w:line="12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8"/>
          </w:cols>
          <w:pgMar w:left="572" w:top="341" w:right="259" w:bottom="1440" w:gutter="0" w:footer="0" w:header="0"/>
        </w:sectPr>
      </w:pPr>
    </w:p>
    <w:bookmarkStart w:id="116" w:name="page117"/>
    <w:bookmarkEnd w:id="116"/>
    <w:p>
      <w:pPr>
        <w:ind w:left="820"/>
        <w:spacing w:after="0"/>
        <w:rPr>
          <w:sz w:val="20"/>
          <w:szCs w:val="20"/>
          <w:color w:val="auto"/>
        </w:rPr>
      </w:pPr>
      <w:r>
        <w:rPr>
          <w:rFonts w:ascii="Arial" w:cs="Arial" w:eastAsia="Arial" w:hAnsi="Arial"/>
          <w:sz w:val="18"/>
          <w:szCs w:val="18"/>
          <w:color w:val="auto"/>
        </w:rPr>
        <w:t>Issuer Information”) satisfying the requirements of subsection (d)(4)(i) of Rule 144A under the Act;</w:t>
      </w:r>
    </w:p>
    <w:p>
      <w:pPr>
        <w:spacing w:after="0" w:line="225" w:lineRule="exact"/>
        <w:rPr>
          <w:sz w:val="20"/>
          <w:szCs w:val="20"/>
          <w:color w:val="auto"/>
        </w:rPr>
      </w:pPr>
    </w:p>
    <w:p>
      <w:pPr>
        <w:ind w:left="820" w:hanging="488"/>
        <w:spacing w:after="0" w:line="291" w:lineRule="auto"/>
        <w:tabs>
          <w:tab w:leader="none" w:pos="84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Except for such documents that are publicly available on EDGAR, to furnish to the Purchasers of the Securities, as long as any Securities remain outstanding, as soon as practicable after the end of each fiscal year an annual report (including a balance sheet and statements of income, stockholders’ equity and cash flows of the Company and its consolidated subsidiaries (including the Newmar Entities and their respective subsidiaries, to the extent the Acquisition is consummated) certified by independent public accountants) and, as soon as practicable after the end of each of the first three quarters of each fiscal year (beginning with the fiscal quarter ending after the date of the Offering Memorandum), to make available to the Purchasers consolidated summary financial information of the Company and its subsidiaries (including the Newmar Entities and their respective subsidiaries, to the extent the Acquisition is consummated) for such quarter in reasonable detail;</w:t>
      </w:r>
    </w:p>
    <w:p>
      <w:pPr>
        <w:spacing w:after="0" w:line="167" w:lineRule="exact"/>
        <w:rPr>
          <w:rFonts w:ascii="Arial" w:cs="Arial" w:eastAsia="Arial" w:hAnsi="Arial"/>
          <w:sz w:val="16"/>
          <w:szCs w:val="16"/>
          <w:color w:val="auto"/>
        </w:rPr>
      </w:pPr>
    </w:p>
    <w:p>
      <w:pPr>
        <w:ind w:left="820" w:right="40" w:hanging="488"/>
        <w:spacing w:after="0" w:line="312" w:lineRule="auto"/>
        <w:tabs>
          <w:tab w:leader="none" w:pos="82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During the period of one year after each Time of Delivery, the Company will not, and will not permit any of its “affiliates” (as defined in Rule 144 under the Act) to, resell any of the Securities or the Stock issued upon conversion thereof which constitute “restricted securities” under Rule 144 that have been reacquired by any of them (other than pursuant to a registration statement that has been declared effective under the Act);</w:t>
      </w:r>
    </w:p>
    <w:p>
      <w:pPr>
        <w:spacing w:after="0" w:line="146" w:lineRule="exact"/>
        <w:rPr>
          <w:rFonts w:ascii="Arial" w:cs="Arial" w:eastAsia="Arial" w:hAnsi="Arial"/>
          <w:sz w:val="16"/>
          <w:szCs w:val="16"/>
          <w:color w:val="auto"/>
        </w:rPr>
      </w:pPr>
    </w:p>
    <w:p>
      <w:pPr>
        <w:ind w:left="820" w:right="60" w:hanging="488"/>
        <w:spacing w:after="0" w:line="277" w:lineRule="auto"/>
        <w:tabs>
          <w:tab w:leader="none" w:pos="84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use the net proceeds received by the Company from the sale of the Securities pursuant to this Agreement in the manner specified in the Pricing Disclosure Package under the caption “Use of Proceeds”;</w:t>
      </w:r>
    </w:p>
    <w:p>
      <w:pPr>
        <w:spacing w:after="0" w:line="170" w:lineRule="exact"/>
        <w:rPr>
          <w:rFonts w:ascii="Arial" w:cs="Arial" w:eastAsia="Arial" w:hAnsi="Arial"/>
          <w:sz w:val="18"/>
          <w:szCs w:val="18"/>
          <w:color w:val="auto"/>
        </w:rPr>
      </w:pPr>
    </w:p>
    <w:p>
      <w:pPr>
        <w:ind w:left="820" w:right="20" w:hanging="488"/>
        <w:spacing w:after="0" w:line="277" w:lineRule="auto"/>
        <w:tabs>
          <w:tab w:leader="none" w:pos="8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reserve and keep available at all times, free of preemptive rights, the Conversion Shares for the purpose of enabling the Company to satisfy any obligations to issue shares of its Stock upon conversion of the Securities; and</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Conversion Shares on the New York Stock Exchange (the “NYSE”).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left="820" w:right="80" w:firstLine="4"/>
        <w:spacing w:after="0" w:line="290"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represents and agrees that, without the prior consent of the Purchasers, it and its affiliates and any other person acting on its or their behalf (other than the Purchasers, as to which no statement is given) (x) have not made and will not make any offer relating to the Securities that, if the offering of the Securities contemplated by this Agreement were conducted as a public offering pursuant to a registration statement filed under the Act with the Commission, would constitute an “issuer free writing prospectus,” as defined in Rule 433 under the Act (any such offer is hereinafter referred to as a “Company Supplemental Disclosure Document”) and (y) have not solicited and will not solicit offers for, and have not offered or sold and will not offer or sell, the Securities by means of any form of general solicitation or general advertising within the meaning of Rule 502(c) of Regulation D other than any such solicitation listed on Schedule II(d) (each such solicitation, a “Permitted General Solicitation”; each written general solicitation document listed on Schedule II(d), a “Permitted General Solicitation Material”);</w:t>
      </w:r>
    </w:p>
    <w:p>
      <w:pPr>
        <w:spacing w:after="0" w:line="166" w:lineRule="exact"/>
        <w:rPr>
          <w:rFonts w:ascii="Arial" w:cs="Arial" w:eastAsia="Arial" w:hAnsi="Arial"/>
          <w:sz w:val="16"/>
          <w:szCs w:val="16"/>
          <w:color w:val="auto"/>
        </w:rPr>
      </w:pPr>
    </w:p>
    <w:p>
      <w:pPr>
        <w:ind w:left="820" w:right="140" w:hanging="2"/>
        <w:spacing w:after="0" w:line="308" w:lineRule="auto"/>
        <w:tabs>
          <w:tab w:leader="none" w:pos="113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Purchaser, severally and not jointly, represents and agrees that, without the prior consent of the Company and the Purchasers, other than one or more term sheets relating to the Securities containing customary information and conveyed to purchasers of securities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7" w:name="page118"/>
    <w:bookmarkEnd w:id="117"/>
    <w:p>
      <w:pPr>
        <w:ind w:left="812" w:right="160"/>
        <w:spacing w:after="0" w:line="302" w:lineRule="auto"/>
        <w:rPr>
          <w:sz w:val="20"/>
          <w:szCs w:val="20"/>
          <w:color w:val="auto"/>
        </w:rPr>
      </w:pPr>
      <w:r>
        <w:rPr>
          <w:rFonts w:ascii="Arial" w:cs="Arial" w:eastAsia="Arial" w:hAnsi="Arial"/>
          <w:sz w:val="16"/>
          <w:szCs w:val="16"/>
          <w:color w:val="auto"/>
        </w:rPr>
        <w:t>any Permitted General Solicitation Material, it has not made and will not make any offer relating to the Securities that, if the offering of the Securities contemplated by this Agreement were conducted as a public offering pursuant to a registration statement filed under the Act with the Commission, would constitute a “free writing prospectus,” as defined in Rule 405 under the Act (any such offer (other than any such term sheets and any Permitted General Solicitation Material), is hereinafter referred to as a “Purchaser Supplemental Disclosure Document”); and</w:t>
      </w:r>
    </w:p>
    <w:p>
      <w:pPr>
        <w:spacing w:after="0" w:line="154" w:lineRule="exact"/>
        <w:rPr>
          <w:sz w:val="20"/>
          <w:szCs w:val="20"/>
          <w:color w:val="auto"/>
        </w:rPr>
      </w:pPr>
    </w:p>
    <w:p>
      <w:pPr>
        <w:ind w:left="812" w:firstLine="4"/>
        <w:spacing w:after="0" w:line="264" w:lineRule="auto"/>
        <w:tabs>
          <w:tab w:leader="none" w:pos="117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any Company Supplemental Disclosure Document, Purchaser Supplemental Disclosure Document or Permitted General Solicitation Material, the use of which has been consented to by the Company and the Purchasers, is listed as applicable on Schedule II(b), Schedule II(c) or Schedule II(d) hereto, respectively.</w:t>
      </w:r>
    </w:p>
    <w:p>
      <w:pPr>
        <w:spacing w:after="0" w:line="181" w:lineRule="exact"/>
        <w:rPr>
          <w:rFonts w:ascii="Arial" w:cs="Arial" w:eastAsia="Arial" w:hAnsi="Arial"/>
          <w:sz w:val="18"/>
          <w:szCs w:val="18"/>
          <w:color w:val="auto"/>
        </w:rPr>
      </w:pPr>
    </w:p>
    <w:p>
      <w:pPr>
        <w:ind w:left="332" w:right="40" w:hanging="332"/>
        <w:spacing w:after="0" w:line="285" w:lineRule="auto"/>
        <w:tabs>
          <w:tab w:leader="none" w:pos="33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Purchasers that the Company will pay or cause to be paid the following: (i) the fees, disbursements and expenses of the Company’s counsel and accountants in connection with the issue of the Securities and the shares of Stock issuable upon conversion of the Securities and all other expenses in connection with the preparation, printing, reproduction and filing of the Preliminary Offering Memorandum and the Offering Memorandum and any amendments and supplements thereto and the mailing and delivering of copies thereof to the Purchasers and dealers; (ii) the cost of printing or producing any Agreement among Purchasers, this Agreement, the Indenture, the Call Spread Confirmations, the Securities, the Blue Sky Memorandum, closing documents (including any compilations thereof), Permitted General Solicitation Materials and any other documents in connection with the offering, purchase, sale and delivery of the Securities; (iii) all reasonable and documented expenses in connection with the qualification of the Securities and the shares of Stock issuable upon conversion of the Securities for offering and sale under state securities laws as provided in Section 5(b) hereof, including the reasonable and documented fees and disbursements of counsel for the Purchasers in connection with such qualification and in connection with the Blue Sky and legal investment surveys; (iv) any fees charged by securities rating services for rating the Securities; (v) the cost of preparing the Securities; (vi) the fees and expenses of the Trustee and any agent of the Trustee and the fees and disbursements of counsel for the Trustee in connection with the Indenture and the Securities; (vii) all costs and expenses incurred in connection with any “road show” presentation to potential purchasers of the Securities; provided that Company shall pay 50% of the cost of any airplane chartered in connection with the road show and the Purchasers shall pay the other 50% of such cost; (viii) any cost incurred in connection with the issuance, delivery and listing of the shares of Stock issuable upon conversion of the Securities and the Warrant Shares; and (ix) all other costs and expenses incident to the performance of its obligations hereunder which are not otherwise specifically provided for in this Section. It is understood, however, that, except as provided in this Section, and Sections 9 and 12 hereof, the Purchasers will pay all of their own costs and expenses, including the fees of their counsel, transfer taxes on resale of any of the Securities by them, and any advertising expenses connected with any offers they may make.</w:t>
      </w:r>
    </w:p>
    <w:p>
      <w:pPr>
        <w:spacing w:after="0" w:line="172" w:lineRule="exact"/>
        <w:rPr>
          <w:rFonts w:ascii="Arial" w:cs="Arial" w:eastAsia="Arial" w:hAnsi="Arial"/>
          <w:sz w:val="16"/>
          <w:szCs w:val="16"/>
          <w:color w:val="auto"/>
        </w:rPr>
      </w:pPr>
    </w:p>
    <w:p>
      <w:pPr>
        <w:ind w:left="332" w:right="20" w:hanging="332"/>
        <w:spacing w:after="0" w:line="312" w:lineRule="auto"/>
        <w:tabs>
          <w:tab w:leader="none" w:pos="33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obligations of the Purchasers hereunder, as to the Securities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146" w:lineRule="exact"/>
        <w:rPr>
          <w:rFonts w:ascii="Arial" w:cs="Arial" w:eastAsia="Arial" w:hAnsi="Arial"/>
          <w:sz w:val="16"/>
          <w:szCs w:val="16"/>
          <w:color w:val="auto"/>
        </w:rPr>
      </w:pPr>
    </w:p>
    <w:p>
      <w:pPr>
        <w:ind w:left="972" w:right="160" w:hanging="324"/>
        <w:spacing w:after="0" w:line="277" w:lineRule="auto"/>
        <w:tabs>
          <w:tab w:leader="none" w:pos="96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Latham &amp; Watkins LLP, counsel for the Purchasers, shall have furnished to you their opinion and negative assurance letter, in each case, dated such Time of Delivery, with respect to</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118" w:name="page119"/>
    <w:bookmarkEnd w:id="118"/>
    <w:p>
      <w:pPr>
        <w:ind w:left="324" w:right="320"/>
        <w:spacing w:after="0" w:line="277" w:lineRule="auto"/>
        <w:rPr>
          <w:sz w:val="20"/>
          <w:szCs w:val="20"/>
          <w:color w:val="auto"/>
        </w:rPr>
      </w:pPr>
      <w:r>
        <w:rPr>
          <w:rFonts w:ascii="Arial" w:cs="Arial" w:eastAsia="Arial" w:hAnsi="Arial"/>
          <w:sz w:val="18"/>
          <w:szCs w:val="18"/>
          <w:color w:val="auto"/>
        </w:rPr>
        <w:t>matters as you may reasonably request, and such counsel shall have received such papers and information as they may reasonably request to enable them to pass upon such matters.</w:t>
      </w:r>
    </w:p>
    <w:p>
      <w:pPr>
        <w:spacing w:after="0" w:line="170" w:lineRule="exact"/>
        <w:rPr>
          <w:sz w:val="20"/>
          <w:szCs w:val="20"/>
          <w:color w:val="auto"/>
        </w:rPr>
      </w:pPr>
    </w:p>
    <w:p>
      <w:pPr>
        <w:ind w:left="324" w:right="340" w:hanging="324"/>
        <w:spacing w:after="0" w:line="277" w:lineRule="auto"/>
        <w:tabs>
          <w:tab w:leader="none" w:pos="33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Faegre Baker Daniels LLP, counsel for the Company, shall have furnished to you their written opinion and negative assurance letter, in each case, dated such Time of Delivery, substantially in the form attached as Exhibit 1 hereto.</w:t>
      </w:r>
    </w:p>
    <w:p>
      <w:pPr>
        <w:spacing w:after="0" w:line="170" w:lineRule="exact"/>
        <w:rPr>
          <w:rFonts w:ascii="Arial" w:cs="Arial" w:eastAsia="Arial" w:hAnsi="Arial"/>
          <w:sz w:val="18"/>
          <w:szCs w:val="18"/>
          <w:color w:val="auto"/>
        </w:rPr>
      </w:pPr>
    </w:p>
    <w:p>
      <w:pPr>
        <w:ind w:left="324" w:right="60" w:hanging="324"/>
        <w:spacing w:after="0" w:line="264" w:lineRule="auto"/>
        <w:tabs>
          <w:tab w:leader="none" w:pos="33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the date of the Offering Memorandum concurrently with the execution of this Agreement and also at each Time of Delivery, each of Deloitte &amp; Touche LLP and Crowe LLP shall have furnished to you a letter or letters, dated the respective dates of delivery thereof, in form and substance satisfactory to you.</w:t>
      </w:r>
    </w:p>
    <w:p>
      <w:pPr>
        <w:spacing w:after="0" w:line="181" w:lineRule="exact"/>
        <w:rPr>
          <w:rFonts w:ascii="Arial" w:cs="Arial" w:eastAsia="Arial" w:hAnsi="Arial"/>
          <w:sz w:val="18"/>
          <w:szCs w:val="18"/>
          <w:color w:val="auto"/>
        </w:rPr>
      </w:pPr>
    </w:p>
    <w:p>
      <w:pPr>
        <w:ind w:left="324" w:right="40" w:hanging="324"/>
        <w:spacing w:after="0" w:line="287" w:lineRule="auto"/>
        <w:tabs>
          <w:tab w:leader="none" w:pos="33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(including the Newmar Entities and their respective subsidiaries) shall have sustained since the date of the latest audited financial statements included in the Pricing Disclosure Package any loss or interference with its business from fire, explosion, flood or other calamity, whether or not covered by insurance, or from any labor dispute or court or governmental action, order or decree, otherwise than as set forth or contemplated in the Pricing Disclosure Package, and (ii) since the respective dates as of which information is given in the Pricing Disclosure Package, at each Time of Delivery, there shall not have been any change in the capital stock or long-term debt of the Company or any of its subsidiaries (including the Newmar Entities and their respective subsidiaries) or any change, or any development involving a prospective change, in or affecting the general affairs, management, financial position, stockholders’ equity or results of operations of the Company and its subsidiaries (including the Newmar Entities and their respective subsidiaries), otherwise than as set forth or contemplated in the Pricing Disclosure Package, the effect of which, in any such case described in clause (i) or (ii), is in your judgment so material and adverse as to make it impracticable or inadvisable to proceed with the offering or the delivery of the Securities on the terms and in the manner contemplated in this Agreement and in each of the Pricing Disclosure Package and the Offering Memorandum.</w:t>
      </w:r>
    </w:p>
    <w:p>
      <w:pPr>
        <w:spacing w:after="0" w:line="172" w:lineRule="exact"/>
        <w:rPr>
          <w:rFonts w:ascii="Arial" w:cs="Arial" w:eastAsia="Arial" w:hAnsi="Arial"/>
          <w:sz w:val="16"/>
          <w:szCs w:val="16"/>
          <w:color w:val="auto"/>
        </w:rPr>
      </w:pPr>
    </w:p>
    <w:p>
      <w:pPr>
        <w:ind w:left="324" w:hanging="324"/>
        <w:spacing w:after="0" w:line="259" w:lineRule="auto"/>
        <w:tabs>
          <w:tab w:leader="none" w:pos="33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or after the Applicable Time (i) no downgrading shall have occurred in the rating accorded the Company’s debt securities by any “nationally recognized statistical rating organization,” as that term is defined in Section 3(a)62 of the Exchange Act, and (ii) no such organization shall have publicly announced that it has under surveillance or review, with possible negative implications, its rating of any of the Company’s debt securities;</w:t>
      </w:r>
    </w:p>
    <w:p>
      <w:pPr>
        <w:spacing w:after="0" w:line="186" w:lineRule="exact"/>
        <w:rPr>
          <w:rFonts w:ascii="Arial" w:cs="Arial" w:eastAsia="Arial" w:hAnsi="Arial"/>
          <w:sz w:val="18"/>
          <w:szCs w:val="18"/>
          <w:color w:val="auto"/>
        </w:rPr>
      </w:pPr>
    </w:p>
    <w:p>
      <w:pPr>
        <w:ind w:left="324" w:right="20" w:hanging="324"/>
        <w:spacing w:after="0" w:line="271" w:lineRule="auto"/>
        <w:tabs>
          <w:tab w:leader="none" w:pos="32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offering or the delivery of the Securities on the terms and in the manner contemplated in the Pricing Disclosure Package and the Offering Memorandum.</w:t>
      </w:r>
    </w:p>
    <w:p>
      <w:pPr>
        <w:spacing w:after="0" w:line="17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19" w:name="page120"/>
    <w:bookmarkEnd w:id="119"/>
    <w:p>
      <w:pPr>
        <w:ind w:left="972" w:right="40" w:hanging="324"/>
        <w:spacing w:after="0" w:line="268" w:lineRule="auto"/>
        <w:tabs>
          <w:tab w:leader="none" w:pos="9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Company shall have executed and delivered the Indenture and the Securities, in each case, in form and substance reasonably satisfactory to the Purchasers, and the Purchasers shall have received executed copies thereof.</w:t>
      </w:r>
    </w:p>
    <w:p>
      <w:pPr>
        <w:spacing w:after="0" w:line="180" w:lineRule="exact"/>
        <w:rPr>
          <w:rFonts w:ascii="Arial" w:cs="Arial" w:eastAsia="Arial" w:hAnsi="Arial"/>
          <w:sz w:val="18"/>
          <w:szCs w:val="18"/>
          <w:color w:val="auto"/>
        </w:rPr>
      </w:pPr>
    </w:p>
    <w:p>
      <w:pPr>
        <w:ind w:left="992" w:hanging="344"/>
        <w:spacing w:after="0"/>
        <w:tabs>
          <w:tab w:leader="none" w:pos="99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Securities shall be eligible for clearance and settlement through the facilities of DTC.</w:t>
      </w:r>
    </w:p>
    <w:p>
      <w:pPr>
        <w:spacing w:after="0" w:line="225" w:lineRule="exact"/>
        <w:rPr>
          <w:rFonts w:ascii="Arial" w:cs="Arial" w:eastAsia="Arial" w:hAnsi="Arial"/>
          <w:sz w:val="18"/>
          <w:szCs w:val="18"/>
          <w:color w:val="auto"/>
        </w:rPr>
      </w:pPr>
    </w:p>
    <w:p>
      <w:pPr>
        <w:ind w:left="972" w:right="60" w:hanging="324"/>
        <w:spacing w:after="0" w:line="288" w:lineRule="auto"/>
        <w:tabs>
          <w:tab w:leader="none" w:pos="95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you at the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w:t>
      </w:r>
    </w:p>
    <w:p>
      <w:pPr>
        <w:ind w:left="972"/>
        <w:spacing w:after="0"/>
        <w:rPr>
          <w:rFonts w:ascii="Arial" w:cs="Arial" w:eastAsia="Arial" w:hAnsi="Arial"/>
          <w:sz w:val="16"/>
          <w:szCs w:val="16"/>
          <w:color w:val="auto"/>
        </w:rPr>
      </w:pPr>
      <w:r>
        <w:rPr>
          <w:rFonts w:ascii="Arial" w:cs="Arial" w:eastAsia="Arial" w:hAnsi="Arial"/>
          <w:sz w:val="18"/>
          <w:szCs w:val="18"/>
          <w:color w:val="auto"/>
        </w:rPr>
        <w:t>(e) of this Section and as to such other matters as you may reasonably request.</w:t>
      </w:r>
    </w:p>
    <w:p>
      <w:pPr>
        <w:spacing w:after="0" w:line="216" w:lineRule="exact"/>
        <w:rPr>
          <w:rFonts w:ascii="Arial" w:cs="Arial" w:eastAsia="Arial" w:hAnsi="Arial"/>
          <w:sz w:val="16"/>
          <w:szCs w:val="16"/>
          <w:color w:val="auto"/>
        </w:rPr>
      </w:pPr>
    </w:p>
    <w:p>
      <w:pPr>
        <w:ind w:left="972" w:right="560" w:hanging="324"/>
        <w:spacing w:after="0" w:line="268" w:lineRule="auto"/>
        <w:tabs>
          <w:tab w:leader="none" w:pos="95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Purchasers executed copies of a lock-up agreement from each of the parties named in Schedule IV hereto substantially in the form set forth in Annex I hereto.</w:t>
      </w:r>
    </w:p>
    <w:p>
      <w:pPr>
        <w:spacing w:after="0" w:line="185" w:lineRule="exact"/>
        <w:rPr>
          <w:rFonts w:ascii="Arial" w:cs="Arial" w:eastAsia="Arial" w:hAnsi="Arial"/>
          <w:sz w:val="18"/>
          <w:szCs w:val="18"/>
          <w:color w:val="auto"/>
        </w:rPr>
      </w:pPr>
    </w:p>
    <w:p>
      <w:pPr>
        <w:ind w:left="972" w:right="80" w:hanging="324"/>
        <w:spacing w:after="0" w:line="268" w:lineRule="auto"/>
        <w:tabs>
          <w:tab w:leader="none" w:pos="9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No event has occurred that would, if the Securities were outstanding, require an adjustment to the conversion rate for the Securities pursuant to the Indenture.</w:t>
      </w:r>
    </w:p>
    <w:p>
      <w:pPr>
        <w:spacing w:after="0" w:line="185" w:lineRule="exact"/>
        <w:rPr>
          <w:rFonts w:ascii="Arial" w:cs="Arial" w:eastAsia="Arial" w:hAnsi="Arial"/>
          <w:sz w:val="18"/>
          <w:szCs w:val="18"/>
          <w:color w:val="auto"/>
        </w:rPr>
      </w:pPr>
    </w:p>
    <w:p>
      <w:pPr>
        <w:ind w:left="972" w:right="20" w:hanging="324"/>
        <w:spacing w:after="0" w:line="260" w:lineRule="auto"/>
        <w:tabs>
          <w:tab w:leader="none" w:pos="95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At the time of the execution of this Agreement, and each Time of Delivery, the Purchasers shall have received a certificate of the chief financial officer of the Company, dated the date of delivery thereof, satisfactory to the Purchasers, as to certain financial information contained in the Pricing Disclosure Package and the Offering Memorandum.</w:t>
      </w:r>
    </w:p>
    <w:p>
      <w:pPr>
        <w:spacing w:after="0" w:line="185" w:lineRule="exact"/>
        <w:rPr>
          <w:rFonts w:ascii="Arial" w:cs="Arial" w:eastAsia="Arial" w:hAnsi="Arial"/>
          <w:sz w:val="18"/>
          <w:szCs w:val="18"/>
          <w:color w:val="auto"/>
        </w:rPr>
      </w:pPr>
    </w:p>
    <w:p>
      <w:pPr>
        <w:ind w:left="912" w:hanging="912"/>
        <w:spacing w:after="0" w:line="268" w:lineRule="auto"/>
        <w:tabs>
          <w:tab w:leader="none" w:pos="32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 xml:space="preserve">The Company will indemnify and hold harmless each Purchaser against any losses, claims, damages or liabilities, joint or several, to which such Purchaser may become subject, under the Act or otherwise, insofar as such losses, claims, damages or liabilities (or actions in respect thereof) arise out of or are based upon an untrue statement or alleged untrue statement of a material fact contained in any Preliminary Offering Memorandum, the Pricing Disclosure Package, the Pricing Disclosure Package, the Offering Memorandum, or any amendment or supplement thereto, any Company Supplemental Disclosure Document, any Permitted General Solicitation Material or arise out of or are based upon the omission or alleged omission to state therein a material fact necessary to make the statements therein, in the light of the circumstances under which they were made, not misleading, and will reimburse each Purchaser for any legal or other expenses reasonably incurred by such Purchaser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or liability arises out of or is based upon an untrue statement or alleged untrue statement or omission or alleged omission made in any Preliminary Offering Memorandum, the Pricing Disclosure Package, the Pricing Disclosure Package, the Offering Memorandum or any such amendment or supplement thereto, any Company Supplemental Disclosure Document or any Permitted General Solicitation Material, in reliance upon and in conformity with written information furnished to the Company by the Purchasers expressly for use therein.</w:t>
      </w:r>
    </w:p>
    <w:p>
      <w:pPr>
        <w:spacing w:after="0" w:line="188" w:lineRule="exact"/>
        <w:rPr>
          <w:sz w:val="20"/>
          <w:szCs w:val="20"/>
          <w:color w:val="auto"/>
        </w:rPr>
      </w:pPr>
    </w:p>
    <w:p>
      <w:pPr>
        <w:ind w:left="812" w:right="400" w:hanging="488"/>
        <w:spacing w:after="0" w:line="342" w:lineRule="auto"/>
        <w:tabs>
          <w:tab w:leader="none" w:pos="81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Purchaser, severally and not jointly, will indemnify and hold harmless the Company against any losses, claims, damages or liabilities to which the Company may become subject, under the Act or otherwise, insofar as such losses, claims, damages or liabilities (or actions in</w:t>
      </w:r>
    </w:p>
    <w:p>
      <w:pPr>
        <w:spacing w:after="0" w:line="1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7" w:right="279" w:bottom="1440" w:gutter="0" w:footer="0" w:header="0"/>
        </w:sectPr>
      </w:pPr>
    </w:p>
    <w:bookmarkStart w:id="120" w:name="page121"/>
    <w:bookmarkEnd w:id="120"/>
    <w:p>
      <w:pPr>
        <w:ind w:left="488" w:right="40"/>
        <w:spacing w:after="0" w:line="268" w:lineRule="auto"/>
        <w:rPr>
          <w:sz w:val="20"/>
          <w:szCs w:val="20"/>
          <w:color w:val="auto"/>
        </w:rPr>
      </w:pPr>
      <w:r>
        <w:rPr>
          <w:rFonts w:ascii="Arial" w:cs="Arial" w:eastAsia="Arial" w:hAnsi="Arial"/>
          <w:sz w:val="17"/>
          <w:szCs w:val="17"/>
          <w:color w:val="auto"/>
        </w:rPr>
        <w:t>respect thereof) arise out of or are based upon an untrue statement or alleged untrue statement of a material fact contained in any Preliminary Offering Memorandum, the Pricing Disclosure Package, the Pricing Disclosure Package, the Offering Memorandum, or any amendment or supplement thereto, any Company Supplemental Disclosure Document, any Permitted General Solicitation Material or arise out of or are based upon the omission or alleged omission to state therein a material fact or necessary to make the statements therein, in the light of the circumstances under which they were made, not misleading, in each case to the extent, but only to the extent, that such untrue statement or alleged untrue statement or omission or alleged omission was made in any Preliminary Offering Memorandum, the Pricing Disclosure Package, the Pricing Disclosure Package, the Offering Memorandum or any such amendment or supplement thereto, any Company Supplemental Disclosure Document or any Permitted General Solicitation Material, in reliance upon and in conformity with written information furnished to the Company by such Purchaser expressly for use therein; and each Purchaser will reimburse the Company for any legal or other expenses reasonably incurred by the Company in connection with investigating or defending any such action or claim as such expenses are incurred, it being understood and agreed that the only such information furnished by any Purchaser consists of the following information in the Preliminary Offering Memorandum and Offering Memorandum furnished on behalf of each Purchaser: the seventh paragraph of the Preliminary Offering Memorandum and Offering Memorandum in the section titled “Plan of Distribution.”</w:t>
      </w:r>
    </w:p>
    <w:p>
      <w:pPr>
        <w:spacing w:after="0" w:line="188" w:lineRule="exact"/>
        <w:rPr>
          <w:sz w:val="20"/>
          <w:szCs w:val="20"/>
          <w:color w:val="auto"/>
        </w:rPr>
      </w:pPr>
    </w:p>
    <w:p>
      <w:pPr>
        <w:ind w:left="488" w:hanging="488"/>
        <w:spacing w:after="0" w:line="283" w:lineRule="auto"/>
        <w:tabs>
          <w:tab w:leader="none" w:pos="49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unless and to the extent it did not learn of such action and such failure results in the forfeiture by the indemnifying party of substantial rights and defenses.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(including local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(including local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w:t>
      </w:r>
    </w:p>
    <w:p>
      <w:pPr>
        <w:spacing w:after="0" w:line="1" w:lineRule="exact"/>
        <w:rPr>
          <w:rFonts w:ascii="Arial" w:cs="Arial" w:eastAsia="Arial" w:hAnsi="Arial"/>
          <w:sz w:val="16"/>
          <w:szCs w:val="16"/>
          <w:color w:val="auto"/>
        </w:rPr>
      </w:pPr>
    </w:p>
    <w:p>
      <w:pPr>
        <w:ind w:left="748" w:hanging="262"/>
        <w:spacing w:after="0"/>
        <w:tabs>
          <w:tab w:leader="none" w:pos="74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does not include a statement as to, or an admission of, fault, culpability or a failure to act, by or on behalf of any indemnified party.</w:t>
      </w:r>
    </w:p>
    <w:p>
      <w:pPr>
        <w:spacing w:after="0" w:line="210" w:lineRule="exact"/>
        <w:rPr>
          <w:rFonts w:ascii="Arial" w:cs="Arial" w:eastAsia="Arial" w:hAnsi="Arial"/>
          <w:sz w:val="18"/>
          <w:szCs w:val="18"/>
          <w:color w:val="auto"/>
        </w:rPr>
      </w:pPr>
    </w:p>
    <w:p>
      <w:pPr>
        <w:ind w:left="488" w:hanging="488"/>
        <w:spacing w:after="0"/>
        <w:tabs>
          <w:tab w:leader="none" w:pos="48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 (a) or</w:t>
      </w:r>
    </w:p>
    <w:p>
      <w:pPr>
        <w:spacing w:after="0" w:line="46" w:lineRule="exact"/>
        <w:rPr>
          <w:rFonts w:ascii="Arial" w:cs="Arial" w:eastAsia="Arial" w:hAnsi="Arial"/>
          <w:sz w:val="16"/>
          <w:szCs w:val="16"/>
          <w:color w:val="auto"/>
        </w:rPr>
      </w:pPr>
    </w:p>
    <w:p>
      <w:pPr>
        <w:ind w:left="748" w:hanging="262"/>
        <w:spacing w:after="0"/>
        <w:tabs>
          <w:tab w:leader="none" w:pos="74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above in respect of any losses,</w:t>
      </w: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8"/>
          </w:cols>
          <w:pgMar w:left="572" w:top="341" w:right="239" w:bottom="1440" w:gutter="0" w:footer="0" w:header="0"/>
        </w:sectPr>
      </w:pPr>
    </w:p>
    <w:bookmarkStart w:id="121" w:name="page122"/>
    <w:bookmarkEnd w:id="121"/>
    <w:p>
      <w:pPr>
        <w:ind w:left="488" w:right="20"/>
        <w:spacing w:after="0" w:line="284" w:lineRule="auto"/>
        <w:rPr>
          <w:sz w:val="20"/>
          <w:szCs w:val="20"/>
          <w:color w:val="auto"/>
        </w:rPr>
      </w:pPr>
      <w:r>
        <w:rPr>
          <w:rFonts w:ascii="Arial" w:cs="Arial" w:eastAsia="Arial" w:hAnsi="Arial"/>
          <w:sz w:val="16"/>
          <w:szCs w:val="16"/>
          <w:color w:val="auto"/>
        </w:rPr>
        <w:t>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Purchasers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Purchasers on the other in connection with the statements or omissions which resulted in such losses, claims, damages or liabilities (or actions in respect thereof), as well as any other relevant equitable considerations. The relative benefits received by the Company on the one hand and the Purchasers on the other shall be deemed to be in the same proportion as the total net proceeds from the offering (before deducting expenses) received by the Company bear to the total underwriting discounts and commissions received by the Purchasers, in each case as set forth in the Offering Memorandum. The relative fault shall be determined by reference to, among other things, whether the untrue or alleged untrue statement of a material fact or the omission or alleged omission to state a material fact relates to information supplied by the Company on the one hand or the Purchasers on the other and the parties’ relative intent, knowledge, access to information and opportunity to correct or prevent such statement or omission. The Company and the Purchasers agree that it would not be just and equitable if contribution pursuant to this subsection (d) were determined by pro rata allocation (even if the Purchasers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Purchaser shall be required to contribute any amount in excess of the amount by which the total price at which the Securities underwritten by it and distributed to investors were offered to investors exceeds the amount of any damages which such Purchaser has otherwise been required to pay by reason of such untrue or alleged untrue statement or omission or alleged omission. The Purchasers’ obligations in this subsection (d) to contribute are several in proportion to their respective purchase obligations and not joint. No person guilty of fraudulent misrepresentation (within the meaning of Section 11(f) of the Securities Act) shall be entitled to contribution from any person who was not guilty of such fraudulent misrepresentation.</w:t>
      </w:r>
    </w:p>
    <w:p>
      <w:pPr>
        <w:spacing w:after="0" w:line="177" w:lineRule="exact"/>
        <w:rPr>
          <w:sz w:val="20"/>
          <w:szCs w:val="20"/>
          <w:color w:val="auto"/>
        </w:rPr>
      </w:pPr>
    </w:p>
    <w:p>
      <w:pPr>
        <w:ind w:left="488" w:hanging="488"/>
        <w:spacing w:after="0" w:line="276" w:lineRule="auto"/>
        <w:tabs>
          <w:tab w:leader="none" w:pos="49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obligations of the Company under this Section 9 shall be in addition to any liability which the Company may otherwise have and shall extend, upon the same terms and conditions, to each employee, officer and director each Purchaser, any affiliate of each Purchaser and each person, if any, who controls any Purchaser within the meaning of the Act; and the obligations of the Purchasers under this Section 9 shall be in addition to any liability which the respective Purchasers may otherwise have and shall extend, upon the same terms and conditions, to each officer and director of the Company and to each person, if any, who controls the Company within the meaning of the Act.</w:t>
      </w:r>
    </w:p>
    <w:p>
      <w:pPr>
        <w:spacing w:after="0" w:line="17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8"/>
          </w:cols>
          <w:pgMar w:left="572" w:top="341" w:right="259" w:bottom="1440" w:gutter="0" w:footer="0" w:header="0"/>
        </w:sectPr>
      </w:pPr>
    </w:p>
    <w:bookmarkStart w:id="122" w:name="page123"/>
    <w:bookmarkEnd w:id="122"/>
    <w:p>
      <w:pPr>
        <w:ind w:left="812" w:right="40" w:hanging="812"/>
        <w:spacing w:after="0" w:line="269" w:lineRule="auto"/>
        <w:tabs>
          <w:tab w:leader="none" w:pos="32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 If any Purchaser shall default in its obligation to purchase the Securities which it has agreed to purchase hereunder at a Time of Delivery, you may in your discretion arrange for you or another party or other parties to purchase such Securities on the terms contained herein. If within thirty-six hours after such default by any Purchaser you do not arrange for the purchase of such Securities, then the Company shall be entitled to a further period of thirty-six hours within which to procure another party or other parties satisfactory to you to purchase such Securities on such terms. In the event that, within the respective prescribed periods, you notify the Company that you have so arranged for the purchase of such Securities, or the Company notifies you that it has so arranged for the purchase of such Securities, you or the Company shall have the right to postpone such Time of Delivery for a period of not more than seven days, in order to effect whatever changes may thereby be made necessary in the Offering Memorandum, or in any other documents or arrangements, and the Company agrees to prepare promptly any amendments or supplements to the Offering Memorandum which in your opinion may thereby be made necessary. The term “Purchaser” as used in this Agreement shall include any person substituted under this Section with like effect as if such person had originally been a party to this Agreement with respect to such Securities.</w:t>
      </w:r>
    </w:p>
    <w:p>
      <w:pPr>
        <w:spacing w:after="0" w:line="182" w:lineRule="exact"/>
        <w:rPr>
          <w:rFonts w:ascii="Arial" w:cs="Arial" w:eastAsia="Arial" w:hAnsi="Arial"/>
          <w:sz w:val="17"/>
          <w:szCs w:val="17"/>
          <w:color w:val="auto"/>
        </w:rPr>
      </w:pPr>
    </w:p>
    <w:p>
      <w:pPr>
        <w:ind w:left="812" w:right="120" w:hanging="488"/>
        <w:spacing w:after="0" w:line="291" w:lineRule="auto"/>
        <w:tabs>
          <w:tab w:leader="none" w:pos="81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Purchaser or Purchasers by you and the Company as provided in subsection (a) above, the aggregate principal amount of such Securities which remains unpurchased does not exceed one-eleventh of the aggregate principal amount of all the Securities to be purchased at such Time of Delivery, then the Company shall have the right to require each non-defaulting Purchaser to purchase the principal amount of Securities which such Purchaser agreed to purchase hereunder at such Time of Delivery and, in addition, to require each non-defaulting Purchaser to purchase its pro rata share (based on the principal amount of Securities which such Purchaser agreed to purchase hereunder) of the Securities of such defaulting Purchaser or Purchasers for which such arrangements have not been made; but nothing herein shall relieve a defaulting Purchaser from liability for its default.</w:t>
      </w:r>
    </w:p>
    <w:p>
      <w:pPr>
        <w:spacing w:after="0" w:line="167" w:lineRule="exact"/>
        <w:rPr>
          <w:rFonts w:ascii="Arial" w:cs="Arial" w:eastAsia="Arial" w:hAnsi="Arial"/>
          <w:sz w:val="16"/>
          <w:szCs w:val="16"/>
          <w:color w:val="auto"/>
        </w:rPr>
      </w:pPr>
    </w:p>
    <w:p>
      <w:pPr>
        <w:ind w:left="812" w:right="100" w:hanging="488"/>
        <w:spacing w:after="0" w:line="271" w:lineRule="auto"/>
        <w:tabs>
          <w:tab w:leader="none" w:pos="823" w:val="left"/>
        </w:tabs>
        <w:numPr>
          <w:ilvl w:val="1"/>
          <w:numId w:val="156"/>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Purchaser or Purchasers by you and the Company as provided in subsection (a) above, the aggregate principal amount of Securities which remains unpurchased exceeds one-eleventh of the aggregate principal amount of all the Securities to be purchased at such Time of Delivery, or if the Company shall not exercise the right described in subsection (b) above to require non-defaulting Purchasers to purchase Securities of a defaulting Purchaser or Purchasers, then this Agreement (or, with respect to the Second Time of Delivery, the obligations of the Purchasers to purchase and the Company to sell the Optional Securities) shall thereupon terminate, without liability on the part of any non-defaulting Purchaser or the Company, except for the expenses to be borne by the Company and the Purchasers as provided in Section 6 hereof and the indemnity and contribution agreements in Section 9 hereof; but nothing herein shall relieve a defaulting Purchaser from liability for its default.</w:t>
      </w:r>
    </w:p>
    <w:p>
      <w:pPr>
        <w:spacing w:after="0" w:line="178" w:lineRule="exact"/>
        <w:rPr>
          <w:rFonts w:ascii="Arial" w:cs="Arial" w:eastAsia="Arial" w:hAnsi="Arial"/>
          <w:sz w:val="17"/>
          <w:szCs w:val="17"/>
          <w:color w:val="auto"/>
        </w:rPr>
      </w:pPr>
    </w:p>
    <w:p>
      <w:pPr>
        <w:ind w:left="332" w:hanging="332"/>
        <w:spacing w:after="0" w:line="279" w:lineRule="auto"/>
        <w:tabs>
          <w:tab w:leader="none" w:pos="32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respective indemnities, agreements, representations, warranties and other statements of the Company and the several Purchasers, as set forth in this Agreement or made by or on behalf of them, respectively, pursuant to this Agreement, shall remain in full force and effect, regardless of any investigation (or any statement as to the results thereof) made by or on behalf of any Purchaser or any controlling person of any Purchaser, or the Company or any officer or director or controlling person of the Company , and shall survive delivery of and payment for the Securities.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23" w:name="page124"/>
    <w:bookmarkEnd w:id="123"/>
    <w:p>
      <w:pPr>
        <w:ind w:left="332" w:right="120" w:hanging="332"/>
        <w:spacing w:after="0" w:line="276" w:lineRule="auto"/>
        <w:tabs>
          <w:tab w:leader="none" w:pos="32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this Agreement shall be terminated pursuant to Section 10 hereof, the Company shall not then be under any liability to any Purchaser except as provided in Sections 7 and 9 hereof; but, if for any other reason, the Securities are not delivered by or on behalf of the Company as provided herein, the Company will reimburse the Purchasers for all expenses approved in writing by you, including fees and disbursements of counsel, reasonably incurred and documented by the Purchasers in making preparations for the purchase, sale and delivery of the Securities, but the Company shall then be under no further liability to any Purchaser except as provided in Sections 7 and 9 hereof.</w:t>
      </w:r>
    </w:p>
    <w:p>
      <w:pPr>
        <w:spacing w:after="0" w:line="172" w:lineRule="exact"/>
        <w:rPr>
          <w:rFonts w:ascii="Arial" w:cs="Arial" w:eastAsia="Arial" w:hAnsi="Arial"/>
          <w:sz w:val="17"/>
          <w:szCs w:val="17"/>
          <w:color w:val="auto"/>
        </w:rPr>
      </w:pPr>
    </w:p>
    <w:p>
      <w:pPr>
        <w:ind w:left="332" w:hanging="332"/>
        <w:spacing w:after="0" w:line="259" w:lineRule="auto"/>
        <w:tabs>
          <w:tab w:leader="none" w:pos="32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All statements, requests, notices and agreements hereunder shall be in writing, and if to the Purchasers shall be delivered or sent by mail or facsimile transmission to you at Goldman Sachs &amp; Co. LLC, 200 West Street, New York, New York 10282-2198, Attention: Registration Department and BMO Capital Markets Corp., 3 Times Square, 28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New York, NY 10036, Attention: Legal Department (fax: 212-702-1205); and if to the Company shall be delivered or sent by mail or facsimile transmission to the address of the Company set forth in the Offering Memorandum, Attention: Secretary;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notice to a Purchaser pursuant to Section 9 hereof shall be delivered or sent by mail or facsimile transmission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at its address set forth in its Purchasers’ Questionnaire, which address will be supplied to the Company by you upon request. Any such statements, requests, notices or agreements shall take effect upon receipt thereof.</w:t>
      </w:r>
    </w:p>
    <w:p>
      <w:pPr>
        <w:spacing w:after="0" w:line="189" w:lineRule="exact"/>
        <w:rPr>
          <w:rFonts w:ascii="Arial" w:cs="Arial" w:eastAsia="Arial" w:hAnsi="Arial"/>
          <w:sz w:val="17"/>
          <w:szCs w:val="17"/>
          <w:color w:val="auto"/>
        </w:rPr>
      </w:pPr>
    </w:p>
    <w:p>
      <w:pPr>
        <w:ind w:left="332" w:right="80"/>
        <w:spacing w:after="0" w:line="286" w:lineRule="auto"/>
        <w:rPr>
          <w:rFonts w:ascii="Arial" w:cs="Arial" w:eastAsia="Arial" w:hAnsi="Arial"/>
          <w:sz w:val="17"/>
          <w:szCs w:val="17"/>
          <w:color w:val="auto"/>
        </w:rPr>
      </w:pPr>
      <w:r>
        <w:rPr>
          <w:rFonts w:ascii="Arial" w:cs="Arial" w:eastAsia="Arial" w:hAnsi="Arial"/>
          <w:sz w:val="17"/>
          <w:szCs w:val="17"/>
          <w:color w:val="auto"/>
        </w:rPr>
        <w:t>In accordance with the requirements of the USA Patriot Act (Title III of Pub. L. 107-56 (signed into law October 26, 2001)), the Purchasers are required to obtain, verify and record information that identifies their respective clients, including the Company, which information may include the name and address of their respective clients, as well as other information that will allow the Purchasers to properly identify their respective clients.</w:t>
      </w:r>
    </w:p>
    <w:p>
      <w:pPr>
        <w:spacing w:after="0" w:line="165" w:lineRule="exact"/>
        <w:rPr>
          <w:rFonts w:ascii="Arial" w:cs="Arial" w:eastAsia="Arial" w:hAnsi="Arial"/>
          <w:sz w:val="17"/>
          <w:szCs w:val="17"/>
          <w:color w:val="auto"/>
        </w:rPr>
      </w:pPr>
    </w:p>
    <w:p>
      <w:pPr>
        <w:ind w:left="332" w:right="120" w:hanging="332"/>
        <w:spacing w:after="0" w:line="302" w:lineRule="auto"/>
        <w:tabs>
          <w:tab w:leader="none" w:pos="32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Purchasers, the Company and, to the extent provided in Sections 9 and 11 hereof, the officers and directors of the Company and each person who controls the Company or any Purchaser, and their respective heirs, executors, administrators, successors and assigns, and no other person shall acquire or have any right under or by virtue of this Agreement. No purchaser of any of the Securities from any Purchaser shall be deemed a successor or assign by reason merely of such purchase.</w:t>
      </w:r>
    </w:p>
    <w:p>
      <w:pPr>
        <w:spacing w:after="0" w:line="154" w:lineRule="exact"/>
        <w:rPr>
          <w:rFonts w:ascii="Arial" w:cs="Arial" w:eastAsia="Arial" w:hAnsi="Arial"/>
          <w:sz w:val="16"/>
          <w:szCs w:val="16"/>
          <w:color w:val="auto"/>
        </w:rPr>
      </w:pPr>
    </w:p>
    <w:p>
      <w:pPr>
        <w:ind w:left="312" w:hanging="312"/>
        <w:spacing w:after="0"/>
        <w:tabs>
          <w:tab w:leader="none" w:pos="31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Time shall be of the essence of this Agreement.</w:t>
      </w:r>
    </w:p>
    <w:p>
      <w:pPr>
        <w:spacing w:after="0" w:line="225" w:lineRule="exact"/>
        <w:rPr>
          <w:rFonts w:ascii="Arial" w:cs="Arial" w:eastAsia="Arial" w:hAnsi="Arial"/>
          <w:sz w:val="18"/>
          <w:szCs w:val="18"/>
          <w:color w:val="auto"/>
        </w:rPr>
      </w:pPr>
    </w:p>
    <w:p>
      <w:pPr>
        <w:ind w:left="332" w:right="100" w:hanging="332"/>
        <w:spacing w:after="0" w:line="290" w:lineRule="auto"/>
        <w:tabs>
          <w:tab w:leader="none" w:pos="32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 acknowledges and agrees that (i) the purchase and sale of the Securities pursuant to this Agreement is an arm’s-length commercial transaction between the Company, on the one hand, and the several Purchasers, on the other, (ii) in connection therewith and with the process leading to such transaction each Purchaser is acting solely as a principal and not the agent or fiduciary of the Company, (iii) no Purchaser has assumed an advisory or fiduciary responsibility in favor of the Company with respect to the offering contemplated hereby or the process leading thereto (irrespective of whether such Purchaser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Purchaser, or any of them, has rendered advisory services of any nature or respect, or owes a fiduciary or similar duty to the Company, in connection with such transaction or the process leading thereto.</w:t>
      </w:r>
    </w:p>
    <w:p>
      <w:pPr>
        <w:spacing w:after="0" w:line="166" w:lineRule="exact"/>
        <w:rPr>
          <w:rFonts w:ascii="Arial" w:cs="Arial" w:eastAsia="Arial" w:hAnsi="Arial"/>
          <w:sz w:val="16"/>
          <w:szCs w:val="16"/>
          <w:color w:val="auto"/>
        </w:rPr>
      </w:pPr>
    </w:p>
    <w:p>
      <w:pPr>
        <w:ind w:left="332" w:hanging="332"/>
        <w:spacing w:after="0" w:line="277" w:lineRule="auto"/>
        <w:tabs>
          <w:tab w:leader="none" w:pos="32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or among the Company and the Purchasers, or any of them, with respect to the subject matter hereof.</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24" w:name="page125"/>
    <w:bookmarkEnd w:id="124"/>
    <w:p>
      <w:pPr>
        <w:ind w:left="332" w:right="80" w:hanging="332"/>
        <w:spacing w:after="0" w:line="255" w:lineRule="auto"/>
        <w:tabs>
          <w:tab w:leader="none" w:pos="32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93" w:lineRule="exact"/>
        <w:rPr>
          <w:rFonts w:ascii="Arial" w:cs="Arial" w:eastAsia="Arial" w:hAnsi="Arial"/>
          <w:sz w:val="18"/>
          <w:szCs w:val="18"/>
          <w:color w:val="auto"/>
        </w:rPr>
      </w:pPr>
    </w:p>
    <w:p>
      <w:pPr>
        <w:ind w:left="332" w:right="120" w:hanging="332"/>
        <w:spacing w:after="0" w:line="277" w:lineRule="auto"/>
        <w:tabs>
          <w:tab w:leader="none" w:pos="32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 and each of the Purchasers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332" w:right="620" w:hanging="332"/>
        <w:spacing w:after="0" w:line="277" w:lineRule="auto"/>
        <w:tabs>
          <w:tab w:leader="none" w:pos="32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respective counterparts shall together constitute one and the same instrument.</w:t>
      </w:r>
    </w:p>
    <w:p>
      <w:pPr>
        <w:spacing w:after="0" w:line="170" w:lineRule="exact"/>
        <w:rPr>
          <w:rFonts w:ascii="Arial" w:cs="Arial" w:eastAsia="Arial" w:hAnsi="Arial"/>
          <w:sz w:val="18"/>
          <w:szCs w:val="18"/>
          <w:color w:val="auto"/>
        </w:rPr>
      </w:pPr>
    </w:p>
    <w:p>
      <w:pPr>
        <w:ind w:left="332" w:right="80" w:hanging="332"/>
        <w:spacing w:after="0" w:line="273" w:lineRule="auto"/>
        <w:tabs>
          <w:tab w:leader="none" w:pos="32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(and the Company’s employees, representatives, and other agents) are authorized to disclose to any and all persons, the tax treatment and tax structure of the potential transaction and all materials of any kind (including tax opinions and other tax analyses) provided to the Company relating to that treatment and structure, without the Purchasers’ imposing any limitation of any kind. However, any information relating to the tax treatment and tax structure shall remain confidential (and the foregoing sentence shall not apply) to the extent necessary to enable any person to comply with securities laws. For this purpose, “tax treatment” means US federal and state income tax treatment, and “tax structure” is limited to any facts that may be relevant to that treatment.</w:t>
      </w:r>
    </w:p>
    <w:p>
      <w:pPr>
        <w:spacing w:after="0" w:line="178" w:lineRule="exact"/>
        <w:rPr>
          <w:rFonts w:ascii="Arial" w:cs="Arial" w:eastAsia="Arial" w:hAnsi="Arial"/>
          <w:sz w:val="17"/>
          <w:szCs w:val="17"/>
          <w:color w:val="auto"/>
        </w:rPr>
      </w:pPr>
    </w:p>
    <w:p>
      <w:pPr>
        <w:ind w:left="312" w:hanging="312"/>
        <w:spacing w:after="0"/>
        <w:tabs>
          <w:tab w:leader="none" w:pos="31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225" w:lineRule="exact"/>
        <w:rPr>
          <w:rFonts w:ascii="Arial" w:cs="Arial" w:eastAsia="Arial" w:hAnsi="Arial"/>
          <w:sz w:val="18"/>
          <w:szCs w:val="18"/>
          <w:color w:val="auto"/>
        </w:rPr>
      </w:pPr>
    </w:p>
    <w:p>
      <w:pPr>
        <w:ind w:left="-8" w:firstLine="656"/>
        <w:spacing w:after="0" w:line="259" w:lineRule="auto"/>
        <w:tabs>
          <w:tab w:leader="none" w:pos="88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event that any Purchaser that is a Covered Entity becomes subject to a proceeding under a U.S. Special Resolution Regime, the transfer from such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left="-8" w:right="200" w:firstLine="656"/>
        <w:spacing w:after="0" w:line="259" w:lineRule="auto"/>
        <w:tabs>
          <w:tab w:leader="none" w:pos="89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event that any Purchaser that is a Covered Entity or a BHC Act Affiliate of such Purchaser becomes subject to a proceeding under a U.S. Special Resolution Regime, Default Rights under this Agreement that may be exercised against such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892" w:hanging="244"/>
        <w:spacing w:after="0"/>
        <w:tabs>
          <w:tab w:leader="none" w:pos="89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5612" w:right="3140" w:hanging="4964"/>
        <w:spacing w:after="0" w:line="528" w:lineRule="auto"/>
        <w:tabs>
          <w:tab w:leader="none" w:pos="85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25" w:name="page126"/>
    <w:bookmarkEnd w:id="125"/>
    <w:p>
      <w:pPr>
        <w:ind w:left="920" w:hanging="264"/>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126" w:name="page127"/>
    <w:bookmarkEnd w:id="126"/>
    <w:p>
      <w:pPr>
        <w:jc w:val="both"/>
        <w:ind w:right="100"/>
        <w:spacing w:after="0" w:line="25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counterparts hereof, and upon the acceptance hereof by you, on behalf of each of the Purchasers, this letter and such acceptance hereof shall constitute a binding agreement among each of the Purchasers and the Company. It is understood that your acceptance of this letter on behalf of each of the Purchasers is pursuant to the authority set forth in a form of Agreement among Purchasers, the form of which shall be submitted to the Company for examination upon request, but without warranty on your part as to the authority of the signers thereof.</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tbl>
      <w:tblPr>
        <w:tblLayout w:type="fixed"/>
        <w:tblInd w:w="62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Bryan L. Hughes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Mike Voris</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3310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4" w:lineRule="exact"/>
        <w:rPr>
          <w:sz w:val="20"/>
          <w:szCs w:val="20"/>
          <w:color w:val="auto"/>
        </w:rPr>
      </w:pPr>
    </w:p>
    <w:p>
      <w:pPr>
        <w:ind w:left="480"/>
        <w:spacing w:after="0"/>
        <w:tabs>
          <w:tab w:leader="none" w:pos="1220" w:val="left"/>
        </w:tabs>
        <w:rPr>
          <w:sz w:val="20"/>
          <w:szCs w:val="20"/>
          <w:color w:val="auto"/>
        </w:rPr>
      </w:pPr>
      <w:r>
        <w:rPr>
          <w:rFonts w:ascii="Arial" w:cs="Arial" w:eastAsia="Arial" w:hAnsi="Arial"/>
          <w:sz w:val="18"/>
          <w:szCs w:val="18"/>
          <w:color w:val="auto"/>
        </w:rPr>
        <w:t>Name:</w:t>
        <w:tab/>
        <w:t>Mike Voris</w:t>
      </w:r>
    </w:p>
    <w:p>
      <w:pPr>
        <w:spacing w:after="0" w:line="23" w:lineRule="exact"/>
        <w:rPr>
          <w:sz w:val="20"/>
          <w:szCs w:val="20"/>
          <w:color w:val="auto"/>
        </w:rPr>
      </w:pPr>
    </w:p>
    <w:p>
      <w:pPr>
        <w:ind w:left="480"/>
        <w:spacing w:after="0"/>
        <w:tabs>
          <w:tab w:leader="none" w:pos="1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Brian Riley</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3310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Brian Riley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 Equity-Linked Capital Markets</w:t>
      </w:r>
    </w:p>
    <w:p>
      <w:pPr>
        <w:spacing w:after="0" w:line="222" w:lineRule="exact"/>
        <w:rPr>
          <w:sz w:val="20"/>
          <w:szCs w:val="20"/>
          <w:color w:val="auto"/>
        </w:rPr>
      </w:pPr>
    </w:p>
    <w:p>
      <w:pPr>
        <w:sectPr>
          <w:pgSz w:w="11900" w:h="16838" w:orient="portrait"/>
          <w:cols w:equalWidth="0" w:num="2">
            <w:col w:w="960" w:space="280"/>
            <w:col w:w="10180"/>
          </w:cols>
          <w:pgMar w:left="240" w:top="341" w:right="2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480" w:type="dxa"/>
            <w:vAlign w:val="bottom"/>
            <w:gridSpan w:val="3"/>
          </w:tcPr>
          <w:p>
            <w:pPr>
              <w:jc w:val="right"/>
              <w:ind w:right="3770"/>
              <w:spacing w:after="0"/>
              <w:rPr>
                <w:sz w:val="20"/>
                <w:szCs w:val="20"/>
                <w:color w:val="auto"/>
              </w:rPr>
            </w:pPr>
            <w:r>
              <w:rPr>
                <w:rFonts w:ascii="Arial" w:cs="Arial" w:eastAsia="Arial" w:hAnsi="Arial"/>
                <w:sz w:val="18"/>
                <w:szCs w:val="18"/>
                <w:color w:val="auto"/>
              </w:rPr>
              <w:t>SCHEDULE I</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6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Firm Securities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Purchasers</w:t>
            </w:r>
          </w:p>
        </w:tc>
        <w:tc>
          <w:tcPr>
            <w:tcW w:w="6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6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6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BMO Capital Markets Corp.</w:t>
            </w:r>
          </w:p>
        </w:tc>
        <w:tc>
          <w:tcPr>
            <w:tcW w:w="6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94,500,000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62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ind w:left="1300" w:right="4659" w:hanging="644"/>
        <w:spacing w:after="0" w:line="563" w:lineRule="auto"/>
        <w:tabs>
          <w:tab w:leader="none" w:pos="129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Company Supplemental Disclosure Documents: Electronic Roadshow Presentation, dated October 28, 2019</w:t>
      </w:r>
    </w:p>
    <w:p>
      <w:pPr>
        <w:spacing w:after="0" w:line="1" w:lineRule="exact"/>
        <w:rPr>
          <w:rFonts w:ascii="Arial" w:cs="Arial" w:eastAsia="Arial" w:hAnsi="Arial"/>
          <w:sz w:val="16"/>
          <w:szCs w:val="16"/>
          <w:color w:val="auto"/>
        </w:rPr>
      </w:pPr>
    </w:p>
    <w:p>
      <w:pPr>
        <w:ind w:left="1320" w:hanging="664"/>
        <w:spacing w:after="0"/>
        <w:tabs>
          <w:tab w:leader="none" w:pos="13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Purchaser Supplemental Disclosure Documents: None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Permitted General Solicitation Materials:</w:t>
      </w:r>
    </w:p>
    <w:p>
      <w:pPr>
        <w:spacing w:after="0" w:line="225" w:lineRule="exact"/>
        <w:rPr>
          <w:rFonts w:ascii="Arial" w:cs="Arial" w:eastAsia="Arial" w:hAnsi="Arial"/>
          <w:sz w:val="18"/>
          <w:szCs w:val="18"/>
          <w:color w:val="auto"/>
        </w:rPr>
      </w:pPr>
    </w:p>
    <w:p>
      <w:pPr>
        <w:ind w:left="1300" w:right="519"/>
        <w:spacing w:after="0" w:line="624" w:lineRule="auto"/>
        <w:rPr>
          <w:rFonts w:ascii="Arial" w:cs="Arial" w:eastAsia="Arial" w:hAnsi="Arial"/>
          <w:sz w:val="18"/>
          <w:szCs w:val="18"/>
          <w:color w:val="auto"/>
        </w:rPr>
      </w:pPr>
      <w:r>
        <w:rPr>
          <w:rFonts w:ascii="Arial" w:cs="Arial" w:eastAsia="Arial" w:hAnsi="Arial"/>
          <w:sz w:val="16"/>
          <w:szCs w:val="16"/>
          <w:color w:val="auto"/>
        </w:rPr>
        <w:t>Press release of the Company dated October 28, 2019, relating to the announcement of the offering of the Securities. Press release of the Company dated October 29, 2019, relating to the pricing of the offering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7"/>
          <w:szCs w:val="17"/>
          <w:color w:val="auto"/>
        </w:rPr>
        <w:t>SCHEDULE III</w:t>
      </w:r>
    </w:p>
    <w:p>
      <w:pPr>
        <w:sectPr>
          <w:pgSz w:w="11900" w:h="16838" w:orient="portrait"/>
          <w:cols w:equalWidth="0" w:num="1">
            <w:col w:w="9019"/>
          </w:cols>
          <w:pgMar w:left="1440" w:top="341"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29,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CONFIDENTIAL</w:t>
      </w:r>
    </w:p>
    <w:p>
      <w:pPr>
        <w:spacing w:after="0" w:line="434" w:lineRule="exact"/>
        <w:rPr>
          <w:sz w:val="20"/>
          <w:szCs w:val="20"/>
          <w:color w:val="auto"/>
        </w:rPr>
      </w:pPr>
    </w:p>
    <w:p>
      <w:pPr>
        <w:sectPr>
          <w:pgSz w:w="11900" w:h="16838" w:orient="portrait"/>
          <w:cols w:equalWidth="0" w:num="2">
            <w:col w:w="9300" w:space="720"/>
            <w:col w:w="1440"/>
          </w:cols>
          <w:pgMar w:left="240" w:top="337" w:right="199" w:bottom="1440" w:gutter="0" w:footer="0" w:header="0"/>
        </w:sectPr>
      </w:pPr>
    </w:p>
    <w:p>
      <w:pPr>
        <w:spacing w:after="0" w:line="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Offering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$270,000,000 Aggregate Principal Amount of</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1.50% Convertible Senior Notes due 2025</w:t>
      </w:r>
    </w:p>
    <w:p>
      <w:pPr>
        <w:sectPr>
          <w:pgSz w:w="11900" w:h="16838" w:orient="portrait"/>
          <w:cols w:equalWidth="0" w:num="1">
            <w:col w:w="11460"/>
          </w:cols>
          <w:pgMar w:left="240" w:top="337" w:right="199" w:bottom="1440" w:gutter="0" w:footer="0" w:header="0"/>
          <w:type w:val="continuous"/>
        </w:sectPr>
      </w:pPr>
    </w:p>
    <w:p>
      <w:pPr>
        <w:spacing w:after="0" w:line="23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The information in this pricing term sheet supplements Winnebago Industries, Inc.’s preliminary offering memorandum, dated October 28, 2019 (the “Preliminary Offering Memorandum”), and supersedes the information in the Preliminary Offering Memorandum to the extent inconsistent with the information in the Preliminary Offering Memorandum. Terms used, but not defined, in this pricing term sheet have the respective meanings set forth in the Preliminary Offering Memorandum. As used in this pricing term sheet, “we,” “our” and “us” refer to Winnebago Industries, Inc. and not to its subsidiaries.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Issuer</w:t>
            </w:r>
          </w:p>
        </w:tc>
        <w:tc>
          <w:tcPr>
            <w:tcW w:w="8840" w:type="dxa"/>
            <w:vAlign w:val="bottom"/>
          </w:tcPr>
          <w:p>
            <w:pPr>
              <w:ind w:left="340"/>
              <w:spacing w:after="0"/>
              <w:rPr>
                <w:sz w:val="20"/>
                <w:szCs w:val="20"/>
                <w:color w:val="auto"/>
              </w:rPr>
            </w:pPr>
            <w:r>
              <w:rPr>
                <w:rFonts w:ascii="Arial" w:cs="Arial" w:eastAsia="Arial" w:hAnsi="Arial"/>
                <w:sz w:val="18"/>
                <w:szCs w:val="18"/>
                <w:color w:val="auto"/>
              </w:rPr>
              <w:t>Winnebago Industries, Inc.</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Ticker / Exchange for Common</w:t>
            </w:r>
          </w:p>
        </w:tc>
        <w:tc>
          <w:tcPr>
            <w:tcW w:w="8840" w:type="dxa"/>
            <w:vAlign w:val="bottom"/>
          </w:tcPr>
          <w:p>
            <w:pPr>
              <w:spacing w:after="0"/>
              <w:rPr>
                <w:sz w:val="24"/>
                <w:szCs w:val="24"/>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Stock</w:t>
            </w:r>
          </w:p>
        </w:tc>
        <w:tc>
          <w:tcPr>
            <w:tcW w:w="8840" w:type="dxa"/>
            <w:vAlign w:val="bottom"/>
          </w:tcPr>
          <w:p>
            <w:pPr>
              <w:ind w:left="340"/>
              <w:spacing w:after="0"/>
              <w:rPr>
                <w:sz w:val="20"/>
                <w:szCs w:val="20"/>
                <w:color w:val="auto"/>
              </w:rPr>
            </w:pPr>
            <w:r>
              <w:rPr>
                <w:rFonts w:ascii="Arial" w:cs="Arial" w:eastAsia="Arial" w:hAnsi="Arial"/>
                <w:sz w:val="18"/>
                <w:szCs w:val="18"/>
                <w:color w:val="auto"/>
              </w:rPr>
              <w:t>WGO / New York Stock Exchange (“NYSE”).</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Trade Date</w:t>
            </w:r>
          </w:p>
        </w:tc>
        <w:tc>
          <w:tcPr>
            <w:tcW w:w="8840" w:type="dxa"/>
            <w:vAlign w:val="bottom"/>
          </w:tcPr>
          <w:p>
            <w:pPr>
              <w:ind w:left="340"/>
              <w:spacing w:after="0"/>
              <w:rPr>
                <w:sz w:val="20"/>
                <w:szCs w:val="20"/>
                <w:color w:val="auto"/>
              </w:rPr>
            </w:pPr>
            <w:r>
              <w:rPr>
                <w:rFonts w:ascii="Arial" w:cs="Arial" w:eastAsia="Arial" w:hAnsi="Arial"/>
                <w:sz w:val="18"/>
                <w:szCs w:val="18"/>
                <w:color w:val="auto"/>
              </w:rPr>
              <w:t>October 30, 2019.</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Settlement Date</w:t>
            </w:r>
          </w:p>
        </w:tc>
        <w:tc>
          <w:tcPr>
            <w:tcW w:w="8840" w:type="dxa"/>
            <w:vAlign w:val="bottom"/>
          </w:tcPr>
          <w:p>
            <w:pPr>
              <w:ind w:left="340"/>
              <w:spacing w:after="0"/>
              <w:rPr>
                <w:sz w:val="20"/>
                <w:szCs w:val="20"/>
                <w:color w:val="auto"/>
              </w:rPr>
            </w:pPr>
            <w:r>
              <w:rPr>
                <w:rFonts w:ascii="Arial" w:cs="Arial" w:eastAsia="Arial" w:hAnsi="Arial"/>
                <w:sz w:val="18"/>
                <w:szCs w:val="18"/>
                <w:color w:val="auto"/>
              </w:rPr>
              <w:t>November 1, 2019.</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Notes</w:t>
            </w:r>
          </w:p>
        </w:tc>
        <w:tc>
          <w:tcPr>
            <w:tcW w:w="8840" w:type="dxa"/>
            <w:vAlign w:val="bottom"/>
          </w:tcPr>
          <w:p>
            <w:pPr>
              <w:ind w:left="340"/>
              <w:spacing w:after="0"/>
              <w:rPr>
                <w:sz w:val="20"/>
                <w:szCs w:val="20"/>
                <w:color w:val="auto"/>
              </w:rPr>
            </w:pPr>
            <w:r>
              <w:rPr>
                <w:rFonts w:ascii="Arial" w:cs="Arial" w:eastAsia="Arial" w:hAnsi="Arial"/>
                <w:sz w:val="18"/>
                <w:szCs w:val="18"/>
                <w:color w:val="auto"/>
              </w:rPr>
              <w:t>1.50% convertible senior notes due 2025 (the “Notes”).</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Principal Amount</w:t>
            </w:r>
          </w:p>
        </w:tc>
        <w:tc>
          <w:tcPr>
            <w:tcW w:w="8840" w:type="dxa"/>
            <w:vAlign w:val="bottom"/>
          </w:tcPr>
          <w:p>
            <w:pPr>
              <w:ind w:left="340"/>
              <w:spacing w:after="0"/>
              <w:rPr>
                <w:sz w:val="20"/>
                <w:szCs w:val="20"/>
                <w:color w:val="auto"/>
              </w:rPr>
            </w:pPr>
            <w:r>
              <w:rPr>
                <w:rFonts w:ascii="Arial" w:cs="Arial" w:eastAsia="Arial" w:hAnsi="Arial"/>
                <w:sz w:val="18"/>
                <w:szCs w:val="18"/>
                <w:color w:val="auto"/>
                <w:w w:val="95"/>
              </w:rPr>
              <w:t>$270,000,000 (or, if the initial purchasers fully exercise their option to purchase additional Notes, $300,000,000)</w:t>
            </w:r>
          </w:p>
        </w:tc>
      </w:tr>
      <w:tr>
        <w:trPr>
          <w:trHeight w:val="230"/>
        </w:trPr>
        <w:tc>
          <w:tcPr>
            <w:tcW w:w="2620" w:type="dxa"/>
            <w:vAlign w:val="bottom"/>
          </w:tcPr>
          <w:p>
            <w:pPr>
              <w:spacing w:after="0"/>
              <w:rPr>
                <w:sz w:val="20"/>
                <w:szCs w:val="20"/>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aggregate principal amount of Notes.</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Offering Price</w:t>
            </w:r>
          </w:p>
        </w:tc>
        <w:tc>
          <w:tcPr>
            <w:tcW w:w="8840" w:type="dxa"/>
            <w:vAlign w:val="bottom"/>
          </w:tcPr>
          <w:p>
            <w:pPr>
              <w:ind w:left="340"/>
              <w:spacing w:after="0"/>
              <w:rPr>
                <w:sz w:val="20"/>
                <w:szCs w:val="20"/>
                <w:color w:val="auto"/>
              </w:rPr>
            </w:pPr>
            <w:r>
              <w:rPr>
                <w:rFonts w:ascii="Arial" w:cs="Arial" w:eastAsia="Arial" w:hAnsi="Arial"/>
                <w:sz w:val="18"/>
                <w:szCs w:val="18"/>
                <w:color w:val="auto"/>
              </w:rPr>
              <w:t>100% of the principal amount of the Notes, plus accrued interest, if any, from the Settlement Date.</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Maturity</w:t>
            </w:r>
          </w:p>
        </w:tc>
        <w:tc>
          <w:tcPr>
            <w:tcW w:w="8840" w:type="dxa"/>
            <w:vAlign w:val="bottom"/>
          </w:tcPr>
          <w:p>
            <w:pPr>
              <w:ind w:left="340"/>
              <w:spacing w:after="0"/>
              <w:rPr>
                <w:sz w:val="20"/>
                <w:szCs w:val="20"/>
                <w:color w:val="auto"/>
              </w:rPr>
            </w:pPr>
            <w:r>
              <w:rPr>
                <w:rFonts w:ascii="Arial" w:cs="Arial" w:eastAsia="Arial" w:hAnsi="Arial"/>
                <w:sz w:val="18"/>
                <w:szCs w:val="18"/>
                <w:color w:val="auto"/>
              </w:rPr>
              <w:t>April 1, 2025, unless earlier repurchased or converted.</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Stated Interest Rate</w:t>
            </w:r>
          </w:p>
        </w:tc>
        <w:tc>
          <w:tcPr>
            <w:tcW w:w="8840" w:type="dxa"/>
            <w:vAlign w:val="bottom"/>
          </w:tcPr>
          <w:p>
            <w:pPr>
              <w:ind w:left="340"/>
              <w:spacing w:after="0"/>
              <w:rPr>
                <w:sz w:val="20"/>
                <w:szCs w:val="20"/>
                <w:color w:val="auto"/>
              </w:rPr>
            </w:pPr>
            <w:r>
              <w:rPr>
                <w:rFonts w:ascii="Arial" w:cs="Arial" w:eastAsia="Arial" w:hAnsi="Arial"/>
                <w:sz w:val="18"/>
                <w:szCs w:val="18"/>
                <w:color w:val="auto"/>
              </w:rPr>
              <w:t>1.50% per annum.</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840" w:type="dxa"/>
            <w:vAlign w:val="bottom"/>
          </w:tcPr>
          <w:p>
            <w:pPr>
              <w:ind w:left="340"/>
              <w:spacing w:after="0"/>
              <w:rPr>
                <w:sz w:val="20"/>
                <w:szCs w:val="20"/>
                <w:color w:val="auto"/>
              </w:rPr>
            </w:pPr>
            <w:r>
              <w:rPr>
                <w:rFonts w:ascii="Arial" w:cs="Arial" w:eastAsia="Arial" w:hAnsi="Arial"/>
                <w:sz w:val="18"/>
                <w:szCs w:val="18"/>
                <w:color w:val="auto"/>
              </w:rPr>
              <w:t>April 1 and October 1 of each year, beginning on April 1, 2020.</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Record Dates</w:t>
            </w:r>
          </w:p>
        </w:tc>
        <w:tc>
          <w:tcPr>
            <w:tcW w:w="8840" w:type="dxa"/>
            <w:vAlign w:val="bottom"/>
          </w:tcPr>
          <w:p>
            <w:pPr>
              <w:ind w:left="340"/>
              <w:spacing w:after="0"/>
              <w:rPr>
                <w:sz w:val="20"/>
                <w:szCs w:val="20"/>
                <w:color w:val="auto"/>
              </w:rPr>
            </w:pPr>
            <w:r>
              <w:rPr>
                <w:rFonts w:ascii="Arial" w:cs="Arial" w:eastAsia="Arial" w:hAnsi="Arial"/>
                <w:sz w:val="18"/>
                <w:szCs w:val="18"/>
                <w:color w:val="auto"/>
              </w:rPr>
              <w:t>March 15 and September 15.</w:t>
            </w:r>
          </w:p>
        </w:tc>
      </w:tr>
      <w:tr>
        <w:trPr>
          <w:trHeight w:val="432"/>
        </w:trPr>
        <w:tc>
          <w:tcPr>
            <w:tcW w:w="2620" w:type="dxa"/>
            <w:vAlign w:val="bottom"/>
          </w:tcPr>
          <w:p>
            <w:pPr>
              <w:spacing w:after="0"/>
              <w:rPr>
                <w:sz w:val="24"/>
                <w:szCs w:val="24"/>
                <w:color w:val="auto"/>
              </w:rPr>
            </w:pPr>
          </w:p>
        </w:tc>
        <w:tc>
          <w:tcPr>
            <w:tcW w:w="8840" w:type="dxa"/>
            <w:vAlign w:val="bottom"/>
          </w:tcPr>
          <w:p>
            <w:pPr>
              <w:ind w:left="3040"/>
              <w:spacing w:after="0"/>
              <w:rPr>
                <w:sz w:val="20"/>
                <w:szCs w:val="20"/>
                <w:color w:val="auto"/>
              </w:rPr>
            </w:pPr>
            <w:r>
              <w:rPr>
                <w:rFonts w:ascii="Arial" w:cs="Arial" w:eastAsia="Arial" w:hAnsi="Arial"/>
                <w:sz w:val="18"/>
                <w:szCs w:val="18"/>
                <w:color w:val="auto"/>
              </w:rPr>
              <w:t>1</w:t>
            </w:r>
          </w:p>
        </w:tc>
      </w:tr>
      <w:tr>
        <w:trPr>
          <w:trHeight w:val="132"/>
        </w:trPr>
        <w:tc>
          <w:tcPr>
            <w:tcW w:w="2620" w:type="dxa"/>
            <w:vAlign w:val="bottom"/>
            <w:tcBorders>
              <w:bottom w:val="single" w:sz="8" w:color="808080"/>
            </w:tcBorders>
          </w:tcPr>
          <w:p>
            <w:pPr>
              <w:spacing w:after="0"/>
              <w:rPr>
                <w:sz w:val="11"/>
                <w:szCs w:val="11"/>
                <w:color w:val="auto"/>
              </w:rPr>
            </w:pPr>
          </w:p>
        </w:tc>
        <w:tc>
          <w:tcPr>
            <w:tcW w:w="8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type w:val="continuous"/>
        </w:sectPr>
      </w:pPr>
    </w:p>
    <w:bookmarkStart w:id="131" w:name="page132"/>
    <w:bookmarkEnd w:id="131"/>
    <w:p>
      <w:pPr>
        <w:jc w:val="both"/>
        <w:ind w:left="180" w:right="20" w:hanging="179"/>
        <w:spacing w:after="0" w:line="312" w:lineRule="auto"/>
        <w:rPr>
          <w:sz w:val="20"/>
          <w:szCs w:val="20"/>
          <w:color w:val="auto"/>
        </w:rPr>
      </w:pPr>
      <w:r>
        <w:rPr>
          <w:rFonts w:ascii="Arial" w:cs="Arial" w:eastAsia="Arial" w:hAnsi="Arial"/>
          <w:sz w:val="16"/>
          <w:szCs w:val="16"/>
          <w:color w:val="auto"/>
        </w:rPr>
        <w:t>Last Reported Sale Price per Share of Common Stock on the NYSE on October 29,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Conversion Premium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Initial Conversion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Initial Conversion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Concurrent Convertible Note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Hedge Transactions and Warrant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$48.10.</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Approximately 32.5% above the Last Reported Sale Price per Share of Common Stock on the NYSE on October 29,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$63.73 per share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15.6906 shares of our common stock per $1,000 principal amount of Notes.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estimate that the net proceeds to us from this offering will be approximately $259.9 million (or approximately $289.0 million if the initial purchasers fully exercise their option to purchase additional Notes), after deducting the initial purchasers’ discounts and commissions and our estimated offering expenses. We intend to use approximately $25.7 million of the net proceeds to fund the cost of entering into the convertible note hedge transactions described below (after such cost is partially offset by the proceeds that we receive from entering into the warrant transactions described below). We intend to use the remainder of the net proceeds from the offering to fund the Aggregate Purchase Price, to pay related fees and expenses related thereto and in the event that the Newmar Acquisition does not close, for general corporate purposes (which may include future acquisitions). If the initial purchasers exercise their option to purchase additional Notes, then we intend to use a portion of the additional net proceeds to fund the cost of entering into additional convertible note hedge transactions as described below (after such cost is partially offset by the proceeds that we receive from entering into the additional warrant transactions described below)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pricing of the Notes, we entered into convertible note hedge transactions with one or more of the initial purchasers or their respective affiliates or other financial institutions (the “option counterparties”). The convertible note hedge transactions will cover, subject to customary anti-dilution adjustments, the aggregate number of shares of our common stock that initially underlie the Notes, and are expected generally to reduce or offset potential dilution to our</w:t>
      </w:r>
    </w:p>
    <w:p>
      <w:pPr>
        <w:spacing w:after="0" w:line="18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540" w:space="420"/>
            <w:col w:w="8440"/>
          </w:cols>
          <w:pgMar w:left="240" w:top="341" w:right="25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Book-Running Managers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CUSIP / ISIN Numbers</w:t>
      </w:r>
    </w:p>
    <w:p>
      <w:pPr>
        <w:spacing w:after="0" w:line="225" w:lineRule="exact"/>
        <w:rPr>
          <w:sz w:val="20"/>
          <w:szCs w:val="20"/>
          <w:color w:val="auto"/>
        </w:rPr>
      </w:pPr>
    </w:p>
    <w:p>
      <w:pPr>
        <w:ind w:left="180" w:hanging="179"/>
        <w:spacing w:after="0" w:line="264" w:lineRule="auto"/>
        <w:rPr>
          <w:sz w:val="20"/>
          <w:szCs w:val="20"/>
          <w:color w:val="auto"/>
        </w:rPr>
      </w:pPr>
      <w:r>
        <w:rPr>
          <w:rFonts w:ascii="Arial" w:cs="Arial" w:eastAsia="Arial" w:hAnsi="Arial"/>
          <w:sz w:val="18"/>
          <w:szCs w:val="18"/>
          <w:color w:val="auto"/>
        </w:rPr>
        <w:t>Increase to Conversion Rate in Connection with a Make-Whole Fundamental Change</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common stock upon any conversion of Notes and/or offset any cash payments we are required to make in excess of the principal amount of converted Notes, as the case may be. We also entered into separate warrant transactions with the option counterparties, under which we will sell to the option counterparties warrants relating to the same number of shares of our common stock. The strike price of the warrants will initially be $96.20 per share, which is 100% above the Last Reported Sale Price per Share of Common Stock on the NYSE on October 29, 2019, and is subject to certain adjustments under the terms of the warrant transactions. The warrant transactions could separately have a dilutive effect to the extent that the market value per share of our common stock exceeds the strike price of the warrants. If the initial purchasers exercise their option to purchase additional Notes, we expect to enter into additional convertible note hedge transactions and additional warrant transactions with the option counterparties, which would cover the number of shares of our common stock that initially underlie the additional Notes sold to the initial purchasers.</w:t>
      </w:r>
    </w:p>
    <w:p>
      <w:pPr>
        <w:spacing w:after="0" w:line="18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 a discussion of the potential impact of any market or other activity by the option counterparties or their respective affiliates in connection with these convertible note hedge and warrant transactions, see the discussion in the Preliminary Offering Memorandum under the caption “Risk Factors—Risks Related to the Notes—The convertible note hedge and warrant transactions may affect the value of the notes and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974637 AA8 / US974637AA88.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 make-whole fundamental change occurs and the conversion date for the conversion of a Note occurs during the related make-whole fundamental change conversion period, then, subject to the provisions described in the Preliminary Offering Memorandum under the caption “Description of Notes—Conversion Rights—Increase in Conversion Rate in Connection with a Make-Whole Fundamental Change,” the conversion rate applicable to such conversion will be increased</w:t>
      </w:r>
    </w:p>
    <w:p>
      <w:pPr>
        <w:spacing w:after="0" w:line="18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500" w:space="460"/>
            <w:col w:w="8400"/>
          </w:cols>
          <w:pgMar w:left="240" w:top="341" w:right="299" w:bottom="1440" w:gutter="0" w:footer="0" w:header="0"/>
        </w:sectPr>
      </w:pPr>
    </w:p>
    <w:bookmarkStart w:id="133" w:name="page134"/>
    <w:bookmarkEnd w:id="133"/>
    <w:p>
      <w:pPr>
        <w:ind w:left="2960" w:right="460"/>
        <w:spacing w:after="0" w:line="277" w:lineRule="auto"/>
        <w:rPr>
          <w:sz w:val="20"/>
          <w:szCs w:val="20"/>
          <w:color w:val="auto"/>
        </w:rPr>
      </w:pPr>
      <w:r>
        <w:rPr>
          <w:rFonts w:ascii="Arial" w:cs="Arial" w:eastAsia="Arial" w:hAnsi="Arial"/>
          <w:sz w:val="18"/>
          <w:szCs w:val="18"/>
          <w:color w:val="auto"/>
        </w:rPr>
        <w:t>by a number of shares set forth in the table below corresponding (after interpolation, as described below) to the effective date and the stock price of such make-whole fundamental change: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Stock Price</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gridSpan w:val="2"/>
            <w:vMerge w:val="continue"/>
          </w:tcPr>
          <w:p>
            <w:pPr>
              <w:spacing w:after="0"/>
              <w:rPr>
                <w:sz w:val="12"/>
                <w:szCs w:val="12"/>
                <w:color w:val="auto"/>
              </w:rPr>
            </w:pPr>
          </w:p>
        </w:tc>
        <w:tc>
          <w:tcPr>
            <w:tcW w:w="6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$48.10</w:t>
            </w:r>
          </w:p>
        </w:tc>
        <w:tc>
          <w:tcPr>
            <w:tcW w:w="18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$52.50</w:t>
            </w:r>
          </w:p>
        </w:tc>
        <w:tc>
          <w:tcPr>
            <w:tcW w:w="180" w:type="dxa"/>
            <w:vAlign w:val="bottom"/>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$57.50</w:t>
            </w:r>
          </w:p>
        </w:tc>
        <w:tc>
          <w:tcPr>
            <w:tcW w:w="160" w:type="dxa"/>
            <w:vAlign w:val="bottom"/>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$63.73</w:t>
            </w:r>
          </w:p>
        </w:tc>
        <w:tc>
          <w:tcPr>
            <w:tcW w:w="180" w:type="dxa"/>
            <w:vAlign w:val="bottom"/>
          </w:tcPr>
          <w:p>
            <w:pPr>
              <w:spacing w:after="0"/>
              <w:rPr>
                <w:sz w:val="12"/>
                <w:szCs w:val="12"/>
                <w:color w:val="auto"/>
              </w:rPr>
            </w:pPr>
          </w:p>
        </w:tc>
        <w:tc>
          <w:tcPr>
            <w:tcW w:w="6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$70.00</w:t>
            </w:r>
          </w:p>
        </w:tc>
        <w:tc>
          <w:tcPr>
            <w:tcW w:w="60" w:type="dxa"/>
            <w:vAlign w:val="bottom"/>
          </w:tcPr>
          <w:p>
            <w:pPr>
              <w:spacing w:after="0"/>
              <w:rPr>
                <w:sz w:val="12"/>
                <w:szCs w:val="12"/>
                <w:color w:val="auto"/>
              </w:rPr>
            </w:pPr>
          </w:p>
        </w:tc>
        <w:tc>
          <w:tcPr>
            <w:tcW w:w="80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$80.00</w:t>
            </w:r>
          </w:p>
        </w:tc>
        <w:tc>
          <w:tcPr>
            <w:tcW w:w="1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$100.00</w:t>
            </w:r>
          </w:p>
        </w:tc>
        <w:tc>
          <w:tcPr>
            <w:tcW w:w="180" w:type="dxa"/>
            <w:vAlign w:val="bottom"/>
          </w:tcPr>
          <w:p>
            <w:pPr>
              <w:spacing w:after="0"/>
              <w:rPr>
                <w:sz w:val="12"/>
                <w:szCs w:val="12"/>
                <w:color w:val="auto"/>
              </w:rPr>
            </w:pPr>
          </w:p>
        </w:tc>
        <w:tc>
          <w:tcPr>
            <w:tcW w:w="6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$125.00</w:t>
            </w:r>
          </w:p>
        </w:tc>
        <w:tc>
          <w:tcPr>
            <w:tcW w:w="160" w:type="dxa"/>
            <w:vAlign w:val="bottom"/>
          </w:tcPr>
          <w:p>
            <w:pPr>
              <w:spacing w:after="0"/>
              <w:rPr>
                <w:sz w:val="12"/>
                <w:szCs w:val="12"/>
                <w:color w:val="auto"/>
              </w:rPr>
            </w:pPr>
          </w:p>
        </w:tc>
        <w:tc>
          <w:tcPr>
            <w:tcW w:w="6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$150.00</w:t>
            </w:r>
          </w:p>
        </w:tc>
        <w:tc>
          <w:tcPr>
            <w:tcW w:w="160" w:type="dxa"/>
            <w:vAlign w:val="bottom"/>
          </w:tcPr>
          <w:p>
            <w:pPr>
              <w:spacing w:after="0"/>
              <w:rPr>
                <w:sz w:val="12"/>
                <w:szCs w:val="12"/>
                <w:color w:val="auto"/>
              </w:rPr>
            </w:pPr>
          </w:p>
        </w:tc>
        <w:tc>
          <w:tcPr>
            <w:tcW w:w="6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$200.00</w:t>
            </w:r>
          </w:p>
        </w:tc>
        <w:tc>
          <w:tcPr>
            <w:tcW w:w="160" w:type="dxa"/>
            <w:vAlign w:val="bottom"/>
          </w:tcPr>
          <w:p>
            <w:pPr>
              <w:spacing w:after="0"/>
              <w:rPr>
                <w:sz w:val="12"/>
                <w:szCs w:val="12"/>
                <w:color w:val="auto"/>
              </w:rPr>
            </w:pPr>
          </w:p>
        </w:tc>
        <w:tc>
          <w:tcPr>
            <w:tcW w:w="6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 2019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5.0994</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4.4509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1.2101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0.7117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0.4379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0.1640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April 1, 2020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5.0994</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4.4509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3.7492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3.0586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2.5238</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1.8987</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1.1432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0.6558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0.3951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0.1435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0.0293</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5.0994</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4.4263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3.6677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1.7279</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0.9810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0.2998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0.0184</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April 1, 2022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5.0994</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4.3058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3.4715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2.6887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2.1063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1.4616</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0.7575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0.3685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0.1917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0.0522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0.0070</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5.0994</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4.0110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3.0865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2.2490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1.6560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1.0451</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0.4609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0.1926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0.0882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0.0170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0.0010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April 1, 2024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5.0994</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3.5037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2.3056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1.2996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0.7642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0.3979</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0.1462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0.0513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0.0202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0.0018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5.0994</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3.3570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0.0000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0.0000</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such effective date or stock price is not set forth in the table above, then:</w:t>
      </w:r>
    </w:p>
    <w:p>
      <w:pPr>
        <w:spacing w:after="0" w:line="225" w:lineRule="exact"/>
        <w:rPr>
          <w:sz w:val="20"/>
          <w:szCs w:val="20"/>
          <w:color w:val="auto"/>
        </w:rPr>
      </w:pPr>
    </w:p>
    <w:p>
      <w:pPr>
        <w:ind w:left="660" w:right="40" w:hanging="328"/>
        <w:spacing w:after="0" w:line="312" w:lineRule="auto"/>
        <w:tabs>
          <w:tab w:leader="none" w:pos="65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such stock price is between two stock prices in the table above or the effective date is between two dates in the table above, then the number of additional shares will be determined by a straight-line interpolation between the numbers of additional shares set forth for the higher and lower stock prices in the table and the earlier and later dates in the table above, as applicable, based on a 365- or 366-day year, as applicable; and</w:t>
      </w:r>
    </w:p>
    <w:p>
      <w:pPr>
        <w:spacing w:after="0" w:line="146" w:lineRule="exact"/>
        <w:rPr>
          <w:rFonts w:ascii="Arial" w:cs="Arial" w:eastAsia="Arial" w:hAnsi="Arial"/>
          <w:sz w:val="16"/>
          <w:szCs w:val="16"/>
          <w:color w:val="auto"/>
        </w:rPr>
      </w:pPr>
    </w:p>
    <w:p>
      <w:pPr>
        <w:ind w:left="660" w:right="160" w:hanging="328"/>
        <w:spacing w:after="0" w:line="302" w:lineRule="auto"/>
        <w:tabs>
          <w:tab w:leader="none" w:pos="65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the stock price is greater than $250.00 (subject to adjustment in the same manner as the stock prices set forth in the column headings of the table above are adjusted, as described in the Preliminary Offering Memorandum under the caption “Description of Notes—Conversion Rights—Increase in Conversion Rate in Connection with a Make-Whole Fundamental Change—Adjustment of Stock Prices and Number of Additional Shares”), or less than $48.10 (subject to adjustment in the same manner), per share, then no additional shares will be added to the conversion rate.</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anything to the contrary, in no event will the conversion rate be increased to an amount that exceeds 20.7900 shares of our common stock per $1,000 principal amount of Notes, which amount is subject to adjustment in the same manner as, and at the same time and for the same events for which, the conversion rate is required to be adjusted pursuant to the provisions described in the Preliminary Offering Memorandum under the caption “Description of Notes—Conversion Rights—Conversion Rate Adjustments—Generally.”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the Preliminary Offering Memorandum under the caption “Capitalization” is updated in its entirety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and cash equivalents and our capitalization as of August 31, 2019:</w:t>
      </w:r>
    </w:p>
    <w:p>
      <w:pPr>
        <w:spacing w:after="0" w:line="225" w:lineRule="exact"/>
        <w:rPr>
          <w:sz w:val="20"/>
          <w:szCs w:val="20"/>
          <w:color w:val="auto"/>
        </w:rPr>
      </w:pPr>
    </w:p>
    <w:p>
      <w:pPr>
        <w:ind w:left="640" w:hanging="308"/>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5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on an as adjusted (unaudited) basis to give effect to the issuance and sale of $270,000,000 aggregate principal amount of the notes we are offering (assuming no exercise of the initial purchasers’ option to purchase additional notes), after deducting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6"/>
          <w:szCs w:val="16"/>
          <w:color w:val="auto"/>
        </w:rPr>
        <w:t>initial purchasers’ discounts and commissions and our estimated offering expenses, and before giving effect to the pending Newmar Acquisition.</w:t>
      </w:r>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table should be read in conjunction with the other information in this offering memorandum and the documents that are incorporated by reference, including our consolidated financial statements and related notes.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center"/>
              <w:ind w:left="815"/>
              <w:spacing w:after="0"/>
              <w:rPr>
                <w:sz w:val="20"/>
                <w:szCs w:val="20"/>
                <w:color w:val="auto"/>
              </w:rPr>
            </w:pPr>
            <w:r>
              <w:rPr>
                <w:rFonts w:ascii="Arial" w:cs="Arial" w:eastAsia="Arial" w:hAnsi="Arial"/>
                <w:sz w:val="14"/>
                <w:szCs w:val="14"/>
                <w:b w:val="1"/>
                <w:bCs w:val="1"/>
                <w:color w:val="auto"/>
                <w:w w:val="91"/>
              </w:rPr>
              <w:t>As of</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795"/>
              <w:spacing w:after="0"/>
              <w:rPr>
                <w:sz w:val="20"/>
                <w:szCs w:val="20"/>
                <w:color w:val="auto"/>
              </w:rPr>
            </w:pPr>
            <w:r>
              <w:rPr>
                <w:rFonts w:ascii="Arial" w:cs="Arial" w:eastAsia="Arial" w:hAnsi="Arial"/>
                <w:sz w:val="14"/>
                <w:szCs w:val="14"/>
                <w:b w:val="1"/>
                <w:bCs w:val="1"/>
                <w:color w:val="auto"/>
                <w:w w:val="91"/>
              </w:rPr>
              <w:t>August 31, 2019</w:t>
            </w: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Actual</w:t>
            </w: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w w:val="89"/>
              </w:rPr>
              <w:t>As adjusted(1)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gridSpan w:val="4"/>
          </w:tcPr>
          <w:p>
            <w:pPr>
              <w:jc w:val="center"/>
              <w:ind w:right="251"/>
              <w:spacing w:after="0" w:line="119" w:lineRule="exact"/>
              <w:rPr>
                <w:sz w:val="20"/>
                <w:szCs w:val="20"/>
                <w:color w:val="auto"/>
              </w:rPr>
            </w:pPr>
            <w:r>
              <w:rPr>
                <w:rFonts w:ascii="Arial" w:cs="Arial" w:eastAsia="Arial" w:hAnsi="Arial"/>
                <w:sz w:val="13"/>
                <w:szCs w:val="13"/>
                <w:b w:val="1"/>
                <w:bCs w:val="1"/>
                <w:color w:val="auto"/>
                <w:w w:val="97"/>
              </w:rPr>
              <w:t>(In thousands, except share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and per share data)</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37,431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ABL Facility(3)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Principal amount of 1.50% convertible senior notes due 2025 we are offering(4)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ind w:left="160"/>
              <w:spacing w:after="0" w:line="201" w:lineRule="exact"/>
              <w:rPr>
                <w:sz w:val="20"/>
                <w:szCs w:val="20"/>
                <w:color w:val="auto"/>
              </w:rPr>
            </w:pPr>
            <w:r>
              <w:rPr>
                <w:rFonts w:ascii="Arial" w:cs="Arial" w:eastAsia="Arial" w:hAnsi="Arial"/>
                <w:sz w:val="18"/>
                <w:szCs w:val="18"/>
                <w:color w:val="auto"/>
                <w:w w:val="94"/>
              </w:rPr>
              <w:t>Preferred stock, $0.01 par value per share; 10,000,000 shares authorized, no shares outstanding,</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actual and as adjusted</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$0.50 par value per share; 60,000,000 shares authorized, 51,776,360 shares issued,</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actual and as adjusted</w:t>
            </w: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25,888</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25,888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Additional paid-in capital(4)(5)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91,185</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866,886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(491)</w:t>
            </w:r>
          </w:p>
        </w:tc>
        <w:tc>
          <w:tcPr>
            <w:tcW w:w="34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20,262,127 actual and as adjusted</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(351,256)</w:t>
            </w:r>
          </w:p>
        </w:tc>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equity(4)(5)</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632,212</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632,212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capitalization(4)(5)</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892,212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1,162,212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140" w:hanging="572"/>
        <w:spacing w:after="0" w:line="253" w:lineRule="auto"/>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as adjusted figures in the table above do not give effect to the pending Newmar Acquisition, including our anticipated issuance of shares of our common stock, and use of a portion of the proceeds from this offering, together with cash on hand, to fund the Aggregate Purchase Price and related fees and expenses, nor do the figures reflect the consolidation of Newmar’s financial position and results of operations into our financial statements. For a pro forma presentation of the Newmar Acquisition, assuming it is consummated, see “Unaudited Pro Forma Condensed Combined Financial Information.”</w:t>
      </w:r>
    </w:p>
    <w:p>
      <w:pPr>
        <w:spacing w:after="0" w:line="3" w:lineRule="exact"/>
        <w:rPr>
          <w:rFonts w:ascii="Arial" w:cs="Arial" w:eastAsia="Arial" w:hAnsi="Arial"/>
          <w:sz w:val="18"/>
          <w:szCs w:val="18"/>
          <w:color w:val="auto"/>
        </w:rPr>
      </w:pPr>
    </w:p>
    <w:p>
      <w:pPr>
        <w:ind w:left="580" w:right="60" w:hanging="572"/>
        <w:spacing w:after="0" w:line="261" w:lineRule="auto"/>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Does not reflect (i) our expected use o</w:t>
      </w:r>
      <w:r>
        <w:rPr>
          <w:rFonts w:ascii="Arial" w:cs="Arial" w:eastAsia="Arial" w:hAnsi="Arial"/>
          <w:sz w:val="17"/>
          <w:szCs w:val="17"/>
          <w:color w:val="auto"/>
        </w:rPr>
        <w:t>f approximately $</w:t>
      </w:r>
      <w:r>
        <w:rPr>
          <w:rFonts w:ascii="Arial" w:cs="Arial" w:eastAsia="Arial" w:hAnsi="Arial"/>
          <w:sz w:val="18"/>
          <w:szCs w:val="18"/>
          <w:color w:val="auto"/>
        </w:rPr>
        <w:t>25.7 million of the net proceeds from the offering of the notes to fund the cost of entering into the convertible note hedge transactions described in this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5" w:name="page136"/>
    <w:bookmarkEnd w:id="135"/>
    <w:p>
      <w:pPr>
        <w:ind w:left="580" w:right="140"/>
        <w:spacing w:after="0" w:line="271" w:lineRule="auto"/>
        <w:rPr>
          <w:sz w:val="20"/>
          <w:szCs w:val="20"/>
          <w:color w:val="auto"/>
        </w:rPr>
      </w:pPr>
      <w:r>
        <w:rPr>
          <w:rFonts w:ascii="Arial" w:cs="Arial" w:eastAsia="Arial" w:hAnsi="Arial"/>
          <w:sz w:val="17"/>
          <w:szCs w:val="17"/>
          <w:color w:val="auto"/>
        </w:rPr>
        <w:t>memorandum, after such cost is partially offset by the proceeds that we receive from entering into the warrant transactions described in this offering memorandum; or (ii) our expected use of the remaining proceeds from this offering, together with cash on hand, to fund the cash portion of the Aggregate Purchase Price, and the related fees and expenses, in connection with the Newmar Acquisition, if it is consummated.</w:t>
      </w:r>
    </w:p>
    <w:p>
      <w:pPr>
        <w:ind w:left="580" w:hanging="572"/>
        <w:spacing w:after="0"/>
        <w:tabs>
          <w:tab w:leader="none" w:pos="5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Represents the principal amounts outstanding under our ABL Facility and Term Loan Facility, without deduction for debt issuance costs.</w:t>
      </w:r>
    </w:p>
    <w:p>
      <w:pPr>
        <w:spacing w:after="0" w:line="9" w:lineRule="exact"/>
        <w:rPr>
          <w:rFonts w:ascii="Arial" w:cs="Arial" w:eastAsia="Arial" w:hAnsi="Arial"/>
          <w:sz w:val="18"/>
          <w:szCs w:val="18"/>
          <w:color w:val="auto"/>
        </w:rPr>
      </w:pPr>
    </w:p>
    <w:p>
      <w:pPr>
        <w:ind w:left="580" w:right="80" w:hanging="572"/>
        <w:spacing w:after="0" w:line="281" w:lineRule="auto"/>
        <w:tabs>
          <w:tab w:leader="none" w:pos="5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amounts shown in the table above for the notes we are offering represent their principal amount. However, applicable accounting standards require separate accounting for the debt and equity components of convertible notes that, like the notes we are offering, can be settled partially or fully in cash upon conversion. We expect the initial carrying amount of the debt component of the notes, which will be reflected as a liability on our balance sheet, to be the fair value of a similar debt instrument that does not have a conversion feature (that is, the present value of the principal and interest payments on the notes, discounted using an interest rate equal to our cost of capital for straight, unconvertible debt), net of issuance costs attributable to the debt component. The excess of the net proceeds of the notes over this initial liability carrying amount will be deemed to be the equity component of the notes. We expect to record the amount of the equity component as an increase to additional paid-in capital in the stockholders’ equity section of our balance sheet and as a debt discount on the notes for accounting purposes. This debt discount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net income or larger reported net loss. Future accounting standards may change the manner in which we reflect the notes in our financial statements.</w:t>
      </w:r>
    </w:p>
    <w:p>
      <w:pPr>
        <w:spacing w:after="0" w:line="7"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Does not reflect the convertible note hedge and warrant transactions described in this offering memorandum. We expect the cost of entering into the convertible note hedge transactions, after such cost is partially offset by the proceeds that we receive from entering into the warrant transactions, to be reflected as a net reduction to additional paid-in capital in the stockholders’ equity section of our balance sheet.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This communication is confidential and is intended for the sole use of the person to whom it is provided by the sender. The information in this pricing term sheet does not purport to be a complete description of the Notes or the offering.</w:t>
      </w:r>
    </w:p>
    <w:p>
      <w:pPr>
        <w:spacing w:after="0" w:line="1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The offer and sale of the Notes and any shares of common stock issuable upon conversion of the Notes have not been, and will not be, registered under the Securities Act of 1933, as amended (the “Securities Act”), or any other securities laws, and the Notes and any such shares cannot be offered or sold except pursuant to an exemption from, or in a transaction not subject to, the registration requirements of the Securities Act and any other applicable securities laws. The initial purchasers are initially offering the Notes only to qualified institutional buyers as defined in, and in reliance on, Rule 144A under the Securities Act. The Notes and any shares of common stock issuable upon conversion of the Notes are not transferable except in accordance with the restrictions described in the Preliminary Offering Memorandum under the caption “Transfer Restrictions.”</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the Preliminary Offering Memorandum, as supplemented by this pricing term sheet, in making an investment decision with respect to the Notes.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Neither this pricing term sheet nor the Preliminary Offering Memorandum constitutes an offer to sell or a solicitation of an offer to buy any Notes in any jurisdiction where it is unlawful to do so, where the person making the offer is not qualified to do so or to any person who cannot legally be offered the Notes.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6" w:name="page137"/>
    <w:bookmarkEnd w:id="136"/>
    <w:p>
      <w:pPr>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8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bookmarkStart w:id="137" w:name="page138"/>
    <w:bookmarkEnd w:id="137"/>
    <w:p>
      <w:pPr>
        <w:jc w:val="center"/>
        <w:ind w:right="-1200"/>
        <w:spacing w:after="0"/>
        <w:rPr>
          <w:sz w:val="20"/>
          <w:szCs w:val="20"/>
          <w:color w:val="auto"/>
        </w:rPr>
      </w:pPr>
      <w:r>
        <w:rPr>
          <w:rFonts w:ascii="Arial" w:cs="Arial" w:eastAsia="Arial" w:hAnsi="Arial"/>
          <w:sz w:val="18"/>
          <w:szCs w:val="18"/>
          <w:color w:val="auto"/>
        </w:rPr>
        <w:t>SCHEDULE IV</w:t>
      </w:r>
    </w:p>
    <w:p>
      <w:pPr>
        <w:spacing w:after="0" w:line="225" w:lineRule="exact"/>
        <w:rPr>
          <w:sz w:val="20"/>
          <w:szCs w:val="20"/>
          <w:color w:val="auto"/>
        </w:rPr>
      </w:pPr>
    </w:p>
    <w:p>
      <w:pPr>
        <w:jc w:val="right"/>
        <w:ind w:right="3399"/>
        <w:spacing w:after="0"/>
        <w:rPr>
          <w:sz w:val="20"/>
          <w:szCs w:val="20"/>
          <w:color w:val="auto"/>
        </w:rPr>
      </w:pPr>
      <w:r>
        <w:rPr>
          <w:rFonts w:ascii="Arial" w:cs="Arial" w:eastAsia="Arial" w:hAnsi="Arial"/>
          <w:sz w:val="18"/>
          <w:szCs w:val="18"/>
          <w:color w:val="auto"/>
        </w:rPr>
        <w:t>Parties to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w:t>
      </w:r>
    </w:p>
    <w:p>
      <w:pPr>
        <w:spacing w:after="0" w:line="225"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Michael J. Happe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Ashis N. Bhattacharya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Stacy L. Bogart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Donald J. Clark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 Scott Degnan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Brian D. Hazelton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Bryan L. Hughes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Jeff D. Kubacki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Christopher D. West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Bret A. Woodson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 (other than as listed above)</w:t>
      </w:r>
    </w:p>
    <w:p>
      <w:pPr>
        <w:spacing w:after="0" w:line="225"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David W. Miles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Maria Blase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Christopher J. Braun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Robert M. Chiusano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William C. Fisher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Richard Moss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Annex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Gentleman: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undersigned, a stockholder, an officer and/or director of Winnebago Industries, Inc., an Iowa corporation (the “Company”), understands that Goldman, Sachs &amp; Co. LLC and BMO Capital Markets Corp., Inc. (together, the “Purchasers”) propose to enter into a purchase agreement (the “Purchase Agreement”) with the Company providing for the private offering of Convertible Senior Notes due 2025 (the “Offering”), convertible into common stock, par value $0.50 per share, of the Company (the “Common Stock”), which will be offered pursuant to Rule 144A by means of an offering memorandum (the “Offering Memorandum”). In recognition of the benefit that such an offering will confer upon the undersigned as a stockholder [and an officer and/or director] of the Company, and for other good and valuable consideration, the receipt and sufficiency of which are hereby acknowledged, the undersigned agrees with the Purchasers that, during the period beginning on the date hereof and ending on the date that is 90 days from the date of the Purchase Agreement (the “Lock-Up Period”), the undersigned will not, without the prior written consent of the Purchasers, except pursuant to the Purchase Agreement,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6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Notwithstanding the foregoing, and subject to the conditions below, the undersigned may transfer the Lock-Up Securities without the prior written consent of the Purchasers as follows, provided that (1) the Purchasers receive or have received a signed lock-up agreement for the balance of the lockup period from each donee, trustee, distributee, or transferee, as the case may be (except in the case of clauses (iv) and (v)), (2) any such transfer shall not involve a disposition for value (except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9" w:name="page140"/>
    <w:bookmarkEnd w:id="139"/>
    <w:p>
      <w:pPr>
        <w:jc w:val="both"/>
        <w:ind w:right="100"/>
        <w:spacing w:after="0" w:line="259" w:lineRule="auto"/>
        <w:rPr>
          <w:sz w:val="20"/>
          <w:szCs w:val="20"/>
          <w:color w:val="auto"/>
        </w:rPr>
      </w:pPr>
      <w:r>
        <w:rPr>
          <w:rFonts w:ascii="Arial" w:cs="Arial" w:eastAsia="Arial" w:hAnsi="Arial"/>
          <w:sz w:val="18"/>
          <w:szCs w:val="18"/>
          <w:color w:val="auto"/>
        </w:rPr>
        <w:t>case of clauses (iv) and (v)), (3) such transfers are not required during the Lock-Up Period to be reported with the Securities and Exchange Commission on Form 4 in accordance with Section 16 of the Securities Exchange Act of 1934, as amended (the “Exchange Act”) (except in the case of clauses (iv), (v) and (vii)), and (4) the undersigned does not otherwise voluntarily effect any public filing or report regarding such transfers during the Lock-Up Period (except in the case of clauses (iv), (v) and (vii)):</w:t>
      </w:r>
    </w:p>
    <w:p>
      <w:pPr>
        <w:spacing w:after="0" w:line="187" w:lineRule="exact"/>
        <w:rPr>
          <w:sz w:val="20"/>
          <w:szCs w:val="20"/>
          <w:color w:val="auto"/>
        </w:rPr>
      </w:pPr>
    </w:p>
    <w:p>
      <w:pPr>
        <w:ind w:left="1380" w:hanging="724"/>
        <w:spacing w:after="0"/>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w:t>
      </w:r>
    </w:p>
    <w:p>
      <w:pPr>
        <w:spacing w:after="0" w:line="225" w:lineRule="exact"/>
        <w:rPr>
          <w:rFonts w:ascii="Arial" w:cs="Arial" w:eastAsia="Arial" w:hAnsi="Arial"/>
          <w:sz w:val="18"/>
          <w:szCs w:val="18"/>
          <w:color w:val="auto"/>
        </w:rPr>
      </w:pPr>
    </w:p>
    <w:p>
      <w:pPr>
        <w:ind w:left="1300" w:right="280" w:hanging="644"/>
        <w:spacing w:after="0" w:line="342" w:lineRule="auto"/>
        <w:tabs>
          <w:tab w:leader="none" w:pos="132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123" w:lineRule="exact"/>
        <w:rPr>
          <w:rFonts w:ascii="Arial" w:cs="Arial" w:eastAsia="Arial" w:hAnsi="Arial"/>
          <w:sz w:val="16"/>
          <w:szCs w:val="16"/>
          <w:color w:val="auto"/>
        </w:rPr>
      </w:pPr>
    </w:p>
    <w:p>
      <w:pPr>
        <w:ind w:left="1340" w:hanging="684"/>
        <w:spacing w:after="0"/>
        <w:tabs>
          <w:tab w:leader="none" w:pos="1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as a distribution to limited partners, stockholders or equity holders of the undersigned; or</w:t>
      </w:r>
    </w:p>
    <w:p>
      <w:pPr>
        <w:spacing w:after="0" w:line="225" w:lineRule="exact"/>
        <w:rPr>
          <w:rFonts w:ascii="Arial" w:cs="Arial" w:eastAsia="Arial" w:hAnsi="Arial"/>
          <w:sz w:val="18"/>
          <w:szCs w:val="18"/>
          <w:color w:val="auto"/>
        </w:rPr>
      </w:pPr>
    </w:p>
    <w:p>
      <w:pPr>
        <w:ind w:left="1300" w:hanging="644"/>
        <w:spacing w:after="0" w:line="270" w:lineRule="auto"/>
        <w:tabs>
          <w:tab w:leader="none" w:pos="129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connection with the withholding, receipt, exercise, cashless (or net) exercise (whether to cover exercise price, taxes or other fees and expenses), settlement, vesting or forfeiture of, or removal or lapse of restrictions on, any stock option, Common Stock issued upon exercise of a stock option, restricted share unit, restricted stock or other award pursuant to any employee benefit or director equity plan or agreement in existence as of the date hereof, so long as (x) such transaction or event does not involve the sale or transfer of any shares of Common Stock (other than from the undersigned to the Company), (y) any filing or public announcement made in connection therewith states that such transfer was to the Company in connection with such exercise or settlement, and (z) such right of exercise or settlement occurs or expires during the Lock-Up Period; provided, that for the avoidance of doubt, this clause (iv) will expressly permit the cashless exercise of stock options due to expire during the term of this Agreement; provided, further, that the net proceeds of such exercise following the sale or transfer of any shares of Common Stock to cover the exercise price, taxes or other fees and expenses, shall be held in shares of Common Stock; or</w:t>
      </w:r>
    </w:p>
    <w:p>
      <w:pPr>
        <w:spacing w:after="0" w:line="177" w:lineRule="exact"/>
        <w:rPr>
          <w:rFonts w:ascii="Arial" w:cs="Arial" w:eastAsia="Arial" w:hAnsi="Arial"/>
          <w:sz w:val="17"/>
          <w:szCs w:val="17"/>
          <w:color w:val="auto"/>
        </w:rPr>
      </w:pPr>
    </w:p>
    <w:p>
      <w:pPr>
        <w:ind w:left="1300" w:right="80" w:hanging="644"/>
        <w:spacing w:after="0" w:line="293" w:lineRule="auto"/>
        <w:tabs>
          <w:tab w:leader="none" w:pos="128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connection with the withholding of Common Stock or restricted share units by the Company, at the direction of the undersigned, for the payment of taxes in connection with the vesting or settlement of a stock option, restricted share unit, restricted stock or other award pursuant to any employee benefit or director equity plan or agreement in existence as of the date hereof; provided, that (x) such transaction or event does not involve the sale or transfer of any shares of Common Stock or restricted share units (other than from the undersigned to the Company), (y) any filing or public announcement made in connection therewith states that such transfer was to the Company in connection with such exercise, and (z) such right of vesting or settlement occurs or expires during the Lock-Up Period; or</w:t>
      </w:r>
    </w:p>
    <w:p>
      <w:pPr>
        <w:spacing w:after="0" w:line="164" w:lineRule="exact"/>
        <w:rPr>
          <w:rFonts w:ascii="Arial" w:cs="Arial" w:eastAsia="Arial" w:hAnsi="Arial"/>
          <w:sz w:val="16"/>
          <w:szCs w:val="16"/>
          <w:color w:val="auto"/>
        </w:rPr>
      </w:pPr>
    </w:p>
    <w:p>
      <w:pPr>
        <w:ind w:left="1300" w:right="300" w:hanging="644"/>
        <w:spacing w:after="0" w:line="264" w:lineRule="auto"/>
        <w:tabs>
          <w:tab w:leader="none" w:pos="130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connection with the establishment of a trading plan pursuant to Rule 10b5-1 under the Exchange Act for the purchase of shares of Common Stock, provided, that such plan does not provide for the purchase of Common Stock during the Lock-Up Period and no public announcement or filing under the Exchange Act regarding the establishment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0" w:name="page141"/>
    <w:bookmarkEnd w:id="140"/>
    <w:p>
      <w:pPr>
        <w:ind w:left="1300"/>
        <w:spacing w:after="0"/>
        <w:rPr>
          <w:sz w:val="20"/>
          <w:szCs w:val="20"/>
          <w:color w:val="auto"/>
        </w:rPr>
      </w:pPr>
      <w:r>
        <w:rPr>
          <w:rFonts w:ascii="Arial" w:cs="Arial" w:eastAsia="Arial" w:hAnsi="Arial"/>
          <w:sz w:val="18"/>
          <w:szCs w:val="18"/>
          <w:color w:val="auto"/>
        </w:rPr>
        <w:t>such plan shall be required of or voluntarily made by or on behalf of the undersigned or the Company; or</w:t>
      </w:r>
    </w:p>
    <w:p>
      <w:pPr>
        <w:spacing w:after="0" w:line="225" w:lineRule="exact"/>
        <w:rPr>
          <w:sz w:val="20"/>
          <w:szCs w:val="20"/>
          <w:color w:val="auto"/>
        </w:rPr>
      </w:pPr>
    </w:p>
    <w:p>
      <w:pPr>
        <w:jc w:val="both"/>
        <w:ind w:left="1300" w:hanging="644"/>
        <w:spacing w:after="0" w:line="264" w:lineRule="auto"/>
        <w:tabs>
          <w:tab w:leader="none" w:pos="131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managed by the undersigned, provided that any filing or public announcement made in connection therewith states that such transfer was to the undersigned’s affiliates or to any investment fund or other entity controlled, managed by the undersigned.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undersigned may sell shares of Common Stock of the Company purchased by the undersigned on the open market following the Offering if and only if (i) such sales are not required during the Lock-Up Period to be reported in any public report or filing with the Securities and Exchange Commission, or otherwise and (ii) the undersigned does not otherwise voluntarily effect any public filing or report regarding such sales during the Lock-Up Period.</w:t>
      </w:r>
    </w:p>
    <w:p>
      <w:pPr>
        <w:spacing w:after="0" w:line="1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This letter agreement shall automatically terminate and become void upon the earlier to occur, if applicable of: (i) the termination of the Purchase Agreement prior to the consummation of the Offering and (ii) November 29, 2019 if the Purchase Agreement has not been executed by then.</w:t>
      </w:r>
    </w:p>
    <w:p>
      <w:pPr>
        <w:spacing w:after="0" w:line="12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41" w:name="page142"/>
    <w:bookmarkEnd w:id="141"/>
    <w:p>
      <w:pPr>
        <w:ind w:left="9580"/>
        <w:spacing w:after="0"/>
        <w:rPr>
          <w:sz w:val="20"/>
          <w:szCs w:val="20"/>
          <w:color w:val="auto"/>
        </w:rPr>
      </w:pPr>
      <w:r>
        <w:rPr>
          <w:rFonts w:ascii="Arial" w:cs="Arial" w:eastAsia="Arial" w:hAnsi="Arial"/>
          <w:sz w:val="17"/>
          <w:szCs w:val="17"/>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226060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GOLDMAN SACHS &amp; CO. LLC | 200 WEST STREET | NEW YORK, NEW YORK 10282-2198 | TEL: 212-902-1000</w:t>
      </w:r>
    </w:p>
    <w:p>
      <w:pPr>
        <w:spacing w:after="0" w:line="229"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pacing w:after="0" w:line="24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Winnebago Industries, Inc.</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Forest City, Iowa 50436</w:t>
      </w:r>
    </w:p>
    <w:p>
      <w:pPr>
        <w:spacing w:after="0" w:line="2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A/C:</w:t>
      </w:r>
      <w:r>
        <w:rPr>
          <w:sz w:val="20"/>
          <w:szCs w:val="20"/>
          <w:color w:val="auto"/>
        </w:rPr>
        <w:tab/>
      </w:r>
      <w:r>
        <w:rPr>
          <w:rFonts w:ascii="Arial" w:cs="Arial" w:eastAsia="Arial" w:hAnsi="Arial"/>
          <w:sz w:val="18"/>
          <w:szCs w:val="18"/>
          <w:b w:val="1"/>
          <w:bCs w:val="1"/>
          <w:color w:val="auto"/>
        </w:rPr>
        <w:t>[Insert Account Number]</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Goldman Sachs &amp; Co. LLC</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Base Convertible Bond Hedge Transaction</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Ref. No:</w:t>
      </w:r>
      <w:r>
        <w:rPr>
          <w:sz w:val="20"/>
          <w:szCs w:val="20"/>
          <w:color w:val="auto"/>
        </w:rPr>
        <w:tab/>
      </w:r>
      <w:r>
        <w:rPr>
          <w:rFonts w:ascii="Arial" w:cs="Arial" w:eastAsia="Arial" w:hAnsi="Arial"/>
          <w:sz w:val="16"/>
          <w:szCs w:val="16"/>
          <w:b w:val="1"/>
          <w:bCs w:val="1"/>
          <w:color w:val="auto"/>
        </w:rPr>
        <w:t>[Insert Reference Number]</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October 29,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Goldman Sachs &amp; Co. LLC (“</w:t>
      </w:r>
      <w:r>
        <w:rPr>
          <w:rFonts w:ascii="Arial" w:cs="Arial" w:eastAsia="Arial" w:hAnsi="Arial"/>
          <w:sz w:val="18"/>
          <w:szCs w:val="18"/>
          <w:b w:val="1"/>
          <w:bCs w:val="1"/>
          <w:color w:val="auto"/>
        </w:rPr>
        <w:t>Dealer</w:t>
      </w:r>
      <w:r>
        <w:rPr>
          <w:rFonts w:ascii="Arial" w:cs="Arial" w:eastAsia="Arial" w:hAnsi="Arial"/>
          <w:sz w:val="18"/>
          <w:szCs w:val="18"/>
          <w:color w:val="auto"/>
        </w:rPr>
        <w:t>”) and Winnebago Industries, Inc. (“</w:t>
      </w:r>
      <w:r>
        <w:rPr>
          <w:rFonts w:ascii="Arial" w:cs="Arial" w:eastAsia="Arial" w:hAnsi="Arial"/>
          <w:sz w:val="18"/>
          <w:szCs w:val="18"/>
          <w:b w:val="1"/>
          <w:bCs w:val="1"/>
          <w:color w:val="auto"/>
        </w:rPr>
        <w:t>Counterparty</w:t>
      </w:r>
      <w:r>
        <w:rPr>
          <w:rFonts w:ascii="Arial" w:cs="Arial" w:eastAsia="Arial" w:hAnsi="Arial"/>
          <w:sz w:val="18"/>
          <w:szCs w:val="18"/>
          <w:color w:val="auto"/>
        </w:rPr>
        <w:t>”). This communication constitutes a “Confirmation” as referred to in the ISDA Master Agreement specified below.</w:t>
      </w:r>
    </w:p>
    <w:p>
      <w:pPr>
        <w:spacing w:after="0" w:line="176" w:lineRule="exact"/>
        <w:rPr>
          <w:sz w:val="20"/>
          <w:szCs w:val="20"/>
          <w:color w:val="auto"/>
        </w:rPr>
      </w:pPr>
    </w:p>
    <w:p>
      <w:pPr>
        <w:ind w:right="100" w:firstLine="656"/>
        <w:spacing w:after="0" w:line="268" w:lineRule="auto"/>
        <w:tabs>
          <w:tab w:leader="none" w:pos="97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2006 ISDA Definitions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and together with the 2006 Definitions, the “</w:t>
      </w:r>
      <w:r>
        <w:rPr>
          <w:rFonts w:ascii="Arial" w:cs="Arial" w:eastAsia="Arial" w:hAnsi="Arial"/>
          <w:sz w:val="17"/>
          <w:szCs w:val="17"/>
          <w:b w:val="1"/>
          <w:bCs w:val="1"/>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Certain defined terms used herein have the meanings assigned to them in the Indenture to be dated as of November 1, 2019 between Counterparty and U.S. Bank National Association,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relating to the USD 270,000,000 principal amount of 1.50% Convertible Senior Notes due 2025 (the “</w:t>
      </w:r>
      <w:r>
        <w:rPr>
          <w:rFonts w:ascii="Arial" w:cs="Arial" w:eastAsia="Arial" w:hAnsi="Arial"/>
          <w:sz w:val="17"/>
          <w:szCs w:val="17"/>
          <w:b w:val="1"/>
          <w:bCs w:val="1"/>
          <w:color w:val="auto"/>
        </w:rPr>
        <w:t>Base Convertible Securities</w:t>
      </w:r>
      <w:r>
        <w:rPr>
          <w:rFonts w:ascii="Arial" w:cs="Arial" w:eastAsia="Arial" w:hAnsi="Arial"/>
          <w:sz w:val="17"/>
          <w:szCs w:val="17"/>
          <w:color w:val="auto"/>
        </w:rPr>
        <w:t>”) and the additional USD 30,000,000 principal amount of 1.50% Convertible Senior Notes due 2025 that may be issued pursuant to the option to purchase additional convertible securities (the “</w:t>
      </w:r>
      <w:r>
        <w:rPr>
          <w:rFonts w:ascii="Arial" w:cs="Arial" w:eastAsia="Arial" w:hAnsi="Arial"/>
          <w:sz w:val="17"/>
          <w:szCs w:val="17"/>
          <w:b w:val="1"/>
          <w:bCs w:val="1"/>
          <w:color w:val="auto"/>
        </w:rPr>
        <w:t>Optional Convertible Securities</w:t>
      </w:r>
      <w:r>
        <w:rPr>
          <w:rFonts w:ascii="Arial" w:cs="Arial" w:eastAsia="Arial" w:hAnsi="Arial"/>
          <w:sz w:val="17"/>
          <w:szCs w:val="17"/>
          <w:color w:val="auto"/>
        </w:rPr>
        <w:t>” and, together with the Base Convertible Securities, the “</w:t>
      </w:r>
      <w:r>
        <w:rPr>
          <w:rFonts w:ascii="Arial" w:cs="Arial" w:eastAsia="Arial" w:hAnsi="Arial"/>
          <w:sz w:val="17"/>
          <w:szCs w:val="17"/>
          <w:b w:val="1"/>
          <w:bCs w:val="1"/>
          <w:color w:val="auto"/>
        </w:rPr>
        <w:t>Convertible Securities</w:t>
      </w:r>
      <w:r>
        <w:rPr>
          <w:rFonts w:ascii="Arial" w:cs="Arial" w:eastAsia="Arial" w:hAnsi="Arial"/>
          <w:sz w:val="17"/>
          <w:szCs w:val="17"/>
          <w:color w:val="auto"/>
        </w:rPr>
        <w:t>”). In the event of any inconsistency between the terms defined in the Indenture and this Confirmation, this Confirmation shall govern. For the 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Counterparty is hereby advised, and Counterparty acknowledges, that Dealer has engaged in, or refrained from engaging in, substantial financial transactions and has taken other material 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reliance upon the parties’ entry into the Transaction to which this Confirmation relates on the terms and conditions set forth below.</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(ii) the replacement of the word “third” in the last line of Section 5(a)(i) of the Agreement with the word “first”, and (iii) the election that the “Cross Default” provisions of Section 5(a)(vi) of the Agreement shall apply to Counterparty with a “Threshold Amount” of USD15.0 million).</w:t>
      </w:r>
    </w:p>
    <w:p>
      <w:pPr>
        <w:spacing w:after="0" w:line="19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spacing w:after="0" w:line="158"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100" w:firstLine="656"/>
        <w:spacing w:after="0" w:line="277" w:lineRule="auto"/>
        <w:tabs>
          <w:tab w:leader="none" w:pos="97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General Terms:</w:t>
            </w:r>
          </w:p>
        </w:tc>
        <w:tc>
          <w:tcPr>
            <w:tcW w:w="7720" w:type="dxa"/>
            <w:vAlign w:val="bottom"/>
          </w:tcPr>
          <w:p>
            <w:pPr>
              <w:spacing w:after="0"/>
              <w:rPr>
                <w:sz w:val="20"/>
                <w:szCs w:val="20"/>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7720" w:type="dxa"/>
            <w:vAlign w:val="bottom"/>
          </w:tcPr>
          <w:p>
            <w:pPr>
              <w:ind w:left="1420"/>
              <w:spacing w:after="0"/>
              <w:rPr>
                <w:sz w:val="20"/>
                <w:szCs w:val="20"/>
                <w:color w:val="auto"/>
              </w:rPr>
            </w:pPr>
            <w:r>
              <w:rPr>
                <w:rFonts w:ascii="Arial" w:cs="Arial" w:eastAsia="Arial" w:hAnsi="Arial"/>
                <w:sz w:val="18"/>
                <w:szCs w:val="18"/>
                <w:color w:val="auto"/>
              </w:rPr>
              <w:t>October 29, 2019</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7720" w:type="dxa"/>
            <w:vAlign w:val="bottom"/>
          </w:tcPr>
          <w:p>
            <w:pPr>
              <w:ind w:left="1420"/>
              <w:spacing w:after="0"/>
              <w:rPr>
                <w:sz w:val="20"/>
                <w:szCs w:val="20"/>
                <w:color w:val="auto"/>
              </w:rPr>
            </w:pPr>
            <w:r>
              <w:rPr>
                <w:rFonts w:ascii="Arial" w:cs="Arial" w:eastAsia="Arial" w:hAnsi="Arial"/>
                <w:sz w:val="18"/>
                <w:szCs w:val="18"/>
                <w:color w:val="auto"/>
              </w:rPr>
              <w:t>The closing date of the initial issuance of the Convertible Securities.</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Option Style:</w:t>
            </w:r>
          </w:p>
        </w:tc>
        <w:tc>
          <w:tcPr>
            <w:tcW w:w="7720" w:type="dxa"/>
            <w:vAlign w:val="bottom"/>
          </w:tcPr>
          <w:p>
            <w:pPr>
              <w:ind w:left="1420"/>
              <w:spacing w:after="0"/>
              <w:rPr>
                <w:sz w:val="20"/>
                <w:szCs w:val="20"/>
                <w:color w:val="auto"/>
              </w:rPr>
            </w:pPr>
            <w:r>
              <w:rPr>
                <w:rFonts w:ascii="Arial" w:cs="Arial" w:eastAsia="Arial" w:hAnsi="Arial"/>
                <w:sz w:val="18"/>
                <w:szCs w:val="18"/>
                <w:color w:val="auto"/>
              </w:rPr>
              <w:t>Modified American, as described under “Procedures for Exercise” below.</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Option Type:</w:t>
            </w:r>
          </w:p>
        </w:tc>
        <w:tc>
          <w:tcPr>
            <w:tcW w:w="7720" w:type="dxa"/>
            <w:vAlign w:val="bottom"/>
          </w:tcPr>
          <w:p>
            <w:pPr>
              <w:ind w:left="1420"/>
              <w:spacing w:after="0"/>
              <w:rPr>
                <w:sz w:val="20"/>
                <w:szCs w:val="20"/>
                <w:color w:val="auto"/>
              </w:rPr>
            </w:pPr>
            <w:r>
              <w:rPr>
                <w:rFonts w:ascii="Arial" w:cs="Arial" w:eastAsia="Arial" w:hAnsi="Arial"/>
                <w:sz w:val="18"/>
                <w:szCs w:val="18"/>
                <w:color w:val="auto"/>
              </w:rPr>
              <w:t>Call</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Seller:</w:t>
            </w:r>
          </w:p>
        </w:tc>
        <w:tc>
          <w:tcPr>
            <w:tcW w:w="7720" w:type="dxa"/>
            <w:vAlign w:val="bottom"/>
          </w:tcPr>
          <w:p>
            <w:pPr>
              <w:ind w:left="1420"/>
              <w:spacing w:after="0"/>
              <w:rPr>
                <w:sz w:val="20"/>
                <w:szCs w:val="20"/>
                <w:color w:val="auto"/>
              </w:rPr>
            </w:pPr>
            <w:r>
              <w:rPr>
                <w:rFonts w:ascii="Arial" w:cs="Arial" w:eastAsia="Arial" w:hAnsi="Arial"/>
                <w:sz w:val="18"/>
                <w:szCs w:val="18"/>
                <w:color w:val="auto"/>
              </w:rPr>
              <w:t>Dealer</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Buyer:</w:t>
            </w:r>
          </w:p>
        </w:tc>
        <w:tc>
          <w:tcPr>
            <w:tcW w:w="7720" w:type="dxa"/>
            <w:vAlign w:val="bottom"/>
          </w:tcPr>
          <w:p>
            <w:pPr>
              <w:ind w:left="1420"/>
              <w:spacing w:after="0"/>
              <w:rPr>
                <w:sz w:val="20"/>
                <w:szCs w:val="20"/>
                <w:color w:val="auto"/>
              </w:rPr>
            </w:pPr>
            <w:r>
              <w:rPr>
                <w:rFonts w:ascii="Arial" w:cs="Arial" w:eastAsia="Arial" w:hAnsi="Arial"/>
                <w:sz w:val="18"/>
                <w:szCs w:val="18"/>
                <w:color w:val="auto"/>
              </w:rPr>
              <w:t>Counterparty</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Shares:</w:t>
            </w:r>
          </w:p>
        </w:tc>
        <w:tc>
          <w:tcPr>
            <w:tcW w:w="7720" w:type="dxa"/>
            <w:vAlign w:val="bottom"/>
          </w:tcPr>
          <w:p>
            <w:pPr>
              <w:ind w:left="1420"/>
              <w:spacing w:after="0"/>
              <w:rPr>
                <w:sz w:val="20"/>
                <w:szCs w:val="20"/>
                <w:color w:val="auto"/>
              </w:rPr>
            </w:pPr>
            <w:r>
              <w:rPr>
                <w:rFonts w:ascii="Arial" w:cs="Arial" w:eastAsia="Arial" w:hAnsi="Arial"/>
                <w:sz w:val="18"/>
                <w:szCs w:val="18"/>
                <w:color w:val="auto"/>
                <w:w w:val="96"/>
              </w:rPr>
              <w:t>The Common Stock of Counterparty, par value USD0.50 (Ticker Symbol: “WGO”).</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Applicable Percentage:</w:t>
            </w:r>
          </w:p>
        </w:tc>
        <w:tc>
          <w:tcPr>
            <w:tcW w:w="7720" w:type="dxa"/>
            <w:vAlign w:val="bottom"/>
          </w:tcPr>
          <w:p>
            <w:pPr>
              <w:ind w:left="1420"/>
              <w:spacing w:after="0"/>
              <w:rPr>
                <w:sz w:val="20"/>
                <w:szCs w:val="20"/>
                <w:color w:val="auto"/>
              </w:rPr>
            </w:pPr>
            <w:r>
              <w:rPr>
                <w:rFonts w:ascii="Arial" w:cs="Arial" w:eastAsia="Arial" w:hAnsi="Arial"/>
                <w:sz w:val="18"/>
                <w:szCs w:val="18"/>
                <w:color w:val="auto"/>
              </w:rPr>
              <w:t>50.00%</w:t>
            </w:r>
          </w:p>
        </w:tc>
      </w:tr>
      <w:tr>
        <w:trPr>
          <w:trHeight w:val="418"/>
        </w:trPr>
        <w:tc>
          <w:tcPr>
            <w:tcW w:w="374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7720" w:type="dxa"/>
            <w:vAlign w:val="bottom"/>
          </w:tcPr>
          <w:p>
            <w:pPr>
              <w:ind w:left="1420"/>
              <w:spacing w:after="0"/>
              <w:rPr>
                <w:sz w:val="20"/>
                <w:szCs w:val="20"/>
                <w:color w:val="auto"/>
              </w:rPr>
            </w:pPr>
            <w:r>
              <w:rPr>
                <w:rFonts w:ascii="Arial" w:cs="Arial" w:eastAsia="Arial" w:hAnsi="Arial"/>
                <w:sz w:val="18"/>
                <w:szCs w:val="18"/>
                <w:color w:val="auto"/>
                <w:w w:val="94"/>
              </w:rPr>
              <w:t>The number of Base Convertible Securities in denominations of USD1,000 principal</w:t>
            </w:r>
          </w:p>
        </w:tc>
      </w:tr>
      <w:tr>
        <w:trPr>
          <w:trHeight w:val="216"/>
        </w:trPr>
        <w:tc>
          <w:tcPr>
            <w:tcW w:w="3740" w:type="dxa"/>
            <w:vAlign w:val="bottom"/>
          </w:tcPr>
          <w:p>
            <w:pPr>
              <w:spacing w:after="0"/>
              <w:rPr>
                <w:sz w:val="18"/>
                <w:szCs w:val="18"/>
                <w:color w:val="auto"/>
              </w:rPr>
            </w:pPr>
          </w:p>
        </w:tc>
        <w:tc>
          <w:tcPr>
            <w:tcW w:w="7720" w:type="dxa"/>
            <w:vAlign w:val="bottom"/>
          </w:tcPr>
          <w:p>
            <w:pPr>
              <w:ind w:left="1420"/>
              <w:spacing w:after="0"/>
              <w:rPr>
                <w:sz w:val="20"/>
                <w:szCs w:val="20"/>
                <w:color w:val="auto"/>
              </w:rPr>
            </w:pPr>
            <w:r>
              <w:rPr>
                <w:rFonts w:ascii="Arial" w:cs="Arial" w:eastAsia="Arial" w:hAnsi="Arial"/>
                <w:sz w:val="18"/>
                <w:szCs w:val="18"/>
                <w:color w:val="auto"/>
                <w:w w:val="98"/>
              </w:rPr>
              <w:t>amount issued by Counterparty on the closing date for the initial issuance of the</w:t>
            </w:r>
          </w:p>
        </w:tc>
      </w:tr>
      <w:tr>
        <w:trPr>
          <w:trHeight w:val="216"/>
        </w:trPr>
        <w:tc>
          <w:tcPr>
            <w:tcW w:w="3740" w:type="dxa"/>
            <w:vAlign w:val="bottom"/>
          </w:tcPr>
          <w:p>
            <w:pPr>
              <w:spacing w:after="0"/>
              <w:rPr>
                <w:sz w:val="18"/>
                <w:szCs w:val="18"/>
                <w:color w:val="auto"/>
              </w:rPr>
            </w:pPr>
          </w:p>
        </w:tc>
        <w:tc>
          <w:tcPr>
            <w:tcW w:w="7720" w:type="dxa"/>
            <w:vAlign w:val="bottom"/>
          </w:tcPr>
          <w:p>
            <w:pPr>
              <w:ind w:left="1420"/>
              <w:spacing w:after="0"/>
              <w:rPr>
                <w:sz w:val="20"/>
                <w:szCs w:val="20"/>
                <w:color w:val="auto"/>
              </w:rPr>
            </w:pPr>
            <w:r>
              <w:rPr>
                <w:rFonts w:ascii="Arial" w:cs="Arial" w:eastAsia="Arial" w:hAnsi="Arial"/>
                <w:sz w:val="18"/>
                <w:szCs w:val="18"/>
                <w:color w:val="auto"/>
              </w:rPr>
              <w:t>Convertible Securities. For the avoidance of doubt, the Number of Options</w:t>
            </w:r>
          </w:p>
        </w:tc>
      </w:tr>
      <w:tr>
        <w:trPr>
          <w:trHeight w:val="230"/>
        </w:trPr>
        <w:tc>
          <w:tcPr>
            <w:tcW w:w="3740" w:type="dxa"/>
            <w:vAlign w:val="bottom"/>
          </w:tcPr>
          <w:p>
            <w:pPr>
              <w:spacing w:after="0"/>
              <w:rPr>
                <w:sz w:val="20"/>
                <w:szCs w:val="20"/>
                <w:color w:val="auto"/>
              </w:rPr>
            </w:pPr>
          </w:p>
        </w:tc>
        <w:tc>
          <w:tcPr>
            <w:tcW w:w="7720" w:type="dxa"/>
            <w:vAlign w:val="bottom"/>
          </w:tcPr>
          <w:p>
            <w:pPr>
              <w:ind w:left="1420"/>
              <w:spacing w:after="0"/>
              <w:rPr>
                <w:sz w:val="20"/>
                <w:szCs w:val="20"/>
                <w:color w:val="auto"/>
              </w:rPr>
            </w:pPr>
            <w:r>
              <w:rPr>
                <w:rFonts w:ascii="Arial" w:cs="Arial" w:eastAsia="Arial" w:hAnsi="Arial"/>
                <w:sz w:val="18"/>
                <w:szCs w:val="18"/>
                <w:color w:val="auto"/>
              </w:rPr>
              <w:t>outstanding shall be reduced by each exercise of</w:t>
            </w:r>
          </w:p>
        </w:tc>
      </w:tr>
      <w:tr>
        <w:trPr>
          <w:trHeight w:val="432"/>
        </w:trPr>
        <w:tc>
          <w:tcPr>
            <w:tcW w:w="3740" w:type="dxa"/>
            <w:vAlign w:val="bottom"/>
          </w:tcPr>
          <w:p>
            <w:pPr>
              <w:spacing w:after="0"/>
              <w:rPr>
                <w:sz w:val="24"/>
                <w:szCs w:val="24"/>
                <w:color w:val="auto"/>
              </w:rPr>
            </w:pPr>
          </w:p>
        </w:tc>
        <w:tc>
          <w:tcPr>
            <w:tcW w:w="7720" w:type="dxa"/>
            <w:vAlign w:val="bottom"/>
          </w:tcPr>
          <w:p>
            <w:pPr>
              <w:ind w:left="1920"/>
              <w:spacing w:after="0"/>
              <w:rPr>
                <w:sz w:val="20"/>
                <w:szCs w:val="20"/>
                <w:color w:val="auto"/>
              </w:rPr>
            </w:pPr>
            <w:r>
              <w:rPr>
                <w:rFonts w:ascii="Arial" w:cs="Arial" w:eastAsia="Arial" w:hAnsi="Arial"/>
                <w:sz w:val="18"/>
                <w:szCs w:val="18"/>
                <w:color w:val="auto"/>
              </w:rPr>
              <w:t>2</w:t>
            </w:r>
          </w:p>
        </w:tc>
      </w:tr>
      <w:tr>
        <w:trPr>
          <w:trHeight w:val="132"/>
        </w:trPr>
        <w:tc>
          <w:tcPr>
            <w:tcW w:w="3740" w:type="dxa"/>
            <w:vAlign w:val="bottom"/>
            <w:tcBorders>
              <w:bottom w:val="single" w:sz="8" w:color="808080"/>
            </w:tcBorders>
          </w:tcPr>
          <w:p>
            <w:pPr>
              <w:spacing w:after="0"/>
              <w:rPr>
                <w:sz w:val="11"/>
                <w:szCs w:val="11"/>
                <w:color w:val="auto"/>
              </w:rPr>
            </w:pPr>
          </w:p>
        </w:tc>
        <w:tc>
          <w:tcPr>
            <w:tcW w:w="77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4" w:name="page145"/>
    <w:bookmarkEnd w:id="144"/>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Entitlement: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Fundamental Change Adjustment: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Discretionary Adjustment: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Strike Price:</w:t>
      </w:r>
    </w:p>
    <w:p>
      <w:pPr>
        <w:spacing w:after="0" w:line="225"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Rounding of Strike Price/Option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 Payment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Exercise: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Dates: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Period:</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Automatic Exercise on Conversion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Deadline: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Options 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15.6906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Any adjustment to the Conversion Rate pursuant to Section 5.07 of the Indenture.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Any adjustment to the Conversion Rate pursuant to Section 5.06 of the Indenture.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USD63.7324</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any adjustment to the Option Entitlement or Strike Price, the Option Entitlement or the Strike Price, as the case may be, shall be rounded by the Calculation Agent in accordance with the provisions of the Indenture relating to rounding of the “Conversion Price” or the “Conversion Rate” as applicable (each as defined in the Indenture).</w:t>
      </w:r>
    </w:p>
    <w:p>
      <w:pPr>
        <w:spacing w:after="0" w:line="18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As of any date, a number of Shares equal to the product of (i) the Applicable Percentage, (ii) the Number of Options and (iii) the Option Entitlement.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USD31,860,000.00.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Each Conversion Date.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“Conversion Date” (as defined in the Indenture) occurring during the Exercise Period for Convertible Securities each in denominations of USD1,000 principal amount (such Convertible Securities, the “</w:t>
      </w:r>
      <w:r>
        <w:rPr>
          <w:rFonts w:ascii="Arial" w:cs="Arial" w:eastAsia="Arial" w:hAnsi="Arial"/>
          <w:sz w:val="18"/>
          <w:szCs w:val="18"/>
          <w:b w:val="1"/>
          <w:bCs w:val="1"/>
          <w:color w:val="auto"/>
        </w:rPr>
        <w:t>Relevant Convertible Securities</w:t>
      </w:r>
      <w:r>
        <w:rPr>
          <w:rFonts w:ascii="Arial" w:cs="Arial" w:eastAsia="Arial" w:hAnsi="Arial"/>
          <w:sz w:val="18"/>
          <w:szCs w:val="18"/>
          <w:color w:val="auto"/>
        </w:rPr>
        <w:t>” for such Conversion Date).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period from and excluding the Effective Date to, and including, the Expiration Date.</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earlier of (i) the last day on which any Convertible Securities remain outstanding and (ii) the second “Scheduled Trading Day” (as defined in the Indenture) immediately preceding the “Maturity Date” (as defined in the Indenture).</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respect of any exercise of Options hereunder on any Conversion Date, 5:00 P.M., New York City time, on (i) in the case the applicable Relevant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440" w:space="720"/>
            <w:col w:w="6200"/>
          </w:cols>
          <w:pgMar w:left="240" w:top="341" w:right="29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9"/>
              </w:rPr>
              <w:t>Convertible Securities will be settled by Counterparty by delivery of Shares only</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5"/>
              </w:rPr>
              <w:t>(together with cash in lieu of any fractional Share), the “Trading Day” (as defined in</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the Indenture) immediately following the relevant Conversion Date, or (ii) otherwise,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the Scheduled Trading Day immediately preceding the first day of the relevant Cash</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6"/>
              </w:rPr>
              <w:t xml:space="preserve">Settlement Averaging Period;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in the case of any exercise of Options</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hereunder in connection with the conversion of any Relevant Convertible Securities</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8"/>
              </w:rPr>
              <w:t>for any Conversion Date occurring during the period from and including the 85th</w:t>
            </w:r>
          </w:p>
        </w:tc>
      </w:tr>
      <w:tr>
        <w:trPr>
          <w:trHeight w:val="212"/>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5"/>
              </w:rPr>
              <w:t>“Scheduled Trading Day” (as defined in the Indenture) prior to the Maturity Date, to</w:t>
            </w:r>
          </w:p>
        </w:tc>
      </w:tr>
      <w:tr>
        <w:trPr>
          <w:trHeight w:val="220"/>
        </w:trPr>
        <w:tc>
          <w:tcPr>
            <w:tcW w:w="3600" w:type="dxa"/>
            <w:vAlign w:val="bottom"/>
          </w:tcPr>
          <w:p>
            <w:pPr>
              <w:spacing w:after="0"/>
              <w:rPr>
                <w:sz w:val="19"/>
                <w:szCs w:val="19"/>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3"/>
              </w:rPr>
              <w:t>and including the Expiration Date (such period, the “</w:t>
            </w:r>
            <w:r>
              <w:rPr>
                <w:rFonts w:ascii="Arial" w:cs="Arial" w:eastAsia="Arial" w:hAnsi="Arial"/>
                <w:sz w:val="18"/>
                <w:szCs w:val="18"/>
                <w:b w:val="1"/>
                <w:bCs w:val="1"/>
                <w:color w:val="auto"/>
                <w:w w:val="93"/>
              </w:rPr>
              <w:t>Final Conversion Period</w:t>
            </w:r>
            <w:r>
              <w:rPr>
                <w:rFonts w:ascii="Arial" w:cs="Arial" w:eastAsia="Arial" w:hAnsi="Arial"/>
                <w:sz w:val="18"/>
                <w:szCs w:val="18"/>
                <w:color w:val="auto"/>
                <w:w w:val="93"/>
              </w:rPr>
              <w:t>”), the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Notice Deadline shall be 5:00 P.M., New York City time, on the “Scheduled Trading</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8"/>
              </w:rPr>
              <w:t>Day” (as defined in the Indenture) immediately preceding the “Maturity Date” (as</w:t>
            </w:r>
          </w:p>
        </w:tc>
      </w:tr>
      <w:tr>
        <w:trPr>
          <w:trHeight w:val="230"/>
        </w:trPr>
        <w:tc>
          <w:tcPr>
            <w:tcW w:w="3600" w:type="dxa"/>
            <w:vAlign w:val="bottom"/>
          </w:tcPr>
          <w:p>
            <w:pPr>
              <w:spacing w:after="0"/>
              <w:rPr>
                <w:sz w:val="20"/>
                <w:szCs w:val="20"/>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defined in the Indenture).</w:t>
            </w:r>
          </w:p>
        </w:tc>
      </w:tr>
      <w:tr>
        <w:trPr>
          <w:trHeight w:val="634"/>
        </w:trPr>
        <w:tc>
          <w:tcPr>
            <w:tcW w:w="3600" w:type="dxa"/>
            <w:vAlign w:val="bottom"/>
          </w:tcPr>
          <w:p>
            <w:pPr>
              <w:ind w:left="660"/>
              <w:spacing w:after="0"/>
              <w:rPr>
                <w:sz w:val="20"/>
                <w:szCs w:val="20"/>
                <w:color w:val="auto"/>
              </w:rPr>
            </w:pPr>
            <w:r>
              <w:rPr>
                <w:rFonts w:ascii="Arial" w:cs="Arial" w:eastAsia="Arial" w:hAnsi="Arial"/>
                <w:sz w:val="18"/>
                <w:szCs w:val="18"/>
                <w:color w:val="auto"/>
              </w:rPr>
              <w:t>Notice of Exercise:</w:t>
            </w: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Notwithstanding anything to the contrary in the Equity Definitions, Dealer shall have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no obligation to make any payment or delivery in respect of any exercise of Options</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9"/>
              </w:rPr>
              <w:t>hereunder and such obligation in respect of such exercise shall be permanently</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extinguished unless Counterparty notifies Dealer in writing prior to the Notice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Deadline in respect of such exercise, of (i) the number of Relevant Convertible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Securities being converted on the related Conversion Date (specifying, if applicable,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whether all or any portion of such Convertible Securities are Convertible Securities as</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3"/>
              </w:rPr>
              <w:t>to which additional Shares would be added to the Conversion Rate (as defined in the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5"/>
              </w:rPr>
              <w:t>Indenture) pursuant to Section 5.07 of the Indenture), (ii) the scheduled settlement</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3"/>
              </w:rPr>
              <w:t>date under the Indenture for the Relevant Convertible Securities for such Conversion</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Date, (iii) whether such Relevant Convertible Securities will be settled by</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Counterparty by delivery of cash, Shares or a combination of cash and Shares and, if</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such a combination, the “Specified Dollar Amount” (as defined in the Indenture) and</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(iv) the first day of the relevant “Observation Period” (as defined in the Indenture), if</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 xml:space="preserve">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exercise of Options in connection with the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conversion of any Relevant Convertible Securities for any Conversion Date occurring</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during the Final Conversion Period, the contents of such notice shall be as set forth in</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clauses (i) and (ii) above. Counterparty acknowledges its responsibilities under</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applicable securities laws, and in particular Section 9 and Section 10(b) of the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Exchange Act (as defined below) and the rules and regulations thereunder, in respect</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3"/>
              </w:rPr>
              <w:t>of any election of a settlement method with respect to the Convertible Securities. For</w:t>
            </w:r>
          </w:p>
        </w:tc>
      </w:tr>
      <w:tr>
        <w:trPr>
          <w:trHeight w:val="230"/>
        </w:trPr>
        <w:tc>
          <w:tcPr>
            <w:tcW w:w="3600" w:type="dxa"/>
            <w:vAlign w:val="bottom"/>
          </w:tcPr>
          <w:p>
            <w:pPr>
              <w:spacing w:after="0"/>
              <w:rPr>
                <w:sz w:val="20"/>
                <w:szCs w:val="20"/>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the avoidance of doubt, if Counterparty fails to give such</w:t>
            </w:r>
          </w:p>
        </w:tc>
      </w:tr>
      <w:tr>
        <w:trPr>
          <w:trHeight w:val="432"/>
        </w:trPr>
        <w:tc>
          <w:tcPr>
            <w:tcW w:w="3600" w:type="dxa"/>
            <w:vAlign w:val="bottom"/>
          </w:tcPr>
          <w:p>
            <w:pPr>
              <w:spacing w:after="0"/>
              <w:rPr>
                <w:sz w:val="24"/>
                <w:szCs w:val="24"/>
                <w:color w:val="auto"/>
              </w:rPr>
            </w:pPr>
          </w:p>
        </w:tc>
        <w:tc>
          <w:tcPr>
            <w:tcW w:w="7860" w:type="dxa"/>
            <w:vAlign w:val="bottom"/>
          </w:tcPr>
          <w:p>
            <w:pPr>
              <w:ind w:left="2060"/>
              <w:spacing w:after="0"/>
              <w:rPr>
                <w:sz w:val="20"/>
                <w:szCs w:val="20"/>
                <w:color w:val="auto"/>
              </w:rPr>
            </w:pPr>
            <w:r>
              <w:rPr>
                <w:rFonts w:ascii="Arial" w:cs="Arial" w:eastAsia="Arial" w:hAnsi="Arial"/>
                <w:sz w:val="18"/>
                <w:szCs w:val="18"/>
                <w:color w:val="auto"/>
              </w:rPr>
              <w:t>4</w:t>
            </w:r>
          </w:p>
        </w:tc>
      </w:tr>
      <w:tr>
        <w:trPr>
          <w:trHeight w:val="132"/>
        </w:trPr>
        <w:tc>
          <w:tcPr>
            <w:tcW w:w="3600" w:type="dxa"/>
            <w:vAlign w:val="bottom"/>
            <w:tcBorders>
              <w:bottom w:val="single" w:sz="8" w:color="808080"/>
            </w:tcBorders>
          </w:tcPr>
          <w:p>
            <w:pPr>
              <w:spacing w:after="0"/>
              <w:rPr>
                <w:sz w:val="11"/>
                <w:szCs w:val="11"/>
                <w:color w:val="auto"/>
              </w:rPr>
            </w:pPr>
          </w:p>
        </w:tc>
        <w:tc>
          <w:tcPr>
            <w:tcW w:w="7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3"/>
              </w:rPr>
              <w:t>notice when due in respect of any exercise of Options hereunder, Dealer’s obligation</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6"/>
              </w:rPr>
              <w:t>to make any payment or delivery in respect of such exercise shall be permanently</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extinguished, and late notice shall not cure such failure. If applicable, the Notice of</w:t>
            </w:r>
          </w:p>
        </w:tc>
      </w:tr>
      <w:tr>
        <w:trPr>
          <w:trHeight w:val="230"/>
        </w:trPr>
        <w:tc>
          <w:tcPr>
            <w:tcW w:w="502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Exercise shall also contain the Settlement Method Election Provisions.</w:t>
            </w:r>
          </w:p>
        </w:tc>
      </w:tr>
      <w:tr>
        <w:trPr>
          <w:trHeight w:val="418"/>
        </w:trPr>
        <w:tc>
          <w:tcPr>
            <w:tcW w:w="5020" w:type="dxa"/>
            <w:vAlign w:val="bottom"/>
          </w:tcPr>
          <w:p>
            <w:pPr>
              <w:ind w:left="660"/>
              <w:spacing w:after="0"/>
              <w:rPr>
                <w:sz w:val="20"/>
                <w:szCs w:val="20"/>
                <w:color w:val="auto"/>
              </w:rPr>
            </w:pPr>
            <w:r>
              <w:rPr>
                <w:rFonts w:ascii="Arial" w:cs="Arial" w:eastAsia="Arial" w:hAnsi="Arial"/>
                <w:sz w:val="18"/>
                <w:szCs w:val="18"/>
                <w:color w:val="auto"/>
                <w:w w:val="98"/>
              </w:rPr>
              <w:t>Notice of Final Convertible Security Settlement Method:</w:t>
            </w: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Counterparty shall notify Dealer in writing before 5:00 P.M., New York City time, on</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2"/>
              </w:rPr>
              <w:t>the “Scheduled Trading Day” (as defined in the Indenture) immediately preceding the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line="216" w:lineRule="exact"/>
              <w:rPr>
                <w:sz w:val="20"/>
                <w:szCs w:val="20"/>
                <w:color w:val="auto"/>
              </w:rPr>
            </w:pPr>
            <w:r>
              <w:rPr>
                <w:rFonts w:ascii="Arial" w:cs="Arial" w:eastAsia="Arial" w:hAnsi="Arial"/>
                <w:sz w:val="18"/>
                <w:szCs w:val="18"/>
                <w:color w:val="auto"/>
                <w:w w:val="93"/>
              </w:rPr>
              <w:t>85</w:t>
            </w:r>
            <w:r>
              <w:rPr>
                <w:rFonts w:ascii="Arial" w:cs="Arial" w:eastAsia="Arial" w:hAnsi="Arial"/>
                <w:sz w:val="23"/>
                <w:szCs w:val="23"/>
                <w:color w:val="auto"/>
                <w:w w:val="93"/>
                <w:vertAlign w:val="superscript"/>
              </w:rPr>
              <w:t>th</w:t>
            </w:r>
            <w:r>
              <w:rPr>
                <w:rFonts w:ascii="Arial" w:cs="Arial" w:eastAsia="Arial" w:hAnsi="Arial"/>
                <w:sz w:val="18"/>
                <w:szCs w:val="18"/>
                <w:color w:val="auto"/>
                <w:w w:val="93"/>
              </w:rPr>
              <w:t xml:space="preserve"> “Scheduled Trading Day” (as defined in the Indenture) prior to the Maturity Date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3"/>
              </w:rPr>
              <w:t>of the settlement method (and, if applicable, the Specified Dollar Amount) elected (or</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deemed to be elected) with respect to Relevant Convertible Securities with a</w:t>
            </w:r>
          </w:p>
        </w:tc>
      </w:tr>
      <w:tr>
        <w:trPr>
          <w:trHeight w:val="212"/>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6"/>
              </w:rPr>
              <w:t>Conversion Date occurring during the Final Conversion Period (any such notice, a</w:t>
            </w:r>
          </w:p>
        </w:tc>
      </w:tr>
      <w:tr>
        <w:trPr>
          <w:trHeight w:val="220"/>
        </w:trPr>
        <w:tc>
          <w:tcPr>
            <w:tcW w:w="502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Notice of Final Convertible Security Settlement Method</w:t>
            </w:r>
            <w:r>
              <w:rPr>
                <w:rFonts w:ascii="Arial" w:cs="Arial" w:eastAsia="Arial" w:hAnsi="Arial"/>
                <w:sz w:val="18"/>
                <w:szCs w:val="18"/>
                <w:color w:val="auto"/>
                <w:w w:val="99"/>
              </w:rPr>
              <w:t>”). If applicable, the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Notice of Final Convertible Security Settlement Method shall also contain the</w:t>
            </w:r>
          </w:p>
        </w:tc>
      </w:tr>
      <w:tr>
        <w:trPr>
          <w:trHeight w:val="230"/>
        </w:trPr>
        <w:tc>
          <w:tcPr>
            <w:tcW w:w="502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Settlement Method Election Provisions.</w:t>
            </w:r>
          </w:p>
        </w:tc>
      </w:tr>
      <w:tr>
        <w:trPr>
          <w:trHeight w:val="418"/>
        </w:trPr>
        <w:tc>
          <w:tcPr>
            <w:tcW w:w="5020" w:type="dxa"/>
            <w:vAlign w:val="bottom"/>
          </w:tcPr>
          <w:p>
            <w:pPr>
              <w:ind w:left="660"/>
              <w:spacing w:after="0"/>
              <w:rPr>
                <w:sz w:val="20"/>
                <w:szCs w:val="20"/>
                <w:color w:val="auto"/>
              </w:rPr>
            </w:pPr>
            <w:r>
              <w:rPr>
                <w:rFonts w:ascii="Arial" w:cs="Arial" w:eastAsia="Arial" w:hAnsi="Arial"/>
                <w:sz w:val="18"/>
                <w:szCs w:val="18"/>
                <w:color w:val="auto"/>
                <w:w w:val="97"/>
              </w:rPr>
              <w:t>Dealer’s Telephone Number and Telex and/or Facsimile</w:t>
            </w:r>
          </w:p>
        </w:tc>
        <w:tc>
          <w:tcPr>
            <w:tcW w:w="6440" w:type="dxa"/>
            <w:vAlign w:val="bottom"/>
          </w:tcPr>
          <w:p>
            <w:pPr>
              <w:spacing w:after="0"/>
              <w:rPr>
                <w:sz w:val="24"/>
                <w:szCs w:val="24"/>
                <w:color w:val="auto"/>
              </w:rPr>
            </w:pPr>
          </w:p>
        </w:tc>
      </w:tr>
      <w:tr>
        <w:trPr>
          <w:trHeight w:val="230"/>
        </w:trPr>
        <w:tc>
          <w:tcPr>
            <w:tcW w:w="5020" w:type="dxa"/>
            <w:vAlign w:val="bottom"/>
          </w:tcPr>
          <w:p>
            <w:pPr>
              <w:ind w:left="660"/>
              <w:spacing w:after="0"/>
              <w:rPr>
                <w:sz w:val="20"/>
                <w:szCs w:val="20"/>
                <w:color w:val="auto"/>
              </w:rPr>
            </w:pPr>
            <w:r>
              <w:rPr>
                <w:rFonts w:ascii="Arial" w:cs="Arial" w:eastAsia="Arial" w:hAnsi="Arial"/>
                <w:sz w:val="18"/>
                <w:szCs w:val="18"/>
                <w:color w:val="auto"/>
                <w:w w:val="94"/>
              </w:rPr>
              <w:t>Number and Contact Details for purpose of Giving Notice:</w:t>
            </w:r>
          </w:p>
        </w:tc>
        <w:tc>
          <w:tcPr>
            <w:tcW w:w="6440" w:type="dxa"/>
            <w:vAlign w:val="bottom"/>
          </w:tcPr>
          <w:p>
            <w:pPr>
              <w:ind w:left="140"/>
              <w:spacing w:after="0"/>
              <w:rPr>
                <w:sz w:val="20"/>
                <w:szCs w:val="20"/>
                <w:color w:val="auto"/>
              </w:rPr>
            </w:pPr>
            <w:r>
              <w:rPr>
                <w:rFonts w:ascii="Arial" w:cs="Arial" w:eastAsia="Arial" w:hAnsi="Arial"/>
                <w:sz w:val="18"/>
                <w:szCs w:val="18"/>
                <w:color w:val="auto"/>
              </w:rPr>
              <w:t>As specified in Section 6(b) below.</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Settlement Terms:</w:t>
            </w:r>
          </w:p>
        </w:tc>
        <w:tc>
          <w:tcPr>
            <w:tcW w:w="6440" w:type="dxa"/>
            <w:vAlign w:val="bottom"/>
          </w:tcPr>
          <w:p>
            <w:pPr>
              <w:spacing w:after="0"/>
              <w:rPr>
                <w:sz w:val="24"/>
                <w:szCs w:val="24"/>
                <w:color w:val="auto"/>
              </w:rPr>
            </w:pPr>
          </w:p>
        </w:tc>
      </w:tr>
      <w:tr>
        <w:trPr>
          <w:trHeight w:val="418"/>
        </w:trPr>
        <w:tc>
          <w:tcPr>
            <w:tcW w:w="5020" w:type="dxa"/>
            <w:vAlign w:val="bottom"/>
          </w:tcPr>
          <w:p>
            <w:pPr>
              <w:ind w:left="660"/>
              <w:spacing w:after="0"/>
              <w:rPr>
                <w:sz w:val="20"/>
                <w:szCs w:val="20"/>
                <w:color w:val="auto"/>
              </w:rPr>
            </w:pPr>
            <w:r>
              <w:rPr>
                <w:rFonts w:ascii="Arial" w:cs="Arial" w:eastAsia="Arial" w:hAnsi="Arial"/>
                <w:sz w:val="18"/>
                <w:szCs w:val="18"/>
                <w:color w:val="auto"/>
              </w:rPr>
              <w:t>Settlement Date:</w:t>
            </w: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For any Exercise Date, the date one Settlement Cycle following the final day of the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4"/>
              </w:rPr>
              <w:t xml:space="preserve">relevant Cash Settlement Averaging Period;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the Settlement Date shall</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not be prior to the Exchange Business Day immediately following the date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3"/>
              </w:rPr>
              <w:t>Counterparty provides the Notice of Delivery Obligation prior to 5:00 P.M., New York</w:t>
            </w:r>
          </w:p>
        </w:tc>
      </w:tr>
      <w:tr>
        <w:trPr>
          <w:trHeight w:val="230"/>
        </w:trPr>
        <w:tc>
          <w:tcPr>
            <w:tcW w:w="502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City time.</w:t>
            </w:r>
          </w:p>
        </w:tc>
      </w:tr>
      <w:tr>
        <w:trPr>
          <w:trHeight w:val="418"/>
        </w:trPr>
        <w:tc>
          <w:tcPr>
            <w:tcW w:w="5020" w:type="dxa"/>
            <w:vAlign w:val="bottom"/>
          </w:tcPr>
          <w:p>
            <w:pPr>
              <w:ind w:left="660"/>
              <w:spacing w:after="0"/>
              <w:rPr>
                <w:sz w:val="20"/>
                <w:szCs w:val="20"/>
                <w:color w:val="auto"/>
              </w:rPr>
            </w:pPr>
            <w:r>
              <w:rPr>
                <w:rFonts w:ascii="Arial" w:cs="Arial" w:eastAsia="Arial" w:hAnsi="Arial"/>
                <w:sz w:val="18"/>
                <w:szCs w:val="18"/>
                <w:color w:val="auto"/>
              </w:rPr>
              <w:t>Delivery Obligation:</w:t>
            </w:r>
          </w:p>
        </w:tc>
        <w:tc>
          <w:tcPr>
            <w:tcW w:w="6440" w:type="dxa"/>
            <w:vAlign w:val="bottom"/>
          </w:tcPr>
          <w:p>
            <w:pPr>
              <w:ind w:left="140"/>
              <w:spacing w:after="0"/>
              <w:rPr>
                <w:sz w:val="20"/>
                <w:szCs w:val="20"/>
                <w:color w:val="auto"/>
              </w:rPr>
            </w:pPr>
            <w:r>
              <w:rPr>
                <w:rFonts w:ascii="Arial" w:cs="Arial" w:eastAsia="Arial" w:hAnsi="Arial"/>
                <w:sz w:val="18"/>
                <w:szCs w:val="18"/>
                <w:color w:val="auto"/>
                <w:w w:val="97"/>
              </w:rPr>
              <w:t>In lieu of the obligations set forth in Sections 8.1 and 9.1 of the Equity Definitions,</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and subject to “Notice of Exercise” above and “Discretionary Adjustments”</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3"/>
              </w:rPr>
              <w:t>, “Dividends” and “Consequences of Merger Events” below, in respect of an Exercise</w:t>
            </w:r>
          </w:p>
        </w:tc>
      </w:tr>
      <w:tr>
        <w:trPr>
          <w:trHeight w:val="212"/>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Date, Dealer will deliver to Counterparty on the related Settlement Date (the</w:t>
            </w:r>
          </w:p>
        </w:tc>
      </w:tr>
      <w:tr>
        <w:trPr>
          <w:trHeight w:val="234"/>
        </w:trPr>
        <w:tc>
          <w:tcPr>
            <w:tcW w:w="502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Obligation</w:t>
            </w:r>
            <w:r>
              <w:rPr>
                <w:rFonts w:ascii="Arial" w:cs="Arial" w:eastAsia="Arial" w:hAnsi="Arial"/>
                <w:sz w:val="18"/>
                <w:szCs w:val="18"/>
                <w:color w:val="auto"/>
              </w:rPr>
              <w:t>”),</w:t>
            </w:r>
          </w:p>
        </w:tc>
      </w:tr>
      <w:tr>
        <w:trPr>
          <w:trHeight w:val="418"/>
        </w:trPr>
        <w:tc>
          <w:tcPr>
            <w:tcW w:w="5020" w:type="dxa"/>
            <w:vAlign w:val="bottom"/>
          </w:tcPr>
          <w:p>
            <w:pPr>
              <w:spacing w:after="0"/>
              <w:rPr>
                <w:sz w:val="24"/>
                <w:szCs w:val="24"/>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w w:val="92"/>
              </w:rPr>
              <w:t>(i) a number of Shares equal to (I) the product of the Applicable Percentage and</w:t>
            </w:r>
          </w:p>
        </w:tc>
      </w:tr>
      <w:tr>
        <w:trPr>
          <w:trHeight w:val="216"/>
        </w:trPr>
        <w:tc>
          <w:tcPr>
            <w:tcW w:w="50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w w:val="92"/>
              </w:rPr>
              <w:t>the aggregate number of Shares, if any, that Counterparty would be obligated to</w:t>
            </w:r>
          </w:p>
        </w:tc>
      </w:tr>
      <w:tr>
        <w:trPr>
          <w:trHeight w:val="216"/>
        </w:trPr>
        <w:tc>
          <w:tcPr>
            <w:tcW w:w="50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deliver to the holder(s) of the Relevant Convertible Securities for such</w:t>
            </w:r>
          </w:p>
        </w:tc>
      </w:tr>
      <w:tr>
        <w:trPr>
          <w:trHeight w:val="216"/>
        </w:trPr>
        <w:tc>
          <w:tcPr>
            <w:tcW w:w="50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w w:val="97"/>
              </w:rPr>
              <w:t>Conversion Date pursuant to Section 5.03 of the Indenture (except that such</w:t>
            </w:r>
          </w:p>
        </w:tc>
      </w:tr>
      <w:tr>
        <w:trPr>
          <w:trHeight w:val="216"/>
        </w:trPr>
        <w:tc>
          <w:tcPr>
            <w:tcW w:w="50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w w:val="98"/>
              </w:rPr>
              <w:t>number of Shares shall be determined without taking into consideration any</w:t>
            </w:r>
          </w:p>
        </w:tc>
      </w:tr>
      <w:tr>
        <w:trPr>
          <w:trHeight w:val="216"/>
        </w:trPr>
        <w:tc>
          <w:tcPr>
            <w:tcW w:w="50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w w:val="95"/>
              </w:rPr>
              <w:t>rounding pursuant to Section 5.03(B)(ii) of the Indenture and shall be rounded</w:t>
            </w:r>
          </w:p>
        </w:tc>
      </w:tr>
      <w:tr>
        <w:trPr>
          <w:trHeight w:val="230"/>
        </w:trPr>
        <w:tc>
          <w:tcPr>
            <w:tcW w:w="50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down to the nearest whole number) and (II) cash</w:t>
            </w:r>
          </w:p>
        </w:tc>
      </w:tr>
      <w:tr>
        <w:trPr>
          <w:trHeight w:val="432"/>
        </w:trPr>
        <w:tc>
          <w:tcPr>
            <w:tcW w:w="5020" w:type="dxa"/>
            <w:vAlign w:val="bottom"/>
          </w:tcPr>
          <w:p>
            <w:pPr>
              <w:spacing w:after="0"/>
              <w:rPr>
                <w:sz w:val="24"/>
                <w:szCs w:val="24"/>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5</w:t>
            </w:r>
          </w:p>
        </w:tc>
      </w:tr>
      <w:tr>
        <w:trPr>
          <w:trHeight w:val="132"/>
        </w:trPr>
        <w:tc>
          <w:tcPr>
            <w:tcW w:w="502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620" w:type="dxa"/>
            <w:vAlign w:val="bottom"/>
          </w:tcPr>
          <w:p>
            <w:pPr>
              <w:ind w:left="1700"/>
              <w:spacing w:after="0"/>
              <w:rPr>
                <w:sz w:val="20"/>
                <w:szCs w:val="20"/>
                <w:color w:val="auto"/>
              </w:rPr>
            </w:pPr>
            <w:r>
              <w:rPr>
                <w:rFonts w:ascii="Arial" w:cs="Arial" w:eastAsia="Arial" w:hAnsi="Arial"/>
                <w:sz w:val="18"/>
                <w:szCs w:val="18"/>
                <w:color w:val="auto"/>
              </w:rPr>
              <w:t>in lieu of any fractional Share resulting from such rounding; and/or</w:t>
            </w:r>
          </w:p>
        </w:tc>
      </w:tr>
      <w:tr>
        <w:trPr>
          <w:trHeight w:val="418"/>
        </w:trPr>
        <w:tc>
          <w:tcPr>
            <w:tcW w:w="3840" w:type="dxa"/>
            <w:vAlign w:val="bottom"/>
          </w:tcPr>
          <w:p>
            <w:pPr>
              <w:spacing w:after="0"/>
              <w:rPr>
                <w:sz w:val="24"/>
                <w:szCs w:val="24"/>
                <w:color w:val="auto"/>
              </w:rPr>
            </w:pPr>
          </w:p>
        </w:tc>
        <w:tc>
          <w:tcPr>
            <w:tcW w:w="7620" w:type="dxa"/>
            <w:vAlign w:val="bottom"/>
          </w:tcPr>
          <w:p>
            <w:pPr>
              <w:ind w:left="1700"/>
              <w:spacing w:after="0"/>
              <w:rPr>
                <w:sz w:val="20"/>
                <w:szCs w:val="20"/>
                <w:color w:val="auto"/>
              </w:rPr>
            </w:pPr>
            <w:r>
              <w:rPr>
                <w:rFonts w:ascii="Arial" w:cs="Arial" w:eastAsia="Arial" w:hAnsi="Arial"/>
                <w:sz w:val="18"/>
                <w:szCs w:val="18"/>
                <w:color w:val="auto"/>
                <w:w w:val="92"/>
              </w:rPr>
              <w:t>(ii) the aggregate amount of cash, if any, in excess of the principal amount of the</w:t>
            </w:r>
          </w:p>
        </w:tc>
      </w:tr>
      <w:tr>
        <w:trPr>
          <w:trHeight w:val="216"/>
        </w:trPr>
        <w:tc>
          <w:tcPr>
            <w:tcW w:w="3840" w:type="dxa"/>
            <w:vAlign w:val="bottom"/>
          </w:tcPr>
          <w:p>
            <w:pPr>
              <w:spacing w:after="0"/>
              <w:rPr>
                <w:sz w:val="18"/>
                <w:szCs w:val="18"/>
                <w:color w:val="auto"/>
              </w:rPr>
            </w:pPr>
          </w:p>
        </w:tc>
        <w:tc>
          <w:tcPr>
            <w:tcW w:w="7620" w:type="dxa"/>
            <w:vAlign w:val="bottom"/>
          </w:tcPr>
          <w:p>
            <w:pPr>
              <w:ind w:left="1700"/>
              <w:spacing w:after="0"/>
              <w:rPr>
                <w:sz w:val="20"/>
                <w:szCs w:val="20"/>
                <w:color w:val="auto"/>
              </w:rPr>
            </w:pPr>
            <w:r>
              <w:rPr>
                <w:rFonts w:ascii="Arial" w:cs="Arial" w:eastAsia="Arial" w:hAnsi="Arial"/>
                <w:sz w:val="18"/>
                <w:szCs w:val="18"/>
                <w:color w:val="auto"/>
                <w:w w:val="93"/>
              </w:rPr>
              <w:t>Relevant Convertible Securities that Counterparty would be obligated to deliver</w:t>
            </w:r>
          </w:p>
        </w:tc>
      </w:tr>
      <w:tr>
        <w:trPr>
          <w:trHeight w:val="216"/>
        </w:trPr>
        <w:tc>
          <w:tcPr>
            <w:tcW w:w="3840" w:type="dxa"/>
            <w:vAlign w:val="bottom"/>
          </w:tcPr>
          <w:p>
            <w:pPr>
              <w:spacing w:after="0"/>
              <w:rPr>
                <w:sz w:val="18"/>
                <w:szCs w:val="18"/>
                <w:color w:val="auto"/>
              </w:rPr>
            </w:pPr>
          </w:p>
        </w:tc>
        <w:tc>
          <w:tcPr>
            <w:tcW w:w="7620" w:type="dxa"/>
            <w:vAlign w:val="bottom"/>
          </w:tcPr>
          <w:p>
            <w:pPr>
              <w:ind w:left="1700"/>
              <w:spacing w:after="0"/>
              <w:rPr>
                <w:sz w:val="20"/>
                <w:szCs w:val="20"/>
                <w:color w:val="auto"/>
              </w:rPr>
            </w:pPr>
            <w:r>
              <w:rPr>
                <w:rFonts w:ascii="Arial" w:cs="Arial" w:eastAsia="Arial" w:hAnsi="Arial"/>
                <w:sz w:val="18"/>
                <w:szCs w:val="18"/>
                <w:color w:val="auto"/>
                <w:w w:val="97"/>
              </w:rPr>
              <w:t>to holder(s) of the Relevant Convertible Securities for such Conversion Date</w:t>
            </w:r>
          </w:p>
        </w:tc>
      </w:tr>
      <w:tr>
        <w:trPr>
          <w:trHeight w:val="216"/>
        </w:trPr>
        <w:tc>
          <w:tcPr>
            <w:tcW w:w="3840" w:type="dxa"/>
            <w:vAlign w:val="bottom"/>
          </w:tcPr>
          <w:p>
            <w:pPr>
              <w:spacing w:after="0"/>
              <w:rPr>
                <w:sz w:val="18"/>
                <w:szCs w:val="18"/>
                <w:color w:val="auto"/>
              </w:rPr>
            </w:pPr>
          </w:p>
        </w:tc>
        <w:tc>
          <w:tcPr>
            <w:tcW w:w="7620" w:type="dxa"/>
            <w:vAlign w:val="bottom"/>
          </w:tcPr>
          <w:p>
            <w:pPr>
              <w:ind w:left="1700"/>
              <w:spacing w:after="0"/>
              <w:rPr>
                <w:sz w:val="20"/>
                <w:szCs w:val="20"/>
                <w:color w:val="auto"/>
              </w:rPr>
            </w:pPr>
            <w:r>
              <w:rPr>
                <w:rFonts w:ascii="Arial" w:cs="Arial" w:eastAsia="Arial" w:hAnsi="Arial"/>
                <w:sz w:val="18"/>
                <w:szCs w:val="18"/>
                <w:color w:val="auto"/>
                <w:w w:val="91"/>
              </w:rPr>
              <w:t>pursuant to Section 5.03 of the Indenture, determined, for each of clauses (i) and</w:t>
            </w:r>
          </w:p>
        </w:tc>
      </w:tr>
      <w:tr>
        <w:trPr>
          <w:trHeight w:val="230"/>
        </w:trPr>
        <w:tc>
          <w:tcPr>
            <w:tcW w:w="3840" w:type="dxa"/>
            <w:vAlign w:val="bottom"/>
          </w:tcPr>
          <w:p>
            <w:pPr>
              <w:spacing w:after="0"/>
              <w:rPr>
                <w:sz w:val="20"/>
                <w:szCs w:val="20"/>
                <w:color w:val="auto"/>
              </w:rPr>
            </w:pPr>
          </w:p>
        </w:tc>
        <w:tc>
          <w:tcPr>
            <w:tcW w:w="7620" w:type="dxa"/>
            <w:vAlign w:val="bottom"/>
          </w:tcPr>
          <w:p>
            <w:pPr>
              <w:ind w:left="1700"/>
              <w:spacing w:after="0"/>
              <w:rPr>
                <w:sz w:val="20"/>
                <w:szCs w:val="20"/>
                <w:color w:val="auto"/>
              </w:rPr>
            </w:pPr>
            <w:r>
              <w:rPr>
                <w:rFonts w:ascii="Arial" w:cs="Arial" w:eastAsia="Arial" w:hAnsi="Arial"/>
                <w:sz w:val="18"/>
                <w:szCs w:val="18"/>
                <w:color w:val="auto"/>
                <w:w w:val="96"/>
              </w:rPr>
              <w:t>(ii), by the Calculation Agent (by reference to such Sections of the Indenture)</w:t>
            </w:r>
          </w:p>
        </w:tc>
      </w:tr>
      <w:tr>
        <w:trPr>
          <w:trHeight w:val="418"/>
        </w:trPr>
        <w:tc>
          <w:tcPr>
            <w:tcW w:w="3840" w:type="dxa"/>
            <w:vAlign w:val="bottom"/>
          </w:tcPr>
          <w:p>
            <w:pPr>
              <w:spacing w:after="0"/>
              <w:rPr>
                <w:sz w:val="24"/>
                <w:szCs w:val="24"/>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5"/>
              </w:rPr>
              <w:t>as if Counterparty had elected to satisfy its conversion obligation in respect of such</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Relevant Convertible Securities by the Applicable Settlement Method,</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9"/>
              </w:rPr>
              <w:t>notwithstanding any different actual election by Counterparty with respect to the</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 xml:space="preserve">settlement of such Relevant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Delivery</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2"/>
              </w:rPr>
              <w:t>Obligation shall be determined excluding any Shares and/or cash that Counterparty is</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4"/>
              </w:rPr>
              <w:t>obligated to deliver to holder(s) of the Relevant Convertible Securities as a direct or</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indirect result of any adjustments to the Conversion Rate pursuant to a Fundamental</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7"/>
              </w:rPr>
              <w:t>Change Adjustment or a Discretionary Adjustment and any interest payment that</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Counterparty is (or would have been) obligated to deliver to holder(s) of the Relevant</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Convertible Securities for such Conversion Date. Notwithstanding the foregoing, if, in</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7"/>
              </w:rPr>
              <w:t>respect of any Exercise Date, (x)(I) the number of Shares included in the Delivery</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2"/>
              </w:rPr>
              <w:t xml:space="preserve">Obligation </w:t>
            </w:r>
            <w:r>
              <w:rPr>
                <w:rFonts w:ascii="Arial" w:cs="Arial" w:eastAsia="Arial" w:hAnsi="Arial"/>
                <w:sz w:val="18"/>
                <w:szCs w:val="18"/>
                <w:i w:val="1"/>
                <w:iCs w:val="1"/>
                <w:color w:val="auto"/>
                <w:w w:val="92"/>
              </w:rPr>
              <w:t>multiplied by</w:t>
            </w:r>
            <w:r>
              <w:rPr>
                <w:rFonts w:ascii="Arial" w:cs="Arial" w:eastAsia="Arial" w:hAnsi="Arial"/>
                <w:sz w:val="18"/>
                <w:szCs w:val="18"/>
                <w:color w:val="auto"/>
                <w:w w:val="92"/>
              </w:rPr>
              <w:t xml:space="preserve"> the Share Obligation Value Price </w:t>
            </w:r>
            <w:r>
              <w:rPr>
                <w:rFonts w:ascii="Arial" w:cs="Arial" w:eastAsia="Arial" w:hAnsi="Arial"/>
                <w:sz w:val="18"/>
                <w:szCs w:val="18"/>
                <w:i w:val="1"/>
                <w:iCs w:val="1"/>
                <w:color w:val="auto"/>
                <w:w w:val="92"/>
              </w:rPr>
              <w:t>plus</w:t>
            </w:r>
            <w:r>
              <w:rPr>
                <w:rFonts w:ascii="Arial" w:cs="Arial" w:eastAsia="Arial" w:hAnsi="Arial"/>
                <w:sz w:val="18"/>
                <w:szCs w:val="18"/>
                <w:color w:val="auto"/>
                <w:w w:val="92"/>
              </w:rPr>
              <w:t xml:space="preserve"> (II) the amount of cash</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9"/>
              </w:rPr>
              <w:t>included in the Delivery Obligation, would otherwise exceed (y) the relevant Net</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1"/>
              </w:rPr>
              <w:t>Convertible Share Obligation Value, such number of Shares and such amount of cash</w:t>
            </w:r>
          </w:p>
        </w:tc>
      </w:tr>
      <w:tr>
        <w:trPr>
          <w:trHeight w:val="230"/>
        </w:trPr>
        <w:tc>
          <w:tcPr>
            <w:tcW w:w="3840" w:type="dxa"/>
            <w:vAlign w:val="bottom"/>
          </w:tcPr>
          <w:p>
            <w:pPr>
              <w:spacing w:after="0"/>
              <w:rPr>
                <w:sz w:val="20"/>
                <w:szCs w:val="20"/>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6"/>
              </w:rPr>
              <w:t>shall be proportionately reduced to the extent necessary to eliminate such excess.</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Make-Whole Adjustment:</w:t>
            </w:r>
          </w:p>
        </w:tc>
        <w:tc>
          <w:tcPr>
            <w:tcW w:w="7620" w:type="dxa"/>
            <w:vAlign w:val="bottom"/>
          </w:tcPr>
          <w:p>
            <w:pPr>
              <w:ind w:left="1320"/>
              <w:spacing w:after="0"/>
              <w:rPr>
                <w:sz w:val="20"/>
                <w:szCs w:val="20"/>
                <w:color w:val="auto"/>
              </w:rPr>
            </w:pPr>
            <w:r>
              <w:rPr>
                <w:rFonts w:ascii="Arial" w:cs="Arial" w:eastAsia="Arial" w:hAnsi="Arial"/>
                <w:sz w:val="18"/>
                <w:szCs w:val="18"/>
                <w:color w:val="auto"/>
                <w:w w:val="92"/>
              </w:rPr>
              <w:t>Notwithstanding anything to the contrary herein, in respect of any exercise of Options</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4"/>
              </w:rPr>
              <w:t>relating to a conversion of Relevant Convertible Securities in connection with which</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holders of the Relevant Convertible Securities would be entitled to receive additional</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4"/>
              </w:rPr>
              <w:t>Shares and/or cash as a result of adjustments to the Conversion Rate pursuant to a</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Fundamental Change Adjustment, the Delivery Obligation shall include such</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6"/>
              </w:rPr>
              <w:t xml:space="preserve">additional Shares and/or cash;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if the sum of (i) the product of (a) the</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6"/>
              </w:rPr>
              <w:t>number of Shares (if any) included in the Delivery Obligation per exercised Option</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and (b) the Share Obligation Value Price and (ii) the amount of cash (if any) included</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4"/>
              </w:rPr>
              <w:t>in the Delivery Obligation per exercised Option would otherwise exceed the amount</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2"/>
              </w:rPr>
              <w:t>per Option, as determined by the Calculation Agent, that would be payable by Dealer</w:t>
            </w:r>
          </w:p>
        </w:tc>
      </w:tr>
      <w:tr>
        <w:trPr>
          <w:trHeight w:val="230"/>
        </w:trPr>
        <w:tc>
          <w:tcPr>
            <w:tcW w:w="3840" w:type="dxa"/>
            <w:vAlign w:val="bottom"/>
          </w:tcPr>
          <w:p>
            <w:pPr>
              <w:spacing w:after="0"/>
              <w:rPr>
                <w:sz w:val="20"/>
                <w:szCs w:val="20"/>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under Section 6 of the Agreement if (x) the relevant</w:t>
            </w:r>
          </w:p>
        </w:tc>
      </w:tr>
      <w:tr>
        <w:trPr>
          <w:trHeight w:val="432"/>
        </w:trPr>
        <w:tc>
          <w:tcPr>
            <w:tcW w:w="384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6</w:t>
            </w:r>
          </w:p>
        </w:tc>
      </w:tr>
      <w:tr>
        <w:trPr>
          <w:trHeight w:val="132"/>
        </w:trPr>
        <w:tc>
          <w:tcPr>
            <w:tcW w:w="38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Conversion Date were an Early Termination Date resulting from an Additional</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Termination Event with respect to which the Transaction was the sole Affected</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1"/>
              </w:rPr>
              <w:t>Transaction and Counterparty was the sole Affected Party and (y) the provisions of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Indenture relating to the Fundamental Change Adjustment were deleted, then such</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number of Shares and such amount of cash shall be proportionately reduced to the</w:t>
            </w:r>
          </w:p>
        </w:tc>
      </w:tr>
      <w:tr>
        <w:trPr>
          <w:trHeight w:val="230"/>
        </w:trPr>
        <w:tc>
          <w:tcPr>
            <w:tcW w:w="4180" w:type="dxa"/>
            <w:vAlign w:val="bottom"/>
          </w:tcPr>
          <w:p>
            <w:pPr>
              <w:spacing w:after="0"/>
              <w:rPr>
                <w:sz w:val="20"/>
                <w:szCs w:val="20"/>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extent necessary to eliminate such excess.</w:t>
            </w:r>
          </w:p>
        </w:tc>
      </w:tr>
      <w:tr>
        <w:trPr>
          <w:trHeight w:val="418"/>
        </w:trPr>
        <w:tc>
          <w:tcPr>
            <w:tcW w:w="4180" w:type="dxa"/>
            <w:vAlign w:val="bottom"/>
          </w:tcPr>
          <w:p>
            <w:pPr>
              <w:ind w:left="660"/>
              <w:spacing w:after="0"/>
              <w:rPr>
                <w:sz w:val="20"/>
                <w:szCs w:val="20"/>
                <w:color w:val="auto"/>
              </w:rPr>
            </w:pPr>
            <w:r>
              <w:rPr>
                <w:rFonts w:ascii="Arial" w:cs="Arial" w:eastAsia="Arial" w:hAnsi="Arial"/>
                <w:sz w:val="18"/>
                <w:szCs w:val="18"/>
                <w:color w:val="auto"/>
              </w:rPr>
              <w:t>Applicable Settlement Method:</w:t>
            </w: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For any Relevant Convertible Securities, if (i) Counterparty has notified Dealer in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related Notice of Exercise (or in the Notice of Final Convertible Security Settlement</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Method, as the case may be) that it has elected to satisfy its conversion obligation in</w:t>
            </w:r>
          </w:p>
        </w:tc>
      </w:tr>
      <w:tr>
        <w:trPr>
          <w:trHeight w:val="212"/>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respect of such Relevant Convertible Securities in cash or in a combination of cash</w:t>
            </w:r>
          </w:p>
        </w:tc>
      </w:tr>
      <w:tr>
        <w:trPr>
          <w:trHeight w:val="220"/>
        </w:trPr>
        <w:tc>
          <w:tcPr>
            <w:tcW w:w="4180" w:type="dxa"/>
            <w:vAlign w:val="bottom"/>
          </w:tcPr>
          <w:p>
            <w:pPr>
              <w:spacing w:after="0"/>
              <w:rPr>
                <w:sz w:val="19"/>
                <w:szCs w:val="19"/>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and Shares in accordance with Section 5.03(A) of the Indenture (a “</w:t>
            </w:r>
            <w:r>
              <w:rPr>
                <w:rFonts w:ascii="Arial" w:cs="Arial" w:eastAsia="Arial" w:hAnsi="Arial"/>
                <w:sz w:val="18"/>
                <w:szCs w:val="18"/>
                <w:b w:val="1"/>
                <w:bCs w:val="1"/>
                <w:color w:val="auto"/>
                <w:w w:val="93"/>
              </w:rPr>
              <w:t>Cash Election</w:t>
            </w:r>
            <w:r>
              <w:rPr>
                <w:rFonts w:ascii="Arial" w:cs="Arial" w:eastAsia="Arial" w:hAnsi="Arial"/>
                <w:sz w:val="18"/>
                <w:szCs w:val="18"/>
                <w:color w:val="auto"/>
                <w:w w:val="93"/>
              </w:rPr>
              <w:t>”)</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with a Specified Dollar Amount of at least USD1,000 and (ii) such Notice of Exercise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2"/>
              </w:rPr>
              <w:t>(or such Notice of Final Convertible Security Settlement Method, as the case may be)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4"/>
              </w:rPr>
              <w:t>contains all of the Settlement Method Election Provisions, the Applicable Settlement</w:t>
            </w:r>
          </w:p>
        </w:tc>
      </w:tr>
      <w:tr>
        <w:trPr>
          <w:trHeight w:val="212"/>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2"/>
              </w:rPr>
              <w:t>Method shall be the settlement method actually so elected by Counterparty in respect</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6"/>
              </w:rPr>
              <w:t>of such Relevant Convertible Securities (the “</w:t>
            </w:r>
            <w:r>
              <w:rPr>
                <w:rFonts w:ascii="Arial" w:cs="Arial" w:eastAsia="Arial" w:hAnsi="Arial"/>
                <w:sz w:val="18"/>
                <w:szCs w:val="18"/>
                <w:b w:val="1"/>
                <w:bCs w:val="1"/>
                <w:color w:val="auto"/>
                <w:w w:val="96"/>
              </w:rPr>
              <w:t>Convertible Securities Settlement</w:t>
            </w:r>
          </w:p>
        </w:tc>
      </w:tr>
      <w:tr>
        <w:trPr>
          <w:trHeight w:val="220"/>
        </w:trPr>
        <w:tc>
          <w:tcPr>
            <w:tcW w:w="4180" w:type="dxa"/>
            <w:vAlign w:val="bottom"/>
          </w:tcPr>
          <w:p>
            <w:pPr>
              <w:spacing w:after="0"/>
              <w:rPr>
                <w:sz w:val="19"/>
                <w:szCs w:val="19"/>
                <w:color w:val="auto"/>
              </w:rPr>
            </w:pPr>
          </w:p>
        </w:tc>
        <w:tc>
          <w:tcPr>
            <w:tcW w:w="7280" w:type="dxa"/>
            <w:vAlign w:val="bottom"/>
          </w:tcPr>
          <w:p>
            <w:pPr>
              <w:ind w:left="980"/>
              <w:spacing w:after="0"/>
              <w:rPr>
                <w:sz w:val="20"/>
                <w:szCs w:val="20"/>
                <w:color w:val="auto"/>
              </w:rPr>
            </w:pPr>
            <w:r>
              <w:rPr>
                <w:rFonts w:ascii="Arial" w:cs="Arial" w:eastAsia="Arial" w:hAnsi="Arial"/>
                <w:sz w:val="18"/>
                <w:szCs w:val="18"/>
                <w:b w:val="1"/>
                <w:bCs w:val="1"/>
                <w:color w:val="auto"/>
                <w:w w:val="94"/>
              </w:rPr>
              <w:t>Method</w:t>
            </w:r>
            <w:r>
              <w:rPr>
                <w:rFonts w:ascii="Arial" w:cs="Arial" w:eastAsia="Arial" w:hAnsi="Arial"/>
                <w:sz w:val="18"/>
                <w:szCs w:val="18"/>
                <w:color w:val="auto"/>
                <w:w w:val="94"/>
              </w:rPr>
              <w:t>”); otherwise, the Applicable Settlement Method shall assume Counterparty</w:t>
            </w:r>
          </w:p>
        </w:tc>
      </w:tr>
      <w:tr>
        <w:trPr>
          <w:trHeight w:val="212"/>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6"/>
              </w:rPr>
              <w:t>had made a Cash Election with respect to such Relevant Convertible Securities (a</w:t>
            </w:r>
          </w:p>
        </w:tc>
      </w:tr>
      <w:tr>
        <w:trPr>
          <w:trHeight w:val="220"/>
        </w:trPr>
        <w:tc>
          <w:tcPr>
            <w:tcW w:w="4180" w:type="dxa"/>
            <w:vAlign w:val="bottom"/>
          </w:tcPr>
          <w:p>
            <w:pPr>
              <w:spacing w:after="0"/>
              <w:rPr>
                <w:sz w:val="19"/>
                <w:szCs w:val="19"/>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Cash Election</w:t>
            </w:r>
            <w:r>
              <w:rPr>
                <w:rFonts w:ascii="Arial" w:cs="Arial" w:eastAsia="Arial" w:hAnsi="Arial"/>
                <w:sz w:val="18"/>
                <w:szCs w:val="18"/>
                <w:color w:val="auto"/>
              </w:rPr>
              <w:t>”) with a Specified Dollar Amount of USD1,000 per</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Relevant Convertible Security and the Delivery Obligation shall be determined by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Calculation Agent as if the relevant “Observation Period” pursuant to Section 5.03(B)</w:t>
            </w:r>
          </w:p>
        </w:tc>
      </w:tr>
      <w:tr>
        <w:trPr>
          <w:trHeight w:val="230"/>
        </w:trPr>
        <w:tc>
          <w:tcPr>
            <w:tcW w:w="4180" w:type="dxa"/>
            <w:vAlign w:val="bottom"/>
          </w:tcPr>
          <w:p>
            <w:pPr>
              <w:spacing w:after="0"/>
              <w:rPr>
                <w:sz w:val="20"/>
                <w:szCs w:val="20"/>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(i) of the Indenture were the Cash Settlement Averaging Period.</w:t>
            </w:r>
          </w:p>
        </w:tc>
      </w:tr>
      <w:tr>
        <w:trPr>
          <w:trHeight w:val="418"/>
        </w:trPr>
        <w:tc>
          <w:tcPr>
            <w:tcW w:w="4180" w:type="dxa"/>
            <w:vAlign w:val="bottom"/>
          </w:tcPr>
          <w:p>
            <w:pPr>
              <w:ind w:left="660"/>
              <w:spacing w:after="0"/>
              <w:rPr>
                <w:sz w:val="20"/>
                <w:szCs w:val="20"/>
                <w:color w:val="auto"/>
              </w:rPr>
            </w:pPr>
            <w:r>
              <w:rPr>
                <w:rFonts w:ascii="Arial" w:cs="Arial" w:eastAsia="Arial" w:hAnsi="Arial"/>
                <w:sz w:val="18"/>
                <w:szCs w:val="18"/>
                <w:color w:val="auto"/>
              </w:rPr>
              <w:t>Cash Settlement Averaging Period:</w:t>
            </w:r>
          </w:p>
        </w:tc>
        <w:tc>
          <w:tcPr>
            <w:tcW w:w="7280" w:type="dxa"/>
            <w:vAlign w:val="bottom"/>
          </w:tcPr>
          <w:p>
            <w:pPr>
              <w:ind w:left="980"/>
              <w:spacing w:after="0"/>
              <w:rPr>
                <w:sz w:val="20"/>
                <w:szCs w:val="20"/>
                <w:color w:val="auto"/>
              </w:rPr>
            </w:pPr>
            <w:r>
              <w:rPr>
                <w:rFonts w:ascii="Arial" w:cs="Arial" w:eastAsia="Arial" w:hAnsi="Arial"/>
                <w:sz w:val="18"/>
                <w:szCs w:val="18"/>
                <w:color w:val="auto"/>
                <w:w w:val="99"/>
              </w:rPr>
              <w:t>The 40 “Trading Days” (as defined in the Indenture) commencing on (I) the third</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2"/>
              </w:rPr>
              <w:t>“Trading Day” (as defined in the Indenture) after the Conversion Date for conversions</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9"/>
              </w:rPr>
              <w:t>with a related Conversion Date occurring prior to the Final Conversion Period or</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(II) the 41st “Scheduled Trading Day” (as defined in the Indenture) prior to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“Maturity Date” (as defined in the Indenture) for conversions with a related</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 xml:space="preserve">Conversion Date occurring during the Final Conversion Period;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in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89"/>
              </w:rPr>
              <w:t>case of a Deemed Cash Election, the Cash Settlement Averaging Period shall be the 80</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“Trading Days” (as defined in the Indenture) commencing on (I) the second “Trading</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Day” (as defined in the Indenture) after the Conversion Date for conversions with a</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8"/>
              </w:rPr>
              <w:t>related Conversion Date occurring prior to the Final Conversion Period or (II)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line="216" w:lineRule="exact"/>
              <w:rPr>
                <w:sz w:val="20"/>
                <w:szCs w:val="20"/>
                <w:color w:val="auto"/>
              </w:rPr>
            </w:pPr>
            <w:r>
              <w:rPr>
                <w:rFonts w:ascii="Arial" w:cs="Arial" w:eastAsia="Arial" w:hAnsi="Arial"/>
                <w:sz w:val="18"/>
                <w:szCs w:val="18"/>
                <w:color w:val="auto"/>
                <w:w w:val="98"/>
              </w:rPr>
              <w:t>82</w:t>
            </w:r>
            <w:r>
              <w:rPr>
                <w:rFonts w:ascii="Arial" w:cs="Arial" w:eastAsia="Arial" w:hAnsi="Arial"/>
                <w:sz w:val="23"/>
                <w:szCs w:val="23"/>
                <w:color w:val="auto"/>
                <w:w w:val="98"/>
                <w:vertAlign w:val="superscript"/>
              </w:rPr>
              <w:t>nd</w:t>
            </w:r>
            <w:r>
              <w:rPr>
                <w:rFonts w:ascii="Arial" w:cs="Arial" w:eastAsia="Arial" w:hAnsi="Arial"/>
                <w:sz w:val="18"/>
                <w:szCs w:val="18"/>
                <w:color w:val="auto"/>
                <w:w w:val="98"/>
              </w:rPr>
              <w:t xml:space="preserve"> “Scheduled Trading Day” (as defined in the Indenture) prior to the “Maturity</w:t>
            </w:r>
          </w:p>
        </w:tc>
      </w:tr>
      <w:tr>
        <w:trPr>
          <w:trHeight w:val="230"/>
        </w:trPr>
        <w:tc>
          <w:tcPr>
            <w:tcW w:w="4180" w:type="dxa"/>
            <w:vAlign w:val="bottom"/>
          </w:tcPr>
          <w:p>
            <w:pPr>
              <w:spacing w:after="0"/>
              <w:rPr>
                <w:sz w:val="20"/>
                <w:szCs w:val="20"/>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Date” (as defined in the Indenture) for</w:t>
            </w:r>
          </w:p>
        </w:tc>
      </w:tr>
      <w:tr>
        <w:trPr>
          <w:trHeight w:val="432"/>
        </w:trPr>
        <w:tc>
          <w:tcPr>
            <w:tcW w:w="4180" w:type="dxa"/>
            <w:vAlign w:val="bottom"/>
          </w:tcPr>
          <w:p>
            <w:pPr>
              <w:spacing w:after="0"/>
              <w:rPr>
                <w:sz w:val="24"/>
                <w:szCs w:val="24"/>
                <w:color w:val="auto"/>
              </w:rPr>
            </w:pPr>
          </w:p>
        </w:tc>
        <w:tc>
          <w:tcPr>
            <w:tcW w:w="7280" w:type="dxa"/>
            <w:vAlign w:val="bottom"/>
          </w:tcPr>
          <w:p>
            <w:pPr>
              <w:ind w:left="1480"/>
              <w:spacing w:after="0"/>
              <w:rPr>
                <w:sz w:val="20"/>
                <w:szCs w:val="20"/>
                <w:color w:val="auto"/>
              </w:rPr>
            </w:pPr>
            <w:r>
              <w:rPr>
                <w:rFonts w:ascii="Arial" w:cs="Arial" w:eastAsia="Arial" w:hAnsi="Arial"/>
                <w:sz w:val="18"/>
                <w:szCs w:val="18"/>
                <w:color w:val="auto"/>
              </w:rPr>
              <w:t>7</w:t>
            </w:r>
          </w:p>
        </w:tc>
      </w:tr>
      <w:tr>
        <w:trPr>
          <w:trHeight w:val="132"/>
        </w:trPr>
        <w:tc>
          <w:tcPr>
            <w:tcW w:w="418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w w:val="95"/>
              </w:rPr>
              <w:t>conversions with a related Conversion Date occurring during the Final Conversion</w:t>
            </w:r>
          </w:p>
        </w:tc>
      </w:tr>
      <w:tr>
        <w:trPr>
          <w:trHeight w:val="230"/>
        </w:trPr>
        <w:tc>
          <w:tcPr>
            <w:tcW w:w="434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Period.</w:t>
            </w:r>
          </w:p>
        </w:tc>
      </w:tr>
      <w:tr>
        <w:trPr>
          <w:trHeight w:val="418"/>
        </w:trPr>
        <w:tc>
          <w:tcPr>
            <w:tcW w:w="4340" w:type="dxa"/>
            <w:vAlign w:val="bottom"/>
          </w:tcPr>
          <w:p>
            <w:pPr>
              <w:ind w:left="660"/>
              <w:spacing w:after="0"/>
              <w:rPr>
                <w:sz w:val="20"/>
                <w:szCs w:val="20"/>
                <w:color w:val="auto"/>
              </w:rPr>
            </w:pPr>
            <w:r>
              <w:rPr>
                <w:rFonts w:ascii="Arial" w:cs="Arial" w:eastAsia="Arial" w:hAnsi="Arial"/>
                <w:sz w:val="18"/>
                <w:szCs w:val="18"/>
                <w:color w:val="auto"/>
              </w:rPr>
              <w:t>Settlement Method Election Provisions:</w:t>
            </w:r>
          </w:p>
        </w:tc>
        <w:tc>
          <w:tcPr>
            <w:tcW w:w="7120" w:type="dxa"/>
            <w:vAlign w:val="bottom"/>
          </w:tcPr>
          <w:p>
            <w:pPr>
              <w:ind w:left="820"/>
              <w:spacing w:after="0"/>
              <w:rPr>
                <w:sz w:val="20"/>
                <w:szCs w:val="20"/>
                <w:color w:val="auto"/>
              </w:rPr>
            </w:pPr>
            <w:r>
              <w:rPr>
                <w:rFonts w:ascii="Arial" w:cs="Arial" w:eastAsia="Arial" w:hAnsi="Arial"/>
                <w:sz w:val="18"/>
                <w:szCs w:val="18"/>
                <w:color w:val="auto"/>
              </w:rPr>
              <w:t>In order for the Applicable Settlement Method to be the Convertible Securities</w:t>
            </w:r>
          </w:p>
        </w:tc>
      </w:tr>
      <w:tr>
        <w:trPr>
          <w:trHeight w:val="216"/>
        </w:trPr>
        <w:tc>
          <w:tcPr>
            <w:tcW w:w="434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Settlement Method in accordance with “Applicable Settlement Method” above, the</w:t>
            </w:r>
          </w:p>
        </w:tc>
      </w:tr>
      <w:tr>
        <w:trPr>
          <w:trHeight w:val="216"/>
        </w:trPr>
        <w:tc>
          <w:tcPr>
            <w:tcW w:w="434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related Notice of Exercise (or Notice of Final Convertible Security Settlement</w:t>
            </w:r>
          </w:p>
        </w:tc>
      </w:tr>
      <w:tr>
        <w:trPr>
          <w:trHeight w:val="216"/>
        </w:trPr>
        <w:tc>
          <w:tcPr>
            <w:tcW w:w="434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1"/>
              </w:rPr>
              <w:t>Method, as the case may be) must contain in writing the following representations and</w:t>
            </w:r>
          </w:p>
        </w:tc>
      </w:tr>
      <w:tr>
        <w:trPr>
          <w:trHeight w:val="230"/>
        </w:trPr>
        <w:tc>
          <w:tcPr>
            <w:tcW w:w="434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warranties from Counterparty to Dealer as of such notice delivery date:</w:t>
            </w:r>
          </w:p>
        </w:tc>
      </w:tr>
      <w:tr>
        <w:trPr>
          <w:trHeight w:val="418"/>
        </w:trPr>
        <w:tc>
          <w:tcPr>
            <w:tcW w:w="4340" w:type="dxa"/>
            <w:vAlign w:val="bottom"/>
          </w:tcPr>
          <w:p>
            <w:pPr>
              <w:spacing w:after="0"/>
              <w:rPr>
                <w:sz w:val="24"/>
                <w:szCs w:val="24"/>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3"/>
              </w:rPr>
              <w:t>(i) none of Counterparty and its officers or directors, or any person that controls,</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rPr>
              <w:t>potentially controls, or otherwise exercises influence over, Counterparty’s</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7"/>
              </w:rPr>
              <w:t>decision to elect the Convertible Security Settlement Method is aware of any</w:t>
            </w:r>
          </w:p>
        </w:tc>
      </w:tr>
      <w:tr>
        <w:trPr>
          <w:trHeight w:val="230"/>
        </w:trPr>
        <w:tc>
          <w:tcPr>
            <w:tcW w:w="4340" w:type="dxa"/>
            <w:vAlign w:val="bottom"/>
          </w:tcPr>
          <w:p>
            <w:pPr>
              <w:spacing w:after="0"/>
              <w:rPr>
                <w:sz w:val="20"/>
                <w:szCs w:val="20"/>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rPr>
              <w:t>material nonpublic information regarding Counterparty or the Shares;</w:t>
            </w:r>
          </w:p>
        </w:tc>
      </w:tr>
      <w:tr>
        <w:trPr>
          <w:trHeight w:val="418"/>
        </w:trPr>
        <w:tc>
          <w:tcPr>
            <w:tcW w:w="4340" w:type="dxa"/>
            <w:vAlign w:val="bottom"/>
          </w:tcPr>
          <w:p>
            <w:pPr>
              <w:spacing w:after="0"/>
              <w:rPr>
                <w:sz w:val="24"/>
                <w:szCs w:val="24"/>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3"/>
              </w:rPr>
              <w:t>(ii) Counterparty is electing the Convertible Security Settlement Method in good</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8"/>
              </w:rPr>
              <w:t>faith and not as part of a plan or scheme to evade compliance with the U.S.</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7"/>
              </w:rPr>
              <w:t>federal securities laws; Counterparty is not electing the Convertible Security</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3"/>
              </w:rPr>
              <w:t>Settlement Method to create actual or apparent trading activity in the Shares (or</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0"/>
              </w:rPr>
              <w:t>any security convertible into or exchangeable for Shares) or to raise or depress or</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3"/>
              </w:rPr>
              <w:t>otherwise manipulate the price of the Shares (or any security convertible into or</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7"/>
              </w:rPr>
              <w:t>exchangeable for Shares) or otherwise in violation of the Exchange Act; and</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3"/>
              </w:rPr>
              <w:t>Counterparty has not entered into or altered any hedging transaction relating to</w:t>
            </w:r>
          </w:p>
        </w:tc>
      </w:tr>
      <w:tr>
        <w:trPr>
          <w:trHeight w:val="230"/>
        </w:trPr>
        <w:tc>
          <w:tcPr>
            <w:tcW w:w="4340" w:type="dxa"/>
            <w:vAlign w:val="bottom"/>
          </w:tcPr>
          <w:p>
            <w:pPr>
              <w:spacing w:after="0"/>
              <w:rPr>
                <w:sz w:val="20"/>
                <w:szCs w:val="20"/>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rPr>
              <w:t>the Shares corresponding to or offsetting the Transaction;</w:t>
            </w:r>
          </w:p>
        </w:tc>
      </w:tr>
      <w:tr>
        <w:trPr>
          <w:trHeight w:val="418"/>
        </w:trPr>
        <w:tc>
          <w:tcPr>
            <w:tcW w:w="4340" w:type="dxa"/>
            <w:vAlign w:val="bottom"/>
          </w:tcPr>
          <w:p>
            <w:pPr>
              <w:spacing w:after="0"/>
              <w:rPr>
                <w:sz w:val="24"/>
                <w:szCs w:val="24"/>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1"/>
              </w:rPr>
              <w:t>(iii) Counterparty has the power to make such election and to execute and deliver</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rPr>
              <w:t>any documentation relating to such election that it is required by this</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7"/>
              </w:rPr>
              <w:t>Confirmation to deliver and to perform its obligations under this Confirmation</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1"/>
              </w:rPr>
              <w:t>and has taken all necessary action to authorize such election, execution, delivery</w:t>
            </w:r>
          </w:p>
        </w:tc>
      </w:tr>
      <w:tr>
        <w:trPr>
          <w:trHeight w:val="230"/>
        </w:trPr>
        <w:tc>
          <w:tcPr>
            <w:tcW w:w="4340" w:type="dxa"/>
            <w:vAlign w:val="bottom"/>
          </w:tcPr>
          <w:p>
            <w:pPr>
              <w:spacing w:after="0"/>
              <w:rPr>
                <w:sz w:val="20"/>
                <w:szCs w:val="20"/>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rPr>
              <w:t>and performance;</w:t>
            </w:r>
          </w:p>
        </w:tc>
      </w:tr>
      <w:tr>
        <w:trPr>
          <w:trHeight w:val="418"/>
        </w:trPr>
        <w:tc>
          <w:tcPr>
            <w:tcW w:w="4340" w:type="dxa"/>
            <w:vAlign w:val="bottom"/>
          </w:tcPr>
          <w:p>
            <w:pPr>
              <w:spacing w:after="0"/>
              <w:rPr>
                <w:sz w:val="24"/>
                <w:szCs w:val="24"/>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4"/>
              </w:rPr>
              <w:t>(iv) such election and performance of its obligations under this Confirmation do</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rPr>
              <w:t>not violate or conflict with any law applicable to it, any provision of its</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3"/>
              </w:rPr>
              <w:t>constitutional documents, any order or judgment of any court or other agency of</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8"/>
              </w:rPr>
              <w:t>government applicable to it or any of its assets or any contractual restriction</w:t>
            </w:r>
          </w:p>
        </w:tc>
      </w:tr>
      <w:tr>
        <w:trPr>
          <w:trHeight w:val="230"/>
        </w:trPr>
        <w:tc>
          <w:tcPr>
            <w:tcW w:w="4340" w:type="dxa"/>
            <w:vAlign w:val="bottom"/>
          </w:tcPr>
          <w:p>
            <w:pPr>
              <w:spacing w:after="0"/>
              <w:rPr>
                <w:sz w:val="20"/>
                <w:szCs w:val="20"/>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rPr>
              <w:t>binding on or affecting it or any of its assets; and</w:t>
            </w:r>
          </w:p>
        </w:tc>
      </w:tr>
      <w:tr>
        <w:trPr>
          <w:trHeight w:val="418"/>
        </w:trPr>
        <w:tc>
          <w:tcPr>
            <w:tcW w:w="4340" w:type="dxa"/>
            <w:vAlign w:val="bottom"/>
          </w:tcPr>
          <w:p>
            <w:pPr>
              <w:spacing w:after="0"/>
              <w:rPr>
                <w:sz w:val="24"/>
                <w:szCs w:val="24"/>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0"/>
              </w:rPr>
              <w:t>(v) any transaction that Dealer makes with respect to the Shares during the period</w:t>
            </w:r>
          </w:p>
        </w:tc>
      </w:tr>
      <w:tr>
        <w:trPr>
          <w:trHeight w:val="216"/>
        </w:trPr>
        <w:tc>
          <w:tcPr>
            <w:tcW w:w="4340" w:type="dxa"/>
            <w:vAlign w:val="bottom"/>
          </w:tcPr>
          <w:p>
            <w:pPr>
              <w:spacing w:after="0"/>
              <w:rPr>
                <w:sz w:val="18"/>
                <w:szCs w:val="18"/>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w w:val="95"/>
              </w:rPr>
              <w:t>beginning at the time that Counterparty delivers such notice and ending at the</w:t>
            </w:r>
          </w:p>
        </w:tc>
      </w:tr>
      <w:tr>
        <w:trPr>
          <w:trHeight w:val="230"/>
        </w:trPr>
        <w:tc>
          <w:tcPr>
            <w:tcW w:w="4340" w:type="dxa"/>
            <w:vAlign w:val="bottom"/>
          </w:tcPr>
          <w:p>
            <w:pPr>
              <w:spacing w:after="0"/>
              <w:rPr>
                <w:sz w:val="20"/>
                <w:szCs w:val="20"/>
                <w:color w:val="auto"/>
              </w:rPr>
            </w:pPr>
          </w:p>
        </w:tc>
        <w:tc>
          <w:tcPr>
            <w:tcW w:w="7120" w:type="dxa"/>
            <w:vAlign w:val="bottom"/>
          </w:tcPr>
          <w:p>
            <w:pPr>
              <w:ind w:left="1200"/>
              <w:spacing w:after="0"/>
              <w:rPr>
                <w:sz w:val="20"/>
                <w:szCs w:val="20"/>
                <w:color w:val="auto"/>
              </w:rPr>
            </w:pPr>
            <w:r>
              <w:rPr>
                <w:rFonts w:ascii="Arial" w:cs="Arial" w:eastAsia="Arial" w:hAnsi="Arial"/>
                <w:sz w:val="18"/>
                <w:szCs w:val="18"/>
                <w:color w:val="auto"/>
              </w:rPr>
              <w:t>close of business on the final</w:t>
            </w:r>
          </w:p>
        </w:tc>
      </w:tr>
      <w:tr>
        <w:trPr>
          <w:trHeight w:val="432"/>
        </w:trPr>
        <w:tc>
          <w:tcPr>
            <w:tcW w:w="4340" w:type="dxa"/>
            <w:vAlign w:val="bottom"/>
          </w:tcPr>
          <w:p>
            <w:pPr>
              <w:spacing w:after="0"/>
              <w:rPr>
                <w:sz w:val="24"/>
                <w:szCs w:val="24"/>
                <w:color w:val="auto"/>
              </w:rPr>
            </w:pPr>
          </w:p>
        </w:tc>
        <w:tc>
          <w:tcPr>
            <w:tcW w:w="7120" w:type="dxa"/>
            <w:vAlign w:val="bottom"/>
          </w:tcPr>
          <w:p>
            <w:pPr>
              <w:ind w:left="1320"/>
              <w:spacing w:after="0"/>
              <w:rPr>
                <w:sz w:val="20"/>
                <w:szCs w:val="20"/>
                <w:color w:val="auto"/>
              </w:rPr>
            </w:pPr>
            <w:r>
              <w:rPr>
                <w:rFonts w:ascii="Arial" w:cs="Arial" w:eastAsia="Arial" w:hAnsi="Arial"/>
                <w:sz w:val="18"/>
                <w:szCs w:val="18"/>
                <w:color w:val="auto"/>
              </w:rPr>
              <w:t>8</w:t>
            </w:r>
          </w:p>
        </w:tc>
      </w:tr>
      <w:tr>
        <w:trPr>
          <w:trHeight w:val="132"/>
        </w:trPr>
        <w:tc>
          <w:tcPr>
            <w:tcW w:w="4340" w:type="dxa"/>
            <w:vAlign w:val="bottom"/>
            <w:tcBorders>
              <w:bottom w:val="single" w:sz="8" w:color="808080"/>
            </w:tcBorders>
          </w:tcPr>
          <w:p>
            <w:pPr>
              <w:spacing w:after="0"/>
              <w:rPr>
                <w:sz w:val="11"/>
                <w:szCs w:val="11"/>
                <w:color w:val="auto"/>
              </w:rPr>
            </w:pPr>
          </w:p>
        </w:tc>
        <w:tc>
          <w:tcPr>
            <w:tcW w:w="7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7040" w:type="dxa"/>
            <w:vAlign w:val="bottom"/>
          </w:tcPr>
          <w:p>
            <w:pPr>
              <w:ind w:left="1120"/>
              <w:spacing w:after="0"/>
              <w:rPr>
                <w:sz w:val="20"/>
                <w:szCs w:val="20"/>
                <w:color w:val="auto"/>
              </w:rPr>
            </w:pPr>
            <w:r>
              <w:rPr>
                <w:rFonts w:ascii="Arial" w:cs="Arial" w:eastAsia="Arial" w:hAnsi="Arial"/>
                <w:sz w:val="18"/>
                <w:szCs w:val="18"/>
                <w:color w:val="auto"/>
                <w:w w:val="90"/>
              </w:rPr>
              <w:t>day of the Cash Settlement Averaging Period shall be made by Dealer at Dealer’s</w:t>
            </w:r>
          </w:p>
        </w:tc>
      </w:tr>
      <w:tr>
        <w:trPr>
          <w:trHeight w:val="216"/>
        </w:trPr>
        <w:tc>
          <w:tcPr>
            <w:tcW w:w="4420" w:type="dxa"/>
            <w:vAlign w:val="bottom"/>
          </w:tcPr>
          <w:p>
            <w:pPr>
              <w:spacing w:after="0"/>
              <w:rPr>
                <w:sz w:val="18"/>
                <w:szCs w:val="18"/>
                <w:color w:val="auto"/>
              </w:rPr>
            </w:pPr>
          </w:p>
        </w:tc>
        <w:tc>
          <w:tcPr>
            <w:tcW w:w="7040" w:type="dxa"/>
            <w:vAlign w:val="bottom"/>
          </w:tcPr>
          <w:p>
            <w:pPr>
              <w:ind w:left="1120"/>
              <w:spacing w:after="0"/>
              <w:rPr>
                <w:sz w:val="20"/>
                <w:szCs w:val="20"/>
                <w:color w:val="auto"/>
              </w:rPr>
            </w:pPr>
            <w:r>
              <w:rPr>
                <w:rFonts w:ascii="Arial" w:cs="Arial" w:eastAsia="Arial" w:hAnsi="Arial"/>
                <w:sz w:val="18"/>
                <w:szCs w:val="18"/>
                <w:color w:val="auto"/>
                <w:w w:val="95"/>
              </w:rPr>
              <w:t>sole discretion for Dealer’s own account and Counterparty shall not have, and</w:t>
            </w:r>
          </w:p>
        </w:tc>
      </w:tr>
      <w:tr>
        <w:trPr>
          <w:trHeight w:val="216"/>
        </w:trPr>
        <w:tc>
          <w:tcPr>
            <w:tcW w:w="4420" w:type="dxa"/>
            <w:vAlign w:val="bottom"/>
          </w:tcPr>
          <w:p>
            <w:pPr>
              <w:spacing w:after="0"/>
              <w:rPr>
                <w:sz w:val="18"/>
                <w:szCs w:val="18"/>
                <w:color w:val="auto"/>
              </w:rPr>
            </w:pPr>
          </w:p>
        </w:tc>
        <w:tc>
          <w:tcPr>
            <w:tcW w:w="7040" w:type="dxa"/>
            <w:vAlign w:val="bottom"/>
          </w:tcPr>
          <w:p>
            <w:pPr>
              <w:ind w:left="1120"/>
              <w:spacing w:after="0"/>
              <w:rPr>
                <w:sz w:val="20"/>
                <w:szCs w:val="20"/>
                <w:color w:val="auto"/>
              </w:rPr>
            </w:pPr>
            <w:r>
              <w:rPr>
                <w:rFonts w:ascii="Arial" w:cs="Arial" w:eastAsia="Arial" w:hAnsi="Arial"/>
                <w:sz w:val="18"/>
                <w:szCs w:val="18"/>
                <w:color w:val="auto"/>
                <w:w w:val="93"/>
              </w:rPr>
              <w:t>shall not attempt to exercise, any influence over how, when, whether or at what</w:t>
            </w:r>
          </w:p>
        </w:tc>
      </w:tr>
      <w:tr>
        <w:trPr>
          <w:trHeight w:val="216"/>
        </w:trPr>
        <w:tc>
          <w:tcPr>
            <w:tcW w:w="4420" w:type="dxa"/>
            <w:vAlign w:val="bottom"/>
          </w:tcPr>
          <w:p>
            <w:pPr>
              <w:spacing w:after="0"/>
              <w:rPr>
                <w:sz w:val="18"/>
                <w:szCs w:val="18"/>
                <w:color w:val="auto"/>
              </w:rPr>
            </w:pPr>
          </w:p>
        </w:tc>
        <w:tc>
          <w:tcPr>
            <w:tcW w:w="7040" w:type="dxa"/>
            <w:vAlign w:val="bottom"/>
          </w:tcPr>
          <w:p>
            <w:pPr>
              <w:ind w:left="1120"/>
              <w:spacing w:after="0"/>
              <w:rPr>
                <w:sz w:val="20"/>
                <w:szCs w:val="20"/>
                <w:color w:val="auto"/>
              </w:rPr>
            </w:pPr>
            <w:r>
              <w:rPr>
                <w:rFonts w:ascii="Arial" w:cs="Arial" w:eastAsia="Arial" w:hAnsi="Arial"/>
                <w:sz w:val="18"/>
                <w:szCs w:val="18"/>
                <w:color w:val="auto"/>
                <w:w w:val="96"/>
              </w:rPr>
              <w:t>price Dealer effects such transactions, including, without limitation, the prices</w:t>
            </w:r>
          </w:p>
        </w:tc>
      </w:tr>
      <w:tr>
        <w:trPr>
          <w:trHeight w:val="216"/>
        </w:trPr>
        <w:tc>
          <w:tcPr>
            <w:tcW w:w="4420" w:type="dxa"/>
            <w:vAlign w:val="bottom"/>
          </w:tcPr>
          <w:p>
            <w:pPr>
              <w:spacing w:after="0"/>
              <w:rPr>
                <w:sz w:val="18"/>
                <w:szCs w:val="18"/>
                <w:color w:val="auto"/>
              </w:rPr>
            </w:pPr>
          </w:p>
        </w:tc>
        <w:tc>
          <w:tcPr>
            <w:tcW w:w="7040" w:type="dxa"/>
            <w:vAlign w:val="bottom"/>
          </w:tcPr>
          <w:p>
            <w:pPr>
              <w:ind w:left="1120"/>
              <w:spacing w:after="0"/>
              <w:rPr>
                <w:sz w:val="20"/>
                <w:szCs w:val="20"/>
                <w:color w:val="auto"/>
              </w:rPr>
            </w:pPr>
            <w:r>
              <w:rPr>
                <w:rFonts w:ascii="Arial" w:cs="Arial" w:eastAsia="Arial" w:hAnsi="Arial"/>
                <w:sz w:val="18"/>
                <w:szCs w:val="18"/>
                <w:color w:val="auto"/>
                <w:w w:val="93"/>
              </w:rPr>
              <w:t>paid or received by Dealer per Share pursuant to such transactions, or whether</w:t>
            </w:r>
          </w:p>
        </w:tc>
      </w:tr>
      <w:tr>
        <w:trPr>
          <w:trHeight w:val="230"/>
        </w:trPr>
        <w:tc>
          <w:tcPr>
            <w:tcW w:w="4420" w:type="dxa"/>
            <w:vAlign w:val="bottom"/>
          </w:tcPr>
          <w:p>
            <w:pPr>
              <w:spacing w:after="0"/>
              <w:rPr>
                <w:sz w:val="20"/>
                <w:szCs w:val="20"/>
                <w:color w:val="auto"/>
              </w:rPr>
            </w:pPr>
          </w:p>
        </w:tc>
        <w:tc>
          <w:tcPr>
            <w:tcW w:w="7040" w:type="dxa"/>
            <w:vAlign w:val="bottom"/>
          </w:tcPr>
          <w:p>
            <w:pPr>
              <w:ind w:left="1120"/>
              <w:spacing w:after="0"/>
              <w:rPr>
                <w:sz w:val="20"/>
                <w:szCs w:val="20"/>
                <w:color w:val="auto"/>
              </w:rPr>
            </w:pPr>
            <w:r>
              <w:rPr>
                <w:rFonts w:ascii="Arial" w:cs="Arial" w:eastAsia="Arial" w:hAnsi="Arial"/>
                <w:sz w:val="18"/>
                <w:szCs w:val="18"/>
                <w:color w:val="auto"/>
              </w:rPr>
              <w:t>such transactions are made on any securities exchange or privately.</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Notice of Delivery Obligation:</w:t>
            </w: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No later than the Exchange Business Day immediately following the last day of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3"/>
              </w:rPr>
              <w:t>relevant Cash Settlement Averaging Period, Counterparty shall give Dealer notice of</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the final number of Shares and/or amount of cash included in the Total Convertible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 xml:space="preserve">Share Obligation Value (as defined below);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with respect to any Exercise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3"/>
              </w:rPr>
              <w:t>Date occurring during the Final Conversion Period, Counterparty may provide Dealer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0"/>
              </w:rPr>
              <w:t>with a single notice of the aggregate number of Shares and/or amount of cash included</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9"/>
              </w:rPr>
              <w:t>in the Total Convertible Share Obligation Value for all Exercise Dates occurring</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during such period (it being understood, for the avoidance of doubt, that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9"/>
              </w:rPr>
              <w:t>requirement of Counterparty to deliver such notice shall not limit Counterparty’s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obligations with respect to a Notice of Exercise or Notice of Final Convertible</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Security Settlement Method, as the case may be, as set forth above, in any way).</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Net Convertible Share Obligation Value:</w:t>
            </w:r>
          </w:p>
        </w:tc>
        <w:tc>
          <w:tcPr>
            <w:tcW w:w="7040" w:type="dxa"/>
            <w:vAlign w:val="bottom"/>
          </w:tcPr>
          <w:p>
            <w:pPr>
              <w:ind w:left="740"/>
              <w:spacing w:after="0"/>
              <w:rPr>
                <w:sz w:val="20"/>
                <w:szCs w:val="20"/>
                <w:color w:val="auto"/>
              </w:rPr>
            </w:pPr>
            <w:r>
              <w:rPr>
                <w:rFonts w:ascii="Arial" w:cs="Arial" w:eastAsia="Arial" w:hAnsi="Arial"/>
                <w:sz w:val="18"/>
                <w:szCs w:val="18"/>
                <w:color w:val="auto"/>
                <w:w w:val="93"/>
              </w:rPr>
              <w:t>With respect to Relevant Convertible Securities as to a Conversion Date, the product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of (i) the Applicable Percentage and (ii)(A) the Total Convertible Share Obligation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 xml:space="preserve">Value of such Relevant Convertible Securities for such Conversion Date </w:t>
            </w:r>
            <w:r>
              <w:rPr>
                <w:rFonts w:ascii="Arial" w:cs="Arial" w:eastAsia="Arial" w:hAnsi="Arial"/>
                <w:sz w:val="18"/>
                <w:szCs w:val="18"/>
                <w:i w:val="1"/>
                <w:iCs w:val="1"/>
                <w:color w:val="auto"/>
                <w:w w:val="91"/>
              </w:rPr>
              <w:t>minus</w:t>
            </w:r>
            <w:r>
              <w:rPr>
                <w:rFonts w:ascii="Arial" w:cs="Arial" w:eastAsia="Arial" w:hAnsi="Arial"/>
                <w:sz w:val="18"/>
                <w:szCs w:val="18"/>
                <w:color w:val="auto"/>
                <w:w w:val="91"/>
              </w:rPr>
              <w:t xml:space="preserve"> (B)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aggregate principal amount of such Relevant Convertible Securities for such</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Conversion Date.</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Total Convertible Share Obligation Value:</w:t>
            </w: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With respect to Relevant Convertible Securities with respect to a Conversion Date,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(i) (A) the number of Shares equal to the aggregate number of Shares that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Counterparty is obligated to deliver to the holder(s) of Relevant Convertible Securities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for such Conversion Date pursuant to the Indenture (it being understood that such</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number of Shares shall be determined taking into consideration any rounding pursuant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 xml:space="preserve">to Section 5.03(B)(ii) of the Indenture) </w:t>
            </w:r>
            <w:r>
              <w:rPr>
                <w:rFonts w:ascii="Arial" w:cs="Arial" w:eastAsia="Arial" w:hAnsi="Arial"/>
                <w:sz w:val="18"/>
                <w:szCs w:val="18"/>
                <w:i w:val="1"/>
                <w:iCs w:val="1"/>
                <w:color w:val="auto"/>
                <w:w w:val="95"/>
              </w:rPr>
              <w:t>multiplied by</w:t>
            </w:r>
            <w:r>
              <w:rPr>
                <w:rFonts w:ascii="Arial" w:cs="Arial" w:eastAsia="Arial" w:hAnsi="Arial"/>
                <w:sz w:val="18"/>
                <w:szCs w:val="18"/>
                <w:color w:val="auto"/>
                <w:w w:val="95"/>
              </w:rPr>
              <w:t xml:space="preserve"> (B) the Share Obligation Value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 xml:space="preserve">Price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an amount of cash equal to the aggregate amount of cash that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Counterparty is obligated to deliver to the holder(s) of Relevant Convertible Securities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for such Conversion Date pursuant to the Indenture (including, for the avoidance of</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doubt, any cash payable by Counterparty in lieu of fractional</w:t>
            </w:r>
          </w:p>
        </w:tc>
      </w:tr>
      <w:tr>
        <w:trPr>
          <w:trHeight w:val="432"/>
        </w:trPr>
        <w:tc>
          <w:tcPr>
            <w:tcW w:w="4420" w:type="dxa"/>
            <w:vAlign w:val="bottom"/>
          </w:tcPr>
          <w:p>
            <w:pPr>
              <w:spacing w:after="0"/>
              <w:rPr>
                <w:sz w:val="24"/>
                <w:szCs w:val="24"/>
                <w:color w:val="auto"/>
              </w:rPr>
            </w:pPr>
          </w:p>
        </w:tc>
        <w:tc>
          <w:tcPr>
            <w:tcW w:w="7040" w:type="dxa"/>
            <w:vAlign w:val="bottom"/>
          </w:tcPr>
          <w:p>
            <w:pPr>
              <w:ind w:left="1240"/>
              <w:spacing w:after="0"/>
              <w:rPr>
                <w:sz w:val="20"/>
                <w:szCs w:val="20"/>
                <w:color w:val="auto"/>
              </w:rPr>
            </w:pPr>
            <w:r>
              <w:rPr>
                <w:rFonts w:ascii="Arial" w:cs="Arial" w:eastAsia="Arial" w:hAnsi="Arial"/>
                <w:sz w:val="18"/>
                <w:szCs w:val="18"/>
                <w:color w:val="auto"/>
              </w:rPr>
              <w:t>9</w:t>
            </w:r>
          </w:p>
        </w:tc>
      </w:tr>
      <w:tr>
        <w:trPr>
          <w:trHeight w:val="132"/>
        </w:trPr>
        <w:tc>
          <w:tcPr>
            <w:tcW w:w="442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Convertible Share Obligation Value shall be</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1"/>
              </w:rPr>
              <w:t>determined excluding any Shares and/or cash that Counterparty is obligated to deliver</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3"/>
              </w:rPr>
              <w:t>to holder(s) of the Relevant Convertible Securities as a direct or indirect result of any</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0"/>
              </w:rPr>
              <w:t>adjustments to the Conversion Rate pursuant to a Fundamental Change Adjustment or</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4"/>
              </w:rPr>
              <w:t>a Discretionary Adjustment and any interest payment that Counterparty is (or would</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3"/>
              </w:rPr>
              <w:t>have been) obligated to deliver to holder(s) of the Relevant Convertible Securities for</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such Conversion Date.</w:t>
            </w: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color w:val="auto"/>
              </w:rPr>
              <w:t>Share Obligation Value Price:</w:t>
            </w:r>
          </w:p>
        </w:tc>
        <w:tc>
          <w:tcPr>
            <w:tcW w:w="7460" w:type="dxa"/>
            <w:vAlign w:val="bottom"/>
          </w:tcPr>
          <w:p>
            <w:pPr>
              <w:ind w:left="1160"/>
              <w:spacing w:after="0"/>
              <w:rPr>
                <w:sz w:val="20"/>
                <w:szCs w:val="20"/>
                <w:color w:val="auto"/>
              </w:rPr>
            </w:pPr>
            <w:r>
              <w:rPr>
                <w:rFonts w:ascii="Arial" w:cs="Arial" w:eastAsia="Arial" w:hAnsi="Arial"/>
                <w:sz w:val="18"/>
                <w:szCs w:val="18"/>
                <w:color w:val="auto"/>
                <w:w w:val="92"/>
              </w:rPr>
              <w:t>The opening price as displayed under the heading “Op” on Bloomberg page “WGO.N</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3"/>
              </w:rPr>
              <w:t>&lt;Equity&gt;” (or any successor thereto) on the applicable Settlement Date or other date</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of delivery.</w:t>
            </w: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color w:val="auto"/>
              </w:rPr>
              <w:t>Other Applicable Provisions:</w:t>
            </w:r>
          </w:p>
        </w:tc>
        <w:tc>
          <w:tcPr>
            <w:tcW w:w="7460" w:type="dxa"/>
            <w:vAlign w:val="bottom"/>
          </w:tcPr>
          <w:p>
            <w:pPr>
              <w:ind w:left="1160"/>
              <w:spacing w:after="0"/>
              <w:rPr>
                <w:sz w:val="20"/>
                <w:szCs w:val="20"/>
                <w:color w:val="auto"/>
              </w:rPr>
            </w:pPr>
            <w:r>
              <w:rPr>
                <w:rFonts w:ascii="Arial" w:cs="Arial" w:eastAsia="Arial" w:hAnsi="Arial"/>
                <w:sz w:val="18"/>
                <w:szCs w:val="18"/>
                <w:color w:val="auto"/>
              </w:rPr>
              <w:t>To the extent Dealer is obligated to deliver Shares hereunder, the provisions of</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5"/>
              </w:rPr>
              <w:t>Sections 9.8, 9.9 and 9.11 of the Equity Definitions will be applicable as if “Physical</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 xml:space="preserve">Settlement” applied to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Representation and</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6"/>
              </w:rPr>
              <w:t>Agreement contained in Section 9.11 of the Equity Definitions shall be modified by</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2"/>
              </w:rPr>
              <w:t>excluding any representations therein relating to restrictions, obligations, limitations or</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6"/>
              </w:rPr>
              <w:t>requirements under applicable securities laws that exist as a result of the fact that</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Counterparty is the issuer of the Shares.</w:t>
            </w: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color w:val="auto"/>
              </w:rPr>
              <w:t>Restricted Certificated Shares:</w:t>
            </w:r>
          </w:p>
        </w:tc>
        <w:tc>
          <w:tcPr>
            <w:tcW w:w="7460" w:type="dxa"/>
            <w:vAlign w:val="bottom"/>
          </w:tcPr>
          <w:p>
            <w:pPr>
              <w:ind w:left="1160"/>
              <w:spacing w:after="0"/>
              <w:rPr>
                <w:sz w:val="20"/>
                <w:szCs w:val="20"/>
                <w:color w:val="auto"/>
              </w:rPr>
            </w:pPr>
            <w:r>
              <w:rPr>
                <w:rFonts w:ascii="Arial" w:cs="Arial" w:eastAsia="Arial" w:hAnsi="Arial"/>
                <w:sz w:val="18"/>
                <w:szCs w:val="18"/>
                <w:color w:val="auto"/>
                <w:w w:val="98"/>
              </w:rPr>
              <w:t>Notwithstanding anything to the contrary in the Equity Definitions, Dealer may, in</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2"/>
              </w:rPr>
              <w:t>whole or in part, deliver Shares required to be delivered to Counterparty hereunder in</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7"/>
              </w:rPr>
              <w:t>certificated form in lieu of delivery through the Clearance System. With respect to</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1"/>
              </w:rPr>
              <w:t>such certificated Shares, the Representation and Agreement contained in Section 9.11</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4"/>
              </w:rPr>
              <w:t>of the Equity Definitions shall be modified by deleting the remainder of the provision</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after the word “encumbrance” in the fourth line thereof.</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Adjustments:</w:t>
            </w:r>
          </w:p>
        </w:tc>
        <w:tc>
          <w:tcPr>
            <w:tcW w:w="7460" w:type="dxa"/>
            <w:vAlign w:val="bottom"/>
          </w:tcPr>
          <w:p>
            <w:pPr>
              <w:spacing w:after="0"/>
              <w:rPr>
                <w:sz w:val="24"/>
                <w:szCs w:val="24"/>
                <w:color w:val="auto"/>
              </w:rPr>
            </w:pP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color w:val="auto"/>
              </w:rPr>
              <w:t>Method of Adjustment:</w:t>
            </w:r>
          </w:p>
        </w:tc>
        <w:tc>
          <w:tcPr>
            <w:tcW w:w="7460" w:type="dxa"/>
            <w:vAlign w:val="bottom"/>
          </w:tcPr>
          <w:p>
            <w:pPr>
              <w:ind w:left="1160"/>
              <w:spacing w:after="0"/>
              <w:rPr>
                <w:sz w:val="20"/>
                <w:szCs w:val="20"/>
                <w:color w:val="auto"/>
              </w:rPr>
            </w:pPr>
            <w:r>
              <w:rPr>
                <w:rFonts w:ascii="Arial" w:cs="Arial" w:eastAsia="Arial" w:hAnsi="Arial"/>
                <w:sz w:val="18"/>
                <w:szCs w:val="18"/>
                <w:color w:val="auto"/>
                <w:w w:val="95"/>
              </w:rPr>
              <w:t>Notwithstanding Section 11.2 of the Equity Definitions, upon the occurrence of any</w:t>
            </w:r>
          </w:p>
        </w:tc>
      </w:tr>
      <w:tr>
        <w:trPr>
          <w:trHeight w:val="212"/>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event or condition set forth in Sections 5.05(A)(i), (ii), (iii), (iv) and (v), and</w:t>
            </w:r>
          </w:p>
        </w:tc>
      </w:tr>
      <w:tr>
        <w:trPr>
          <w:trHeight w:val="220"/>
        </w:trPr>
        <w:tc>
          <w:tcPr>
            <w:tcW w:w="4000" w:type="dxa"/>
            <w:vAlign w:val="bottom"/>
          </w:tcPr>
          <w:p>
            <w:pPr>
              <w:spacing w:after="0"/>
              <w:rPr>
                <w:sz w:val="19"/>
                <w:szCs w:val="19"/>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Section 5.05(H) of the Indenture (a “</w:t>
            </w:r>
            <w:r>
              <w:rPr>
                <w:rFonts w:ascii="Arial" w:cs="Arial" w:eastAsia="Arial" w:hAnsi="Arial"/>
                <w:sz w:val="18"/>
                <w:szCs w:val="18"/>
                <w:b w:val="1"/>
                <w:bCs w:val="1"/>
                <w:color w:val="auto"/>
              </w:rPr>
              <w:t>Potential Adjustment Event</w:t>
            </w:r>
            <w:r>
              <w:rPr>
                <w:rFonts w:ascii="Arial" w:cs="Arial" w:eastAsia="Arial" w:hAnsi="Arial"/>
                <w:sz w:val="18"/>
                <w:szCs w:val="18"/>
                <w:color w:val="auto"/>
              </w:rPr>
              <w:t>”) that the</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Calculation Agent determines (by reference to such Section) would result in an</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5"/>
              </w:rPr>
              <w:t>adjustment under the Indenture, the Calculation Agent shall make a corresponding</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3"/>
              </w:rPr>
              <w:t>adjustment in respect of any one or more of the Strike Price, the Number of Options,</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8"/>
              </w:rPr>
              <w:t>the Option Entitlement and any other term relevant to the exercise, settlement or</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payment of the Transaction, subject to “Discretionary Adjustments” below.</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5"/>
              </w:rPr>
              <w:t>Immediately upon the occurrence of any Potential Adjustment Event, Counterparty</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9"/>
              </w:rPr>
              <w:t>shall notify the Calculation Agent of such Potential Adjustment Event; and once</w:t>
            </w:r>
          </w:p>
        </w:tc>
      </w:tr>
      <w:tr>
        <w:trPr>
          <w:trHeight w:val="432"/>
        </w:trPr>
        <w:tc>
          <w:tcPr>
            <w:tcW w:w="4000" w:type="dxa"/>
            <w:vAlign w:val="bottom"/>
          </w:tcPr>
          <w:p>
            <w:pPr>
              <w:spacing w:after="0"/>
              <w:rPr>
                <w:sz w:val="24"/>
                <w:szCs w:val="24"/>
                <w:color w:val="auto"/>
              </w:rPr>
            </w:pPr>
          </w:p>
        </w:tc>
        <w:tc>
          <w:tcPr>
            <w:tcW w:w="7460" w:type="dxa"/>
            <w:vAlign w:val="bottom"/>
          </w:tcPr>
          <w:p>
            <w:pPr>
              <w:ind w:left="1620"/>
              <w:spacing w:after="0"/>
              <w:rPr>
                <w:sz w:val="20"/>
                <w:szCs w:val="20"/>
                <w:color w:val="auto"/>
              </w:rPr>
            </w:pPr>
            <w:r>
              <w:rPr>
                <w:rFonts w:ascii="Arial" w:cs="Arial" w:eastAsia="Arial" w:hAnsi="Arial"/>
                <w:sz w:val="18"/>
                <w:szCs w:val="18"/>
                <w:color w:val="auto"/>
              </w:rPr>
              <w:t>10</w:t>
            </w:r>
          </w:p>
        </w:tc>
      </w:tr>
      <w:tr>
        <w:trPr>
          <w:trHeight w:val="132"/>
        </w:trPr>
        <w:tc>
          <w:tcPr>
            <w:tcW w:w="4000" w:type="dxa"/>
            <w:vAlign w:val="bottom"/>
            <w:tcBorders>
              <w:bottom w:val="single" w:sz="8" w:color="808080"/>
            </w:tcBorders>
          </w:tcPr>
          <w:p>
            <w:pPr>
              <w:spacing w:after="0"/>
              <w:rPr>
                <w:sz w:val="11"/>
                <w:szCs w:val="11"/>
                <w:color w:val="auto"/>
              </w:rPr>
            </w:pPr>
          </w:p>
        </w:tc>
        <w:tc>
          <w:tcPr>
            <w:tcW w:w="7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52" w:name="page153"/>
    <w:bookmarkEnd w:id="152"/>
    <w:p>
      <w:pPr>
        <w:ind w:left="3960" w:right="120"/>
        <w:spacing w:after="0" w:line="257" w:lineRule="auto"/>
        <w:rPr>
          <w:sz w:val="20"/>
          <w:szCs w:val="20"/>
          <w:color w:val="auto"/>
        </w:rPr>
      </w:pPr>
      <w:r>
        <w:rPr>
          <w:rFonts w:ascii="Arial" w:cs="Arial" w:eastAsia="Arial" w:hAnsi="Arial"/>
          <w:sz w:val="18"/>
          <w:szCs w:val="18"/>
          <w:color w:val="auto"/>
        </w:rPr>
        <w:t>the adjustments to be made to the terms of the Indenture and the Convertible Securities in respect of such Potential Adjustment Event have been determined, Counterparty shall immediately notify the Calculation Agent in writing of the details of such adjustments. Notwithstanding anything to the contrary herein or in the Equity Definitions:</w:t>
      </w:r>
    </w:p>
    <w:p>
      <w:pPr>
        <w:spacing w:after="0" w:line="188" w:lineRule="exact"/>
        <w:rPr>
          <w:sz w:val="20"/>
          <w:szCs w:val="20"/>
          <w:color w:val="auto"/>
        </w:rPr>
      </w:pPr>
    </w:p>
    <w:p>
      <w:pPr>
        <w:jc w:val="both"/>
        <w:ind w:left="4340" w:right="100" w:firstLine="2"/>
        <w:spacing w:after="0" w:line="291" w:lineRule="auto"/>
        <w:tabs>
          <w:tab w:leader="none" w:pos="46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 connection with any Potential Adjustment Event as a result of an event or condition set forth in Section 5.05(A)(ii) of the Indenture or Section 5.05(A)(iii)</w:t>
      </w:r>
    </w:p>
    <w:p>
      <w:pPr>
        <w:ind w:left="4340"/>
        <w:spacing w:after="0" w:line="268" w:lineRule="auto"/>
        <w:rPr>
          <w:rFonts w:ascii="Arial" w:cs="Arial" w:eastAsia="Arial" w:hAnsi="Arial"/>
          <w:sz w:val="16"/>
          <w:szCs w:val="16"/>
          <w:color w:val="auto"/>
        </w:rPr>
      </w:pPr>
      <w:r>
        <w:rPr>
          <w:rFonts w:ascii="Arial" w:cs="Arial" w:eastAsia="Arial" w:hAnsi="Arial"/>
          <w:sz w:val="17"/>
          <w:szCs w:val="17"/>
          <w:color w:val="auto"/>
        </w:rPr>
        <w:t>(1)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 Event, then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event or condition not having been publicly announced prior to the beginning of such period; and</w:t>
      </w:r>
    </w:p>
    <w:p>
      <w:pPr>
        <w:spacing w:after="0" w:line="179" w:lineRule="exact"/>
        <w:rPr>
          <w:rFonts w:ascii="Arial" w:cs="Arial" w:eastAsia="Arial" w:hAnsi="Arial"/>
          <w:sz w:val="16"/>
          <w:szCs w:val="16"/>
          <w:color w:val="auto"/>
        </w:rPr>
      </w:pPr>
    </w:p>
    <w:p>
      <w:pPr>
        <w:ind w:left="4340" w:right="180" w:firstLine="2"/>
        <w:spacing w:after="0" w:line="284" w:lineRule="auto"/>
        <w:tabs>
          <w:tab w:leader="none" w:pos="460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if any Potential Adjustment Event is declared and (a) the event or condition giving rise to such Potential Adjustment Event is subsequently amended, modified, cancelled or abandoned, (b) the Conversion Rate is otherwise not adjusted at the time or in the manner contemplated by the Indenture based on such declaration or (c) the Conversion Rate is adjusted as a result of such Potential Adjustment Event and subsequently re-adjusted (each of clauses (a),</w:t>
      </w:r>
    </w:p>
    <w:p>
      <w:pPr>
        <w:spacing w:after="0" w:line="4" w:lineRule="exact"/>
        <w:rPr>
          <w:rFonts w:ascii="Arial" w:cs="Arial" w:eastAsia="Arial" w:hAnsi="Arial"/>
          <w:sz w:val="16"/>
          <w:szCs w:val="16"/>
          <w:color w:val="auto"/>
        </w:rPr>
      </w:pPr>
    </w:p>
    <w:p>
      <w:pPr>
        <w:ind w:left="4340" w:right="140"/>
        <w:spacing w:after="0" w:line="270" w:lineRule="auto"/>
        <w:rPr>
          <w:rFonts w:ascii="Arial" w:cs="Arial" w:eastAsia="Arial" w:hAnsi="Arial"/>
          <w:sz w:val="16"/>
          <w:szCs w:val="16"/>
          <w:color w:val="auto"/>
        </w:rPr>
      </w:pPr>
      <w:r>
        <w:rPr>
          <w:rFonts w:ascii="Arial" w:cs="Arial" w:eastAsia="Arial" w:hAnsi="Arial"/>
          <w:sz w:val="17"/>
          <w:szCs w:val="17"/>
          <w:color w:val="auto"/>
        </w:rPr>
        <w:t>(b) and (c), a “</w:t>
      </w:r>
      <w:r>
        <w:rPr>
          <w:rFonts w:ascii="Arial" w:cs="Arial" w:eastAsia="Arial" w:hAnsi="Arial"/>
          <w:sz w:val="17"/>
          <w:szCs w:val="17"/>
          <w:b w:val="1"/>
          <w:bCs w:val="1"/>
          <w:color w:val="auto"/>
        </w:rPr>
        <w:t>Potential Adjustment Event Change</w:t>
      </w:r>
      <w:r>
        <w:rPr>
          <w:rFonts w:ascii="Arial" w:cs="Arial" w:eastAsia="Arial" w:hAnsi="Arial"/>
          <w:sz w:val="17"/>
          <w:szCs w:val="17"/>
          <w:color w:val="auto"/>
        </w:rPr>
        <w:t>”),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Potential Adjustment Event Change.</w:t>
      </w:r>
    </w:p>
    <w:p>
      <w:pPr>
        <w:spacing w:after="0" w:line="179" w:lineRule="exact"/>
        <w:rPr>
          <w:sz w:val="20"/>
          <w:szCs w:val="20"/>
          <w:color w:val="auto"/>
        </w:rPr>
      </w:pPr>
    </w:p>
    <w:p>
      <w:pPr>
        <w:jc w:val="both"/>
        <w:ind w:left="3960" w:right="220"/>
        <w:spacing w:after="0" w:line="264" w:lineRule="auto"/>
        <w:rPr>
          <w:sz w:val="20"/>
          <w:szCs w:val="20"/>
          <w:color w:val="auto"/>
        </w:rPr>
      </w:pPr>
      <w:r>
        <w:rPr>
          <w:rFonts w:ascii="Arial" w:cs="Arial" w:eastAsia="Arial" w:hAnsi="Arial"/>
          <w:sz w:val="18"/>
          <w:szCs w:val="18"/>
          <w:color w:val="auto"/>
        </w:rPr>
        <w:t>Upon the occurrence of any Potential Adjustment Event Change, Counterparty shall immediately notify the Calculation Agent in writing of the details of such Potential Adjustment Event Change.</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For the avoidance of doubt, Dealer shall not have any</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5"/>
              </w:rPr>
              <w:t>payment or delivery obligation hereunder in respect of, and no adjustment shall be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9"/>
              </w:rPr>
              <w:t>made to the terms of the Transaction on account of, (x) any distribution of cash,</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property or securities by Counterparty to the holders of Convertible Securities (upon</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conversion or otherwise) or (y) any other transaction in which holders of Convertible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3"/>
              </w:rPr>
              <w:t>Securities are entitled to participate, in each case, in lieu of an adjustment under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7"/>
              </w:rPr>
              <w:t>Indenture in respect of a Potential Adjustment Event (including, without limitation,</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under the proviso to the first sentence of Section 5.05(A)(iii)(1) of the Indenture or the</w:t>
            </w:r>
          </w:p>
        </w:tc>
      </w:tr>
      <w:tr>
        <w:trPr>
          <w:trHeight w:val="230"/>
        </w:trPr>
        <w:tc>
          <w:tcPr>
            <w:tcW w:w="3900" w:type="dxa"/>
            <w:vAlign w:val="bottom"/>
          </w:tcPr>
          <w:p>
            <w:pPr>
              <w:spacing w:after="0"/>
              <w:rPr>
                <w:sz w:val="20"/>
                <w:szCs w:val="20"/>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proviso to the first sentence of Section 5.05(A)(iv) of the Indenture).</w:t>
            </w:r>
          </w:p>
        </w:tc>
      </w:tr>
      <w:tr>
        <w:trPr>
          <w:trHeight w:val="418"/>
        </w:trPr>
        <w:tc>
          <w:tcPr>
            <w:tcW w:w="3900" w:type="dxa"/>
            <w:vAlign w:val="bottom"/>
          </w:tcPr>
          <w:p>
            <w:pPr>
              <w:ind w:left="660"/>
              <w:spacing w:after="0"/>
              <w:rPr>
                <w:sz w:val="20"/>
                <w:szCs w:val="20"/>
                <w:color w:val="auto"/>
              </w:rPr>
            </w:pPr>
            <w:r>
              <w:rPr>
                <w:rFonts w:ascii="Arial" w:cs="Arial" w:eastAsia="Arial" w:hAnsi="Arial"/>
                <w:sz w:val="18"/>
                <w:szCs w:val="18"/>
                <w:color w:val="auto"/>
              </w:rPr>
              <w:t>Discretionary Adjustments:</w:t>
            </w:r>
          </w:p>
        </w:tc>
        <w:tc>
          <w:tcPr>
            <w:tcW w:w="7560" w:type="dxa"/>
            <w:vAlign w:val="bottom"/>
          </w:tcPr>
          <w:p>
            <w:pPr>
              <w:ind w:left="1260"/>
              <w:spacing w:after="0"/>
              <w:rPr>
                <w:sz w:val="20"/>
                <w:szCs w:val="20"/>
                <w:color w:val="auto"/>
              </w:rPr>
            </w:pPr>
            <w:r>
              <w:rPr>
                <w:rFonts w:ascii="Arial" w:cs="Arial" w:eastAsia="Arial" w:hAnsi="Arial"/>
                <w:sz w:val="18"/>
                <w:szCs w:val="18"/>
                <w:color w:val="auto"/>
                <w:w w:val="98"/>
              </w:rPr>
              <w:t>Notwithstanding anything to the contrary herein or in the Equity Definitions, if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6"/>
              </w:rPr>
              <w:t>Calculation Agent in good faith disagrees with any adjustment under the Indenture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that involves an exercise of discretion by Counterparty or its board of directors</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(including, without limitation, pursuant to Section 5.05(H) of the Indenture or</w:t>
            </w:r>
          </w:p>
        </w:tc>
      </w:tr>
      <w:tr>
        <w:trPr>
          <w:trHeight w:val="212"/>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pursuant to Section 5.08(A) of the Indenture or any supplemental indenture entered</w:t>
            </w:r>
          </w:p>
        </w:tc>
      </w:tr>
      <w:tr>
        <w:trPr>
          <w:trHeight w:val="220"/>
        </w:trPr>
        <w:tc>
          <w:tcPr>
            <w:tcW w:w="3900" w:type="dxa"/>
            <w:vAlign w:val="bottom"/>
          </w:tcPr>
          <w:p>
            <w:pPr>
              <w:spacing w:after="0"/>
              <w:rPr>
                <w:sz w:val="19"/>
                <w:szCs w:val="19"/>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9"/>
              </w:rPr>
              <w:t>into thereunder (a “</w:t>
            </w:r>
            <w:r>
              <w:rPr>
                <w:rFonts w:ascii="Arial" w:cs="Arial" w:eastAsia="Arial" w:hAnsi="Arial"/>
                <w:sz w:val="18"/>
                <w:szCs w:val="18"/>
                <w:b w:val="1"/>
                <w:bCs w:val="1"/>
                <w:color w:val="auto"/>
                <w:w w:val="99"/>
              </w:rPr>
              <w:t>Merger Supplemental Indenture</w:t>
            </w:r>
            <w:r>
              <w:rPr>
                <w:rFonts w:ascii="Arial" w:cs="Arial" w:eastAsia="Arial" w:hAnsi="Arial"/>
                <w:sz w:val="18"/>
                <w:szCs w:val="18"/>
                <w:color w:val="auto"/>
                <w:w w:val="99"/>
              </w:rPr>
              <w:t>”) or in connection with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determination of the fair value of any securities, property, rights or other assets), then</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the Calculation Agent will determine the adjustment to be made to any one or more of</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the Strike Price, Number of Options, Option Entitlement and any other variable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9"/>
              </w:rPr>
              <w:t>relevant to the exercise, settlement or payment of or under the Transaction in a</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commercially reasonable manner and, for the avoidance of doubt, the Delivery</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6"/>
              </w:rPr>
              <w:t>Obligation shall be calculated on the basis of such adjustments by the Calculation</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8"/>
              </w:rPr>
              <w:t xml:space="preserve">Agent; </w:t>
            </w:r>
            <w:r>
              <w:rPr>
                <w:rFonts w:ascii="Arial" w:cs="Arial" w:eastAsia="Arial" w:hAnsi="Arial"/>
                <w:sz w:val="18"/>
                <w:szCs w:val="18"/>
                <w:i w:val="1"/>
                <w:iCs w:val="1"/>
                <w:color w:val="auto"/>
                <w:w w:val="98"/>
              </w:rPr>
              <w:t>provided</w:t>
            </w:r>
            <w:r>
              <w:rPr>
                <w:rFonts w:ascii="Arial" w:cs="Arial" w:eastAsia="Arial" w:hAnsi="Arial"/>
                <w:sz w:val="18"/>
                <w:szCs w:val="18"/>
                <w:color w:val="auto"/>
                <w:w w:val="98"/>
              </w:rPr>
              <w:t xml:space="preserve"> that, notwithstanding the foregoing, in any Potential Adjustment</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5"/>
              </w:rPr>
              <w:t>Event occurs during the Cash Settlement Averaging Period but no adjustment was</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5"/>
              </w:rPr>
              <w:t>made to any Convertible Note under the Indenture because the relevant Holder (as</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such term is defined in the Indenture) was deemed to be a record holder of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underlying Shares on the related Conversion Date, then the Calculation Agent shall</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made an adjustment, as determined by it, to the terms hereof in order to account for</w:t>
            </w:r>
          </w:p>
        </w:tc>
      </w:tr>
      <w:tr>
        <w:trPr>
          <w:trHeight w:val="230"/>
        </w:trPr>
        <w:tc>
          <w:tcPr>
            <w:tcW w:w="3900" w:type="dxa"/>
            <w:vAlign w:val="bottom"/>
          </w:tcPr>
          <w:p>
            <w:pPr>
              <w:spacing w:after="0"/>
              <w:rPr>
                <w:sz w:val="20"/>
                <w:szCs w:val="20"/>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such Potential Adjustment Event.</w:t>
            </w:r>
          </w:p>
        </w:tc>
      </w:tr>
      <w:tr>
        <w:trPr>
          <w:trHeight w:val="418"/>
        </w:trPr>
        <w:tc>
          <w:tcPr>
            <w:tcW w:w="3900" w:type="dxa"/>
            <w:vAlign w:val="bottom"/>
          </w:tcPr>
          <w:p>
            <w:pPr>
              <w:ind w:left="660"/>
              <w:spacing w:after="0"/>
              <w:rPr>
                <w:sz w:val="20"/>
                <w:szCs w:val="20"/>
                <w:color w:val="auto"/>
              </w:rPr>
            </w:pPr>
            <w:r>
              <w:rPr>
                <w:rFonts w:ascii="Arial" w:cs="Arial" w:eastAsia="Arial" w:hAnsi="Arial"/>
                <w:sz w:val="18"/>
                <w:szCs w:val="18"/>
                <w:color w:val="auto"/>
              </w:rPr>
              <w:t>Dividends:</w:t>
            </w: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If (i) at any time during the period from and including the Trade Date, to but excluding</w:t>
            </w:r>
          </w:p>
        </w:tc>
      </w:tr>
      <w:tr>
        <w:trPr>
          <w:trHeight w:val="212"/>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3"/>
              </w:rPr>
              <w:t>the Expiration Date, an ex-dividend date for a regular quarterly cash dividend occurs</w:t>
            </w:r>
          </w:p>
        </w:tc>
      </w:tr>
      <w:tr>
        <w:trPr>
          <w:trHeight w:val="220"/>
        </w:trPr>
        <w:tc>
          <w:tcPr>
            <w:tcW w:w="3900" w:type="dxa"/>
            <w:vAlign w:val="bottom"/>
          </w:tcPr>
          <w:p>
            <w:pPr>
              <w:spacing w:after="0"/>
              <w:rPr>
                <w:sz w:val="19"/>
                <w:szCs w:val="19"/>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with respect to the Shares (an “</w:t>
            </w:r>
            <w:r>
              <w:rPr>
                <w:rFonts w:ascii="Arial" w:cs="Arial" w:eastAsia="Arial" w:hAnsi="Arial"/>
                <w:sz w:val="18"/>
                <w:szCs w:val="18"/>
                <w:b w:val="1"/>
                <w:bCs w:val="1"/>
                <w:color w:val="auto"/>
                <w:w w:val="92"/>
              </w:rPr>
              <w:t>Ex-Dividend Date</w:t>
            </w:r>
            <w:r>
              <w:rPr>
                <w:rFonts w:ascii="Arial" w:cs="Arial" w:eastAsia="Arial" w:hAnsi="Arial"/>
                <w:sz w:val="18"/>
                <w:szCs w:val="18"/>
                <w:color w:val="auto"/>
                <w:w w:val="92"/>
              </w:rPr>
              <w:t>”) and that dividend is less than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Regular Dividend on a per Share basis or (ii) no Ex-Dividend Date for a regular</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5"/>
              </w:rPr>
              <w:t>quarterly cash dividend occurs with respect to the Shares in any quarterly dividend</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period of Counterparty, then the Calculation Agent will make a corresponding</w:t>
            </w:r>
          </w:p>
        </w:tc>
      </w:tr>
      <w:tr>
        <w:trPr>
          <w:trHeight w:val="230"/>
        </w:trPr>
        <w:tc>
          <w:tcPr>
            <w:tcW w:w="3900" w:type="dxa"/>
            <w:vAlign w:val="bottom"/>
          </w:tcPr>
          <w:p>
            <w:pPr>
              <w:spacing w:after="0"/>
              <w:rPr>
                <w:sz w:val="20"/>
                <w:szCs w:val="20"/>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adjustment in respect of any one or more of the Strike</w:t>
            </w:r>
          </w:p>
        </w:tc>
      </w:tr>
      <w:tr>
        <w:trPr>
          <w:trHeight w:val="432"/>
        </w:trPr>
        <w:tc>
          <w:tcPr>
            <w:tcW w:w="3900" w:type="dxa"/>
            <w:vAlign w:val="bottom"/>
          </w:tcPr>
          <w:p>
            <w:pPr>
              <w:spacing w:after="0"/>
              <w:rPr>
                <w:sz w:val="24"/>
                <w:szCs w:val="24"/>
                <w:color w:val="auto"/>
              </w:rPr>
            </w:pPr>
          </w:p>
        </w:tc>
        <w:tc>
          <w:tcPr>
            <w:tcW w:w="7560" w:type="dxa"/>
            <w:vAlign w:val="bottom"/>
          </w:tcPr>
          <w:p>
            <w:pPr>
              <w:ind w:left="1720"/>
              <w:spacing w:after="0"/>
              <w:rPr>
                <w:sz w:val="20"/>
                <w:szCs w:val="20"/>
                <w:color w:val="auto"/>
              </w:rPr>
            </w:pPr>
            <w:r>
              <w:rPr>
                <w:rFonts w:ascii="Arial" w:cs="Arial" w:eastAsia="Arial" w:hAnsi="Arial"/>
                <w:sz w:val="18"/>
                <w:szCs w:val="18"/>
                <w:color w:val="auto"/>
              </w:rPr>
              <w:t>12</w:t>
            </w:r>
          </w:p>
        </w:tc>
      </w:tr>
      <w:tr>
        <w:trPr>
          <w:trHeight w:val="132"/>
        </w:trPr>
        <w:tc>
          <w:tcPr>
            <w:tcW w:w="3900" w:type="dxa"/>
            <w:vAlign w:val="bottom"/>
            <w:tcBorders>
              <w:bottom w:val="single" w:sz="8" w:color="808080"/>
            </w:tcBorders>
          </w:tcPr>
          <w:p>
            <w:pPr>
              <w:spacing w:after="0"/>
              <w:rPr>
                <w:sz w:val="11"/>
                <w:szCs w:val="11"/>
                <w:color w:val="auto"/>
              </w:rPr>
            </w:pPr>
          </w:p>
        </w:tc>
        <w:tc>
          <w:tcPr>
            <w:tcW w:w="7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Price, the Number of Options, the Option Entitlement and any other term relevant to</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the exercise, settlement or payment of the Transaction to account for the economic</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effect on the Transaction of such dividend or lack thereof, and, for the avoidance of</w:t>
            </w:r>
          </w:p>
        </w:tc>
      </w:tr>
      <w:tr>
        <w:trPr>
          <w:trHeight w:val="212"/>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doubt, any such adjustments shall be taken into account in calculating the Delivery</w:t>
            </w:r>
          </w:p>
        </w:tc>
      </w:tr>
      <w:tr>
        <w:trPr>
          <w:trHeight w:val="234"/>
        </w:trPr>
        <w:tc>
          <w:tcPr>
            <w:tcW w:w="410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Obligation. “</w:t>
            </w:r>
            <w:r>
              <w:rPr>
                <w:rFonts w:ascii="Arial" w:cs="Arial" w:eastAsia="Arial" w:hAnsi="Arial"/>
                <w:sz w:val="18"/>
                <w:szCs w:val="18"/>
                <w:b w:val="1"/>
                <w:bCs w:val="1"/>
                <w:color w:val="auto"/>
              </w:rPr>
              <w:t>Regular Dividend</w:t>
            </w:r>
            <w:r>
              <w:rPr>
                <w:rFonts w:ascii="Arial" w:cs="Arial" w:eastAsia="Arial" w:hAnsi="Arial"/>
                <w:sz w:val="18"/>
                <w:szCs w:val="18"/>
                <w:color w:val="auto"/>
              </w:rPr>
              <w:t>” shall mean USD0.11 per Share.</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Notice of Certain Other Events:</w:t>
            </w: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Counterparty shall give Dealer commercially reasonable advance (but in no event less</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than one Exchange Business Day) written notice of the section or sections of the</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Indenture and, if applicable, the formula therein, pursuant to which any adjustment</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will be made to the Convertible Securities in connection with any Potential</w:t>
            </w:r>
          </w:p>
        </w:tc>
      </w:tr>
      <w:tr>
        <w:trPr>
          <w:trHeight w:val="230"/>
        </w:trPr>
        <w:tc>
          <w:tcPr>
            <w:tcW w:w="410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Adjustment Event, Merger Event or Tender Offer.</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Extraordinary Events:</w:t>
            </w:r>
          </w:p>
        </w:tc>
        <w:tc>
          <w:tcPr>
            <w:tcW w:w="7360" w:type="dxa"/>
            <w:vAlign w:val="bottom"/>
          </w:tcPr>
          <w:p>
            <w:pPr>
              <w:spacing w:after="0"/>
              <w:rPr>
                <w:sz w:val="24"/>
                <w:szCs w:val="24"/>
                <w:color w:val="auto"/>
              </w:rPr>
            </w:pP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Merger Events:</w:t>
            </w: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Notwithstanding Section 12.1(b) of the Equity Definitions, “Merger Event” shall mean</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the occurrence of any event or condition set forth in the definition of “Common Stock</w:t>
            </w:r>
          </w:p>
        </w:tc>
      </w:tr>
      <w:tr>
        <w:trPr>
          <w:trHeight w:val="230"/>
        </w:trPr>
        <w:tc>
          <w:tcPr>
            <w:tcW w:w="410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Change Event” as set forth in Section 5.08(A) of the Indenture.</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Consequences of Merger Events:</w:t>
            </w: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Notwithstanding Section 12.2 of the Equity Definitions, upon the occurrence of a</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Merger Event, the Calculation Agent shall make an adjustment to the terms relevant to</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0"/>
              </w:rPr>
              <w:t>the exercise, settlement or payment of the Transaction corresponding to the adjustment</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required under Section 5.08 of the Indenture in respect of such Merger Event, as</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determined by the Calculation Agent (by reference to such Section), subject to</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 xml:space="preserve">“Discretionary Adjustments” above;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such adjustment shall be made</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without regard to any adjustment to the Conversion Rate pursuant to a Fundamental</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 xml:space="preserve">Change Adjustment or a Discretionary Adjustment; and </w:t>
            </w:r>
            <w:r>
              <w:rPr>
                <w:rFonts w:ascii="Arial" w:cs="Arial" w:eastAsia="Arial" w:hAnsi="Arial"/>
                <w:sz w:val="18"/>
                <w:szCs w:val="18"/>
                <w:i w:val="1"/>
                <w:iCs w:val="1"/>
                <w:color w:val="auto"/>
                <w:w w:val="98"/>
              </w:rPr>
              <w:t>provided further</w:t>
            </w:r>
            <w:r>
              <w:rPr>
                <w:rFonts w:ascii="Arial" w:cs="Arial" w:eastAsia="Arial" w:hAnsi="Arial"/>
                <w:sz w:val="18"/>
                <w:szCs w:val="18"/>
                <w:color w:val="auto"/>
                <w:w w:val="98"/>
              </w:rPr>
              <w:t xml:space="preserve"> that the</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Calculation Agent may make such further adjustments to the terms of the Transaction</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as may be necessary to ensure that the fair value of the Transaction to Dealer is not</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adversely affected as a result of any adjustment referenced in this paragraph and, for</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the avoidance of doubt, any such further adjustments shall be taken into account in</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9"/>
              </w:rPr>
              <w:t xml:space="preserve">calculating the Delivery Obligation; and </w:t>
            </w:r>
            <w:r>
              <w:rPr>
                <w:rFonts w:ascii="Arial" w:cs="Arial" w:eastAsia="Arial" w:hAnsi="Arial"/>
                <w:sz w:val="18"/>
                <w:szCs w:val="18"/>
                <w:i w:val="1"/>
                <w:iCs w:val="1"/>
                <w:color w:val="auto"/>
                <w:w w:val="99"/>
              </w:rPr>
              <w:t>provided further</w:t>
            </w:r>
            <w:r>
              <w:rPr>
                <w:rFonts w:ascii="Arial" w:cs="Arial" w:eastAsia="Arial" w:hAnsi="Arial"/>
                <w:sz w:val="18"/>
                <w:szCs w:val="18"/>
                <w:color w:val="auto"/>
                <w:w w:val="99"/>
              </w:rPr>
              <w:t xml:space="preserve"> that if, with respect to a</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Merger Event, (i) the consideration for the Shares includes (or, at the option of a</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holder of Shares, may include) shares of an entity or person that is not a corporation</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organized under the laws of the United States, any state thereof or the District of</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6"/>
              </w:rPr>
              <w:t>Columbia or (ii) the Counterparty to the Transaction, following such Merger Event,</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will not be a corporation organized under the laws of the United States, any state</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thereof or the District of Columbia and/or will not be the Issuer, Dealer may elect in its</w:t>
            </w:r>
          </w:p>
        </w:tc>
      </w:tr>
      <w:tr>
        <w:trPr>
          <w:trHeight w:val="230"/>
        </w:trPr>
        <w:tc>
          <w:tcPr>
            <w:tcW w:w="410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sole discretion that</w:t>
            </w:r>
          </w:p>
        </w:tc>
      </w:tr>
      <w:tr>
        <w:trPr>
          <w:trHeight w:val="432"/>
        </w:trPr>
        <w:tc>
          <w:tcPr>
            <w:tcW w:w="4100" w:type="dxa"/>
            <w:vAlign w:val="bottom"/>
          </w:tcPr>
          <w:p>
            <w:pPr>
              <w:spacing w:after="0"/>
              <w:rPr>
                <w:sz w:val="24"/>
                <w:szCs w:val="24"/>
                <w:color w:val="auto"/>
              </w:rPr>
            </w:pPr>
          </w:p>
        </w:tc>
        <w:tc>
          <w:tcPr>
            <w:tcW w:w="7360" w:type="dxa"/>
            <w:vAlign w:val="bottom"/>
          </w:tcPr>
          <w:p>
            <w:pPr>
              <w:ind w:left="1520"/>
              <w:spacing w:after="0"/>
              <w:rPr>
                <w:sz w:val="20"/>
                <w:szCs w:val="20"/>
                <w:color w:val="auto"/>
              </w:rPr>
            </w:pPr>
            <w:r>
              <w:rPr>
                <w:rFonts w:ascii="Arial" w:cs="Arial" w:eastAsia="Arial" w:hAnsi="Arial"/>
                <w:sz w:val="18"/>
                <w:szCs w:val="18"/>
                <w:color w:val="auto"/>
              </w:rPr>
              <w:t>13</w:t>
            </w:r>
          </w:p>
        </w:tc>
      </w:tr>
      <w:tr>
        <w:trPr>
          <w:trHeight w:val="132"/>
        </w:trPr>
        <w:tc>
          <w:tcPr>
            <w:tcW w:w="4100" w:type="dxa"/>
            <w:vAlign w:val="bottom"/>
            <w:tcBorders>
              <w:bottom w:val="single" w:sz="8" w:color="808080"/>
            </w:tcBorders>
          </w:tcPr>
          <w:p>
            <w:pPr>
              <w:spacing w:after="0"/>
              <w:rPr>
                <w:sz w:val="11"/>
                <w:szCs w:val="11"/>
                <w:color w:val="auto"/>
              </w:rPr>
            </w:pPr>
          </w:p>
        </w:tc>
        <w:tc>
          <w:tcPr>
            <w:tcW w:w="7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Cancellation and Payment (Calculation Agent Determination) shall apply.</w:t>
            </w:r>
          </w:p>
        </w:tc>
      </w:tr>
      <w:tr>
        <w:trPr>
          <w:trHeight w:val="418"/>
        </w:trPr>
        <w:tc>
          <w:tcPr>
            <w:tcW w:w="4780" w:type="dxa"/>
            <w:vAlign w:val="bottom"/>
          </w:tcPr>
          <w:p>
            <w:pPr>
              <w:ind w:left="660"/>
              <w:spacing w:after="0"/>
              <w:rPr>
                <w:sz w:val="20"/>
                <w:szCs w:val="20"/>
                <w:color w:val="auto"/>
              </w:rPr>
            </w:pPr>
            <w:r>
              <w:rPr>
                <w:rFonts w:ascii="Arial" w:cs="Arial" w:eastAsia="Arial" w:hAnsi="Arial"/>
                <w:sz w:val="18"/>
                <w:szCs w:val="18"/>
                <w:color w:val="auto"/>
                <w:w w:val="98"/>
              </w:rPr>
              <w:t>Notice of Merger Consideration and Consequences:</w:t>
            </w: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Upon the occurrence of a Merger Event, Counterparty shall reasonably promptly (but</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2"/>
              </w:rPr>
              <w:t>in any event prior to the relevant merger date) notify the Calculation Agent of (i) in the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0"/>
              </w:rPr>
              <w:t>case of a Merger Event that causes the Shares to be converted into the right to receive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more than a single type of consideration (determined based in part upon any form of</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1"/>
              </w:rPr>
              <w:t>stockholder election), the types and amount of consideration actually received by such</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0"/>
              </w:rPr>
              <w:t>holders, and (ii) the details of the adjustment to be made under the Indenture in respect</w:t>
            </w:r>
          </w:p>
        </w:tc>
      </w:t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of such Merger Event.</w:t>
            </w:r>
          </w:p>
        </w:tc>
      </w:tr>
      <w:tr>
        <w:trPr>
          <w:trHeight w:val="418"/>
        </w:trPr>
        <w:tc>
          <w:tcPr>
            <w:tcW w:w="4780" w:type="dxa"/>
            <w:vAlign w:val="bottom"/>
          </w:tcPr>
          <w:p>
            <w:pPr>
              <w:ind w:left="660"/>
              <w:spacing w:after="0"/>
              <w:rPr>
                <w:sz w:val="20"/>
                <w:szCs w:val="20"/>
                <w:color w:val="auto"/>
              </w:rPr>
            </w:pPr>
            <w:r>
              <w:rPr>
                <w:rFonts w:ascii="Arial" w:cs="Arial" w:eastAsia="Arial" w:hAnsi="Arial"/>
                <w:sz w:val="18"/>
                <w:szCs w:val="18"/>
                <w:color w:val="auto"/>
              </w:rPr>
              <w:t>Nationalization, Insolvency or Delisting:</w:t>
            </w:r>
          </w:p>
        </w:tc>
        <w:tc>
          <w:tcPr>
            <w:tcW w:w="6680" w:type="dxa"/>
            <w:vAlign w:val="bottom"/>
          </w:tcPr>
          <w:p>
            <w:pPr>
              <w:ind w:left="38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6"/>
              </w:rPr>
              <w:t>addition to the provisions of Section 12.6(a)(iii) of the Equity Definitions, it will also</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1"/>
              </w:rPr>
              <w:t>constitute a Delisting if the Shares are not immediately re-listed, re-traded or re-quoted</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on any of the New York Stock Exchange, The NASDAQ Global Select Market or The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NASDAQ Global Market (or their respective successors); if the Shares are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8"/>
              </w:rPr>
              <w:t>immediately re-listed, re-traded or re-quoted on any such exchange or quotation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7"/>
              </w:rPr>
              <w:t>system, such exchange or quotation system shall thereafter be deemed to be the</w:t>
            </w:r>
          </w:p>
        </w:tc>
      </w:t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Exchange.</w:t>
            </w:r>
          </w:p>
        </w:tc>
      </w:tr>
      <w:tr>
        <w:trPr>
          <w:trHeight w:val="418"/>
        </w:trPr>
        <w:tc>
          <w:tcPr>
            <w:tcW w:w="4780" w:type="dxa"/>
            <w:vAlign w:val="bottom"/>
          </w:tcPr>
          <w:p>
            <w:pPr>
              <w:ind w:left="660"/>
              <w:spacing w:after="0"/>
              <w:rPr>
                <w:sz w:val="20"/>
                <w:szCs w:val="20"/>
                <w:color w:val="auto"/>
              </w:rPr>
            </w:pPr>
            <w:r>
              <w:rPr>
                <w:rFonts w:ascii="Arial" w:cs="Arial" w:eastAsia="Arial" w:hAnsi="Arial"/>
                <w:sz w:val="18"/>
                <w:szCs w:val="18"/>
                <w:color w:val="auto"/>
              </w:rPr>
              <w:t>Additional Termination Event(s):</w:t>
            </w: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Notwithstanding anything to the contrary in the Equity Definitions, if, as a result of an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5"/>
              </w:rPr>
              <w:t>Extraordinary Event, the Transaction would be cancelled or terminated (whether in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whole or in part) pursuant to Article 12 of the Equity Definitions, an Additional</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Termination Event (with the Transaction (or the cancelled or terminated portion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7"/>
              </w:rPr>
              <w:t>thereof) being the Affected Transaction and Counterparty being the sole Affected</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5"/>
              </w:rPr>
              <w:t>Party) shall be deemed to occur, and, in lieu of Sections 12.7, 12.8 and 12.9 of the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Equity Definitions, Section 6 of the Agreement shall apply to such Affected</w:t>
            </w:r>
          </w:p>
        </w:tc>
      </w:t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Transaction.</w:t>
            </w:r>
          </w:p>
        </w:tc>
      </w:tr>
      <w:tr>
        <w:trPr>
          <w:trHeight w:val="432"/>
        </w:trPr>
        <w:tc>
          <w:tcPr>
            <w:tcW w:w="4780" w:type="dxa"/>
            <w:vAlign w:val="bottom"/>
          </w:tcPr>
          <w:p>
            <w:pPr>
              <w:ind w:left="660"/>
              <w:spacing w:after="0"/>
              <w:rPr>
                <w:sz w:val="20"/>
                <w:szCs w:val="20"/>
                <w:color w:val="auto"/>
              </w:rPr>
            </w:pPr>
            <w:r>
              <w:rPr>
                <w:rFonts w:ascii="Arial" w:cs="Arial" w:eastAsia="Arial" w:hAnsi="Arial"/>
                <w:sz w:val="18"/>
                <w:szCs w:val="18"/>
                <w:color w:val="auto"/>
              </w:rPr>
              <w:t>Additional Disruption Events:</w:t>
            </w:r>
          </w:p>
        </w:tc>
        <w:tc>
          <w:tcPr>
            <w:tcW w:w="6680" w:type="dxa"/>
            <w:vAlign w:val="bottom"/>
          </w:tcPr>
          <w:p>
            <w:pPr>
              <w:spacing w:after="0"/>
              <w:rPr>
                <w:sz w:val="24"/>
                <w:szCs w:val="24"/>
                <w:color w:val="auto"/>
              </w:rPr>
            </w:pPr>
          </w:p>
        </w:tc>
      </w:tr>
      <w:tr>
        <w:trPr>
          <w:trHeight w:val="418"/>
        </w:trPr>
        <w:tc>
          <w:tcPr>
            <w:tcW w:w="4780" w:type="dxa"/>
            <w:vAlign w:val="bottom"/>
          </w:tcPr>
          <w:p>
            <w:pPr>
              <w:ind w:left="980"/>
              <w:spacing w:after="0"/>
              <w:rPr>
                <w:sz w:val="20"/>
                <w:szCs w:val="20"/>
                <w:color w:val="auto"/>
              </w:rPr>
            </w:pPr>
            <w:r>
              <w:rPr>
                <w:rFonts w:ascii="Arial" w:cs="Arial" w:eastAsia="Arial" w:hAnsi="Arial"/>
                <w:sz w:val="18"/>
                <w:szCs w:val="18"/>
                <w:color w:val="auto"/>
              </w:rPr>
              <w:t>(a) Change in Law:</w:t>
            </w:r>
          </w:p>
        </w:tc>
        <w:tc>
          <w:tcPr>
            <w:tcW w:w="6680" w:type="dxa"/>
            <w:vAlign w:val="bottom"/>
          </w:tcPr>
          <w:p>
            <w:pPr>
              <w:ind w:left="3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is hereby</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5"/>
              </w:rPr>
              <w:t>amended by (i) replacing the phrase “the interpretation” in the third line thereof with</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the phrase “, or public announcement of, the formal or informal interpretation”, (ii) by</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adding the phrase “and/or Hedge Position” after the word “Shares” in clause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(X) thereof and (iii) by immediately following the word “Transaction” in clause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(X) thereof, adding the phrase “in the manner contemplated by the Hedging Party on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 xml:space="preserve">the Trade Date”; and </w:t>
            </w:r>
            <w:r>
              <w:rPr>
                <w:rFonts w:ascii="Arial" w:cs="Arial" w:eastAsia="Arial" w:hAnsi="Arial"/>
                <w:sz w:val="18"/>
                <w:szCs w:val="18"/>
                <w:i w:val="1"/>
                <w:iCs w:val="1"/>
                <w:color w:val="auto"/>
                <w:w w:val="93"/>
              </w:rPr>
              <w:t>provided further</w:t>
            </w:r>
            <w:r>
              <w:rPr>
                <w:rFonts w:ascii="Arial" w:cs="Arial" w:eastAsia="Arial" w:hAnsi="Arial"/>
                <w:sz w:val="18"/>
                <w:szCs w:val="18"/>
                <w:color w:val="auto"/>
                <w:w w:val="93"/>
              </w:rPr>
              <w:t xml:space="preserve"> that Section 12.9(a)(ii) of the Equity Definitions</w:t>
            </w:r>
          </w:p>
        </w:tc>
      </w:t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is hereby amended by (i) replacing the parenthetical beginning after the word</w:t>
            </w:r>
          </w:p>
        </w:tc>
      </w:tr>
      <w:tr>
        <w:trPr>
          <w:trHeight w:val="432"/>
        </w:trPr>
        <w:tc>
          <w:tcPr>
            <w:tcW w:w="4780" w:type="dxa"/>
            <w:vAlign w:val="bottom"/>
          </w:tcPr>
          <w:p>
            <w:pPr>
              <w:spacing w:after="0"/>
              <w:rPr>
                <w:sz w:val="24"/>
                <w:szCs w:val="24"/>
                <w:color w:val="auto"/>
              </w:rPr>
            </w:pPr>
          </w:p>
        </w:tc>
        <w:tc>
          <w:tcPr>
            <w:tcW w:w="6680" w:type="dxa"/>
            <w:vAlign w:val="bottom"/>
          </w:tcPr>
          <w:p>
            <w:pPr>
              <w:ind w:left="840"/>
              <w:spacing w:after="0"/>
              <w:rPr>
                <w:sz w:val="20"/>
                <w:szCs w:val="20"/>
                <w:color w:val="auto"/>
              </w:rPr>
            </w:pPr>
            <w:r>
              <w:rPr>
                <w:rFonts w:ascii="Arial" w:cs="Arial" w:eastAsia="Arial" w:hAnsi="Arial"/>
                <w:sz w:val="18"/>
                <w:szCs w:val="18"/>
                <w:color w:val="auto"/>
              </w:rPr>
              <w:t>14</w:t>
            </w:r>
          </w:p>
        </w:tc>
      </w:tr>
      <w:tr>
        <w:trPr>
          <w:trHeight w:val="132"/>
        </w:trPr>
        <w:tc>
          <w:tcPr>
            <w:tcW w:w="4780" w:type="dxa"/>
            <w:vAlign w:val="bottom"/>
            <w:tcBorders>
              <w:bottom w:val="single" w:sz="8" w:color="808080"/>
            </w:tcBorders>
          </w:tcPr>
          <w:p>
            <w:pPr>
              <w:spacing w:after="0"/>
              <w:rPr>
                <w:sz w:val="11"/>
                <w:szCs w:val="11"/>
                <w:color w:val="auto"/>
              </w:rPr>
            </w:pPr>
          </w:p>
        </w:tc>
        <w:tc>
          <w:tcPr>
            <w:tcW w:w="6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56" w:name="page157"/>
    <w:bookmarkEnd w:id="156"/>
    <w:tbl>
      <w:tblPr>
        <w:tblLayout w:type="fixed"/>
        <w:tblInd w:w="4"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20" w:type="dxa"/>
            <w:vAlign w:val="bottom"/>
          </w:tcPr>
          <w:p>
            <w:pPr>
              <w:ind w:left="1000"/>
              <w:spacing w:after="0"/>
              <w:rPr>
                <w:sz w:val="20"/>
                <w:szCs w:val="20"/>
                <w:color w:val="auto"/>
              </w:rPr>
            </w:pPr>
            <w:r>
              <w:rPr>
                <w:rFonts w:ascii="Arial" w:cs="Arial" w:eastAsia="Arial" w:hAnsi="Arial"/>
                <w:sz w:val="18"/>
                <w:szCs w:val="18"/>
                <w:color w:val="auto"/>
                <w:w w:val="97"/>
              </w:rPr>
              <w:t>“regulation” in the second line thereof the words “(including, for the avoidance of</w:t>
            </w: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20" w:type="dxa"/>
            <w:vAlign w:val="bottom"/>
          </w:tcPr>
          <w:p>
            <w:pPr>
              <w:ind w:left="960"/>
              <w:spacing w:after="0"/>
              <w:rPr>
                <w:sz w:val="20"/>
                <w:szCs w:val="20"/>
                <w:color w:val="auto"/>
              </w:rPr>
            </w:pPr>
            <w:r>
              <w:rPr>
                <w:rFonts w:ascii="Arial" w:cs="Arial" w:eastAsia="Arial" w:hAnsi="Arial"/>
                <w:sz w:val="18"/>
                <w:szCs w:val="18"/>
                <w:color w:val="auto"/>
                <w:w w:val="95"/>
              </w:rPr>
              <w:t>doubt and without limitation, (x) any tax law or (y) adoption or promulgation of new</w:t>
            </w: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20" w:type="dxa"/>
            <w:vAlign w:val="bottom"/>
          </w:tcPr>
          <w:p>
            <w:pPr>
              <w:ind w:left="960"/>
              <w:spacing w:after="0"/>
              <w:rPr>
                <w:sz w:val="20"/>
                <w:szCs w:val="20"/>
                <w:color w:val="auto"/>
              </w:rPr>
            </w:pPr>
            <w:r>
              <w:rPr>
                <w:rFonts w:ascii="Arial" w:cs="Arial" w:eastAsia="Arial" w:hAnsi="Arial"/>
                <w:sz w:val="18"/>
                <w:szCs w:val="18"/>
                <w:color w:val="auto"/>
                <w:w w:val="91"/>
              </w:rPr>
              <w:t>regulations authorized or mandated by existing statute)” and (ii) adding the words “, or</w:t>
            </w: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20" w:type="dxa"/>
            <w:vAlign w:val="bottom"/>
          </w:tcPr>
          <w:p>
            <w:pPr>
              <w:ind w:left="960"/>
              <w:spacing w:after="0"/>
              <w:rPr>
                <w:sz w:val="20"/>
                <w:szCs w:val="20"/>
                <w:color w:val="auto"/>
              </w:rPr>
            </w:pPr>
            <w:r>
              <w:rPr>
                <w:rFonts w:ascii="Arial" w:cs="Arial" w:eastAsia="Arial" w:hAnsi="Arial"/>
                <w:sz w:val="18"/>
                <w:szCs w:val="18"/>
                <w:color w:val="auto"/>
                <w:w w:val="91"/>
              </w:rPr>
              <w:t>holding, acquiring or disposing of Shares or any Hedge Positions relating to,” after the</w:t>
            </w: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20" w:type="dxa"/>
            <w:vAlign w:val="bottom"/>
          </w:tcPr>
          <w:p>
            <w:pPr>
              <w:ind w:left="960"/>
              <w:spacing w:after="0"/>
              <w:rPr>
                <w:sz w:val="20"/>
                <w:szCs w:val="20"/>
                <w:color w:val="auto"/>
              </w:rPr>
            </w:pPr>
            <w:r>
              <w:rPr>
                <w:rFonts w:ascii="Arial" w:cs="Arial" w:eastAsia="Arial" w:hAnsi="Arial"/>
                <w:sz w:val="18"/>
                <w:szCs w:val="18"/>
                <w:color w:val="auto"/>
              </w:rPr>
              <w:t>words “obligations under” in clause (Y) thereof.</w:t>
            </w:r>
          </w:p>
        </w:tc>
      </w:tr>
      <w:tr>
        <w:trPr>
          <w:trHeight w:val="432"/>
        </w:trPr>
        <w:tc>
          <w:tcPr>
            <w:tcW w:w="3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(b)</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Failure to Deliver:</w:t>
            </w:r>
          </w:p>
        </w:tc>
        <w:tc>
          <w:tcPr>
            <w:tcW w:w="7220" w:type="dxa"/>
            <w:vAlign w:val="bottom"/>
          </w:tcPr>
          <w:p>
            <w:pPr>
              <w:ind w:left="960"/>
              <w:spacing w:after="0"/>
              <w:rPr>
                <w:sz w:val="20"/>
                <w:szCs w:val="20"/>
                <w:color w:val="auto"/>
              </w:rPr>
            </w:pPr>
            <w:r>
              <w:rPr>
                <w:rFonts w:ascii="Arial" w:cs="Arial" w:eastAsia="Arial" w:hAnsi="Arial"/>
                <w:sz w:val="18"/>
                <w:szCs w:val="18"/>
                <w:color w:val="auto"/>
              </w:rPr>
              <w:t>Applicable</w:t>
            </w:r>
          </w:p>
        </w:tc>
      </w:tr>
      <w:tr>
        <w:trPr>
          <w:trHeight w:val="432"/>
        </w:trPr>
        <w:tc>
          <w:tcPr>
            <w:tcW w:w="3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(c)</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Insolvency Filing:</w:t>
            </w:r>
          </w:p>
        </w:tc>
        <w:tc>
          <w:tcPr>
            <w:tcW w:w="7220" w:type="dxa"/>
            <w:vAlign w:val="bottom"/>
          </w:tcPr>
          <w:p>
            <w:pPr>
              <w:ind w:left="960"/>
              <w:spacing w:after="0"/>
              <w:rPr>
                <w:sz w:val="20"/>
                <w:szCs w:val="20"/>
                <w:color w:val="auto"/>
              </w:rPr>
            </w:pPr>
            <w:r>
              <w:rPr>
                <w:rFonts w:ascii="Arial" w:cs="Arial" w:eastAsia="Arial" w:hAnsi="Arial"/>
                <w:sz w:val="18"/>
                <w:szCs w:val="18"/>
                <w:color w:val="auto"/>
              </w:rPr>
              <w:t>Applicable</w:t>
            </w:r>
          </w:p>
        </w:tc>
      </w:tr>
      <w:tr>
        <w:trPr>
          <w:trHeight w:val="432"/>
        </w:trPr>
        <w:tc>
          <w:tcPr>
            <w:tcW w:w="3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(d)</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Hedging Disruption:</w:t>
            </w:r>
          </w:p>
        </w:tc>
        <w:tc>
          <w:tcPr>
            <w:tcW w:w="7220" w:type="dxa"/>
            <w:vAlign w:val="bottom"/>
          </w:tcPr>
          <w:p>
            <w:pPr>
              <w:ind w:left="96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32"/>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20" w:type="dxa"/>
            <w:vAlign w:val="bottom"/>
          </w:tcPr>
          <w:p>
            <w:pPr>
              <w:ind w:left="960"/>
              <w:spacing w:after="0"/>
              <w:rPr>
                <w:sz w:val="20"/>
                <w:szCs w:val="20"/>
                <w:color w:val="auto"/>
              </w:rPr>
            </w:pPr>
            <w:r>
              <w:rPr>
                <w:rFonts w:ascii="Arial" w:cs="Arial" w:eastAsia="Arial" w:hAnsi="Arial"/>
                <w:sz w:val="18"/>
                <w:szCs w:val="18"/>
                <w:color w:val="auto"/>
              </w:rPr>
              <w:t>(i)   Section 12.9(a)(v) of the Equity Definitions is hereby amended by:</w:t>
            </w:r>
          </w:p>
        </w:tc>
      </w:tr>
      <w:tr>
        <w:trPr>
          <w:trHeight w:val="418"/>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20" w:type="dxa"/>
            <w:vAlign w:val="bottom"/>
          </w:tcPr>
          <w:p>
            <w:pPr>
              <w:ind w:left="1340"/>
              <w:spacing w:after="0"/>
              <w:rPr>
                <w:sz w:val="20"/>
                <w:szCs w:val="20"/>
                <w:color w:val="auto"/>
              </w:rPr>
            </w:pPr>
            <w:r>
              <w:rPr>
                <w:rFonts w:ascii="Arial" w:cs="Arial" w:eastAsia="Arial" w:hAnsi="Arial"/>
                <w:sz w:val="18"/>
                <w:szCs w:val="18"/>
                <w:color w:val="auto"/>
              </w:rPr>
              <w:t>(a)  inserting the following words at the end of clause (A) thereof: “in the</w:t>
            </w: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20" w:type="dxa"/>
            <w:vAlign w:val="bottom"/>
          </w:tcPr>
          <w:p>
            <w:pPr>
              <w:ind w:left="1740"/>
              <w:spacing w:after="0"/>
              <w:rPr>
                <w:sz w:val="20"/>
                <w:szCs w:val="20"/>
                <w:color w:val="auto"/>
              </w:rPr>
            </w:pPr>
            <w:r>
              <w:rPr>
                <w:rFonts w:ascii="Arial" w:cs="Arial" w:eastAsia="Arial" w:hAnsi="Arial"/>
                <w:sz w:val="18"/>
                <w:szCs w:val="18"/>
                <w:color w:val="auto"/>
              </w:rPr>
              <w:t>manner contemplated by the Hedging Party on the Trade Date” and</w:t>
            </w:r>
          </w:p>
        </w:tc>
      </w:tr>
      <w:tr>
        <w:trPr>
          <w:trHeight w:val="432"/>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20" w:type="dxa"/>
            <w:vAlign w:val="bottom"/>
          </w:tcPr>
          <w:p>
            <w:pPr>
              <w:ind w:left="1340"/>
              <w:spacing w:after="0"/>
              <w:rPr>
                <w:sz w:val="20"/>
                <w:szCs w:val="20"/>
                <w:color w:val="auto"/>
              </w:rPr>
            </w:pPr>
            <w:r>
              <w:rPr>
                <w:rFonts w:ascii="Arial" w:cs="Arial" w:eastAsia="Arial" w:hAnsi="Arial"/>
                <w:sz w:val="18"/>
                <w:szCs w:val="18"/>
                <w:color w:val="auto"/>
              </w:rPr>
              <w:t>(b)  inserting the following sentence at the end of such Section:</w:t>
            </w:r>
          </w:p>
        </w:tc>
      </w:tr>
      <w:tr>
        <w:trPr>
          <w:trHeight w:val="418"/>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20" w:type="dxa"/>
            <w:vAlign w:val="bottom"/>
          </w:tcPr>
          <w:p>
            <w:pPr>
              <w:ind w:left="1740"/>
              <w:spacing w:after="0"/>
              <w:rPr>
                <w:sz w:val="20"/>
                <w:szCs w:val="20"/>
                <w:color w:val="auto"/>
              </w:rPr>
            </w:pPr>
            <w:r>
              <w:rPr>
                <w:rFonts w:ascii="Arial" w:cs="Arial" w:eastAsia="Arial" w:hAnsi="Arial"/>
                <w:sz w:val="18"/>
                <w:szCs w:val="18"/>
                <w:color w:val="auto"/>
              </w:rPr>
              <w:t>“For the avoidance of doubt, (i) the term “equity price risk” shall be</w:t>
            </w: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20" w:type="dxa"/>
            <w:vAlign w:val="bottom"/>
          </w:tcPr>
          <w:p>
            <w:pPr>
              <w:ind w:left="1740"/>
              <w:spacing w:after="0"/>
              <w:rPr>
                <w:sz w:val="20"/>
                <w:szCs w:val="20"/>
                <w:color w:val="auto"/>
              </w:rPr>
            </w:pPr>
            <w:r>
              <w:rPr>
                <w:rFonts w:ascii="Arial" w:cs="Arial" w:eastAsia="Arial" w:hAnsi="Arial"/>
                <w:sz w:val="18"/>
                <w:szCs w:val="18"/>
                <w:color w:val="auto"/>
                <w:w w:val="91"/>
              </w:rPr>
              <w:t>deemed to include, but shall not be limited to, stock price and volatility risk,</w:t>
            </w: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20" w:type="dxa"/>
            <w:vAlign w:val="bottom"/>
          </w:tcPr>
          <w:p>
            <w:pPr>
              <w:ind w:left="1740"/>
              <w:spacing w:after="0"/>
              <w:rPr>
                <w:sz w:val="20"/>
                <w:szCs w:val="20"/>
                <w:color w:val="auto"/>
              </w:rPr>
            </w:pPr>
            <w:r>
              <w:rPr>
                <w:rFonts w:ascii="Arial" w:cs="Arial" w:eastAsia="Arial" w:hAnsi="Arial"/>
                <w:sz w:val="18"/>
                <w:szCs w:val="18"/>
                <w:color w:val="auto"/>
                <w:w w:val="95"/>
              </w:rPr>
              <w:t>and (ii) the transactions or assets referred to in phrases (A) or (B) above</w:t>
            </w: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20" w:type="dxa"/>
            <w:vAlign w:val="bottom"/>
          </w:tcPr>
          <w:p>
            <w:pPr>
              <w:ind w:left="1740"/>
              <w:spacing w:after="0"/>
              <w:rPr>
                <w:sz w:val="20"/>
                <w:szCs w:val="20"/>
                <w:color w:val="auto"/>
              </w:rPr>
            </w:pPr>
            <w:r>
              <w:rPr>
                <w:rFonts w:ascii="Arial" w:cs="Arial" w:eastAsia="Arial" w:hAnsi="Arial"/>
                <w:sz w:val="18"/>
                <w:szCs w:val="18"/>
                <w:color w:val="auto"/>
                <w:w w:val="95"/>
              </w:rPr>
              <w:t>must be available on commercially reasonable pricing and other terms.”;</w:t>
            </w: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20" w:type="dxa"/>
            <w:vAlign w:val="bottom"/>
          </w:tcPr>
          <w:p>
            <w:pPr>
              <w:ind w:left="1740"/>
              <w:spacing w:after="0"/>
              <w:rPr>
                <w:sz w:val="20"/>
                <w:szCs w:val="20"/>
                <w:color w:val="auto"/>
              </w:rPr>
            </w:pPr>
            <w:r>
              <w:rPr>
                <w:rFonts w:ascii="Arial" w:cs="Arial" w:eastAsia="Arial" w:hAnsi="Arial"/>
                <w:sz w:val="18"/>
                <w:szCs w:val="18"/>
                <w:color w:val="auto"/>
              </w:rPr>
              <w:t>and</w:t>
            </w:r>
          </w:p>
        </w:tc>
      </w:tr>
      <w:tr>
        <w:trPr>
          <w:trHeight w:val="418"/>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20" w:type="dxa"/>
            <w:vAlign w:val="bottom"/>
          </w:tcPr>
          <w:p>
            <w:pPr>
              <w:ind w:left="960"/>
              <w:spacing w:after="0"/>
              <w:rPr>
                <w:sz w:val="20"/>
                <w:szCs w:val="20"/>
                <w:color w:val="auto"/>
              </w:rPr>
            </w:pPr>
            <w:r>
              <w:rPr>
                <w:rFonts w:ascii="Arial" w:cs="Arial" w:eastAsia="Arial" w:hAnsi="Arial"/>
                <w:sz w:val="18"/>
                <w:szCs w:val="18"/>
                <w:color w:val="auto"/>
                <w:w w:val="96"/>
              </w:rPr>
              <w:t>(ii)  Section 12.9(b)(iii) of the Equity Definitions is hereby amended by inserting in</w:t>
            </w: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20" w:type="dxa"/>
            <w:vAlign w:val="bottom"/>
          </w:tcPr>
          <w:p>
            <w:pPr>
              <w:ind w:left="1340"/>
              <w:spacing w:after="0"/>
              <w:rPr>
                <w:sz w:val="20"/>
                <w:szCs w:val="20"/>
                <w:color w:val="auto"/>
              </w:rPr>
            </w:pPr>
            <w:r>
              <w:rPr>
                <w:rFonts w:ascii="Arial" w:cs="Arial" w:eastAsia="Arial" w:hAnsi="Arial"/>
                <w:sz w:val="18"/>
                <w:szCs w:val="18"/>
                <w:color w:val="auto"/>
                <w:w w:val="94"/>
              </w:rPr>
              <w:t>the third line thereof, after the words “to terminate the Transaction”, the words</w:t>
            </w: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20" w:type="dxa"/>
            <w:vAlign w:val="bottom"/>
          </w:tcPr>
          <w:p>
            <w:pPr>
              <w:ind w:left="1340"/>
              <w:spacing w:after="0"/>
              <w:rPr>
                <w:sz w:val="20"/>
                <w:szCs w:val="20"/>
                <w:color w:val="auto"/>
              </w:rPr>
            </w:pPr>
            <w:r>
              <w:rPr>
                <w:rFonts w:ascii="Arial" w:cs="Arial" w:eastAsia="Arial" w:hAnsi="Arial"/>
                <w:sz w:val="18"/>
                <w:szCs w:val="18"/>
                <w:color w:val="auto"/>
              </w:rPr>
              <w:t>“or a portion of the Transaction affected by such Hedging Disruption”.</w:t>
            </w:r>
          </w:p>
        </w:tc>
      </w:tr>
      <w:tr>
        <w:trPr>
          <w:trHeight w:val="432"/>
        </w:trPr>
        <w:tc>
          <w:tcPr>
            <w:tcW w:w="3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(e)</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Increased Cost of Hedging:</w:t>
            </w:r>
          </w:p>
        </w:tc>
        <w:tc>
          <w:tcPr>
            <w:tcW w:w="7220" w:type="dxa"/>
            <w:vAlign w:val="bottom"/>
          </w:tcPr>
          <w:p>
            <w:pPr>
              <w:ind w:left="960"/>
              <w:spacing w:after="0"/>
              <w:rPr>
                <w:sz w:val="20"/>
                <w:szCs w:val="20"/>
                <w:color w:val="auto"/>
              </w:rPr>
            </w:pPr>
            <w:r>
              <w:rPr>
                <w:rFonts w:ascii="Arial" w:cs="Arial" w:eastAsia="Arial" w:hAnsi="Arial"/>
                <w:sz w:val="18"/>
                <w:szCs w:val="18"/>
                <w:color w:val="auto"/>
              </w:rPr>
              <w:t>Applicable</w:t>
            </w:r>
          </w:p>
        </w:tc>
      </w:tr>
      <w:tr>
        <w:trPr>
          <w:trHeight w:val="432"/>
        </w:trPr>
        <w:tc>
          <w:tcPr>
            <w:tcW w:w="3540" w:type="dxa"/>
            <w:vAlign w:val="bottom"/>
            <w:gridSpan w:val="4"/>
          </w:tcPr>
          <w:p>
            <w:pPr>
              <w:spacing w:after="0"/>
              <w:rPr>
                <w:sz w:val="20"/>
                <w:szCs w:val="20"/>
                <w:color w:val="auto"/>
              </w:rPr>
            </w:pPr>
            <w:r>
              <w:rPr>
                <w:rFonts w:ascii="Arial" w:cs="Arial" w:eastAsia="Arial" w:hAnsi="Arial"/>
                <w:sz w:val="18"/>
                <w:szCs w:val="18"/>
                <w:color w:val="auto"/>
              </w:rPr>
              <w:t>Hedging Party:</w:t>
            </w:r>
          </w:p>
        </w:tc>
        <w:tc>
          <w:tcPr>
            <w:tcW w:w="7220" w:type="dxa"/>
            <w:vAlign w:val="bottom"/>
          </w:tcPr>
          <w:p>
            <w:pPr>
              <w:ind w:left="960"/>
              <w:spacing w:after="0"/>
              <w:rPr>
                <w:sz w:val="20"/>
                <w:szCs w:val="20"/>
                <w:color w:val="auto"/>
              </w:rPr>
            </w:pPr>
            <w:r>
              <w:rPr>
                <w:rFonts w:ascii="Arial" w:cs="Arial" w:eastAsia="Arial" w:hAnsi="Arial"/>
                <w:sz w:val="18"/>
                <w:szCs w:val="18"/>
                <w:color w:val="auto"/>
              </w:rPr>
              <w:t>Dealer</w:t>
            </w:r>
          </w:p>
        </w:tc>
      </w:tr>
      <w:tr>
        <w:trPr>
          <w:trHeight w:val="432"/>
        </w:trPr>
        <w:tc>
          <w:tcPr>
            <w:tcW w:w="3540" w:type="dxa"/>
            <w:vAlign w:val="bottom"/>
            <w:gridSpan w:val="4"/>
          </w:tcPr>
          <w:p>
            <w:pPr>
              <w:spacing w:after="0"/>
              <w:rPr>
                <w:sz w:val="20"/>
                <w:szCs w:val="20"/>
                <w:color w:val="auto"/>
              </w:rPr>
            </w:pPr>
            <w:r>
              <w:rPr>
                <w:rFonts w:ascii="Arial" w:cs="Arial" w:eastAsia="Arial" w:hAnsi="Arial"/>
                <w:sz w:val="18"/>
                <w:szCs w:val="18"/>
                <w:color w:val="auto"/>
              </w:rPr>
              <w:t>Determining Party:</w:t>
            </w:r>
          </w:p>
        </w:tc>
        <w:tc>
          <w:tcPr>
            <w:tcW w:w="7220" w:type="dxa"/>
            <w:vAlign w:val="bottom"/>
          </w:tcPr>
          <w:p>
            <w:pPr>
              <w:ind w:left="960"/>
              <w:spacing w:after="0"/>
              <w:rPr>
                <w:sz w:val="20"/>
                <w:szCs w:val="20"/>
                <w:color w:val="auto"/>
              </w:rPr>
            </w:pPr>
            <w:r>
              <w:rPr>
                <w:rFonts w:ascii="Arial" w:cs="Arial" w:eastAsia="Arial" w:hAnsi="Arial"/>
                <w:sz w:val="18"/>
                <w:szCs w:val="18"/>
                <w:color w:val="auto"/>
              </w:rPr>
              <w:t>Dealer</w:t>
            </w:r>
          </w:p>
        </w:tc>
      </w:tr>
      <w:tr>
        <w:trPr>
          <w:trHeight w:val="432"/>
        </w:trPr>
        <w:tc>
          <w:tcPr>
            <w:tcW w:w="3540" w:type="dxa"/>
            <w:vAlign w:val="bottom"/>
            <w:gridSpan w:val="4"/>
          </w:tcPr>
          <w:p>
            <w:pPr>
              <w:spacing w:after="0"/>
              <w:rPr>
                <w:sz w:val="20"/>
                <w:szCs w:val="20"/>
                <w:color w:val="auto"/>
              </w:rPr>
            </w:pPr>
            <w:r>
              <w:rPr>
                <w:rFonts w:ascii="Arial" w:cs="Arial" w:eastAsia="Arial" w:hAnsi="Arial"/>
                <w:sz w:val="18"/>
                <w:szCs w:val="18"/>
                <w:color w:val="auto"/>
              </w:rPr>
              <w:t>Non-Reliance:</w:t>
            </w:r>
          </w:p>
        </w:tc>
        <w:tc>
          <w:tcPr>
            <w:tcW w:w="7220" w:type="dxa"/>
            <w:vAlign w:val="bottom"/>
          </w:tcPr>
          <w:p>
            <w:pPr>
              <w:ind w:left="960"/>
              <w:spacing w:after="0"/>
              <w:rPr>
                <w:sz w:val="20"/>
                <w:szCs w:val="20"/>
                <w:color w:val="auto"/>
              </w:rPr>
            </w:pPr>
            <w:r>
              <w:rPr>
                <w:rFonts w:ascii="Arial" w:cs="Arial" w:eastAsia="Arial" w:hAnsi="Arial"/>
                <w:sz w:val="18"/>
                <w:szCs w:val="18"/>
                <w:color w:val="auto"/>
              </w:rPr>
              <w:t>Applicable</w:t>
            </w:r>
          </w:p>
        </w:tc>
      </w:tr>
      <w:tr>
        <w:trPr>
          <w:trHeight w:val="432"/>
        </w:trPr>
        <w:tc>
          <w:tcPr>
            <w:tcW w:w="3540" w:type="dxa"/>
            <w:vAlign w:val="bottom"/>
            <w:gridSpan w:val="4"/>
          </w:tcPr>
          <w:p>
            <w:pPr>
              <w:spacing w:after="0"/>
              <w:rPr>
                <w:sz w:val="20"/>
                <w:szCs w:val="20"/>
                <w:color w:val="auto"/>
              </w:rPr>
            </w:pPr>
            <w:r>
              <w:rPr>
                <w:rFonts w:ascii="Arial" w:cs="Arial" w:eastAsia="Arial" w:hAnsi="Arial"/>
                <w:sz w:val="18"/>
                <w:szCs w:val="18"/>
                <w:color w:val="auto"/>
              </w:rPr>
              <w:t>Agreements and Acknowledgments</w:t>
            </w:r>
          </w:p>
        </w:tc>
        <w:tc>
          <w:tcPr>
            <w:tcW w:w="7220" w:type="dxa"/>
            <w:vAlign w:val="bottom"/>
          </w:tcPr>
          <w:p>
            <w:pPr>
              <w:spacing w:after="0"/>
              <w:rPr>
                <w:sz w:val="24"/>
                <w:szCs w:val="24"/>
                <w:color w:val="auto"/>
              </w:rPr>
            </w:pPr>
          </w:p>
        </w:tc>
      </w:tr>
      <w:tr>
        <w:trPr>
          <w:trHeight w:val="432"/>
        </w:trPr>
        <w:tc>
          <w:tcPr>
            <w:tcW w:w="3540" w:type="dxa"/>
            <w:vAlign w:val="bottom"/>
            <w:gridSpan w:val="4"/>
          </w:tcPr>
          <w:p>
            <w:pPr>
              <w:spacing w:after="0"/>
              <w:rPr>
                <w:sz w:val="20"/>
                <w:szCs w:val="20"/>
                <w:color w:val="auto"/>
              </w:rPr>
            </w:pPr>
            <w:r>
              <w:rPr>
                <w:rFonts w:ascii="Arial" w:cs="Arial" w:eastAsia="Arial" w:hAnsi="Arial"/>
                <w:sz w:val="18"/>
                <w:szCs w:val="18"/>
                <w:color w:val="auto"/>
              </w:rPr>
              <w:t>Regarding Hedging Activities:</w:t>
            </w:r>
          </w:p>
        </w:tc>
        <w:tc>
          <w:tcPr>
            <w:tcW w:w="7220" w:type="dxa"/>
            <w:vAlign w:val="bottom"/>
          </w:tcPr>
          <w:p>
            <w:pPr>
              <w:ind w:left="960"/>
              <w:spacing w:after="0"/>
              <w:rPr>
                <w:sz w:val="20"/>
                <w:szCs w:val="20"/>
                <w:color w:val="auto"/>
              </w:rPr>
            </w:pPr>
            <w:r>
              <w:rPr>
                <w:rFonts w:ascii="Arial" w:cs="Arial" w:eastAsia="Arial" w:hAnsi="Arial"/>
                <w:sz w:val="18"/>
                <w:szCs w:val="18"/>
                <w:color w:val="auto"/>
              </w:rPr>
              <w:t>Applicable</w:t>
            </w:r>
          </w:p>
        </w:tc>
      </w:tr>
      <w:tr>
        <w:trPr>
          <w:trHeight w:val="432"/>
        </w:trPr>
        <w:tc>
          <w:tcPr>
            <w:tcW w:w="3540" w:type="dxa"/>
            <w:vAlign w:val="bottom"/>
            <w:gridSpan w:val="4"/>
          </w:tcPr>
          <w:p>
            <w:pPr>
              <w:spacing w:after="0"/>
              <w:rPr>
                <w:sz w:val="20"/>
                <w:szCs w:val="20"/>
                <w:color w:val="auto"/>
              </w:rPr>
            </w:pPr>
            <w:r>
              <w:rPr>
                <w:rFonts w:ascii="Arial" w:cs="Arial" w:eastAsia="Arial" w:hAnsi="Arial"/>
                <w:sz w:val="18"/>
                <w:szCs w:val="18"/>
                <w:color w:val="auto"/>
              </w:rPr>
              <w:t>Additional Acknowledgments:</w:t>
            </w:r>
          </w:p>
        </w:tc>
        <w:tc>
          <w:tcPr>
            <w:tcW w:w="7220" w:type="dxa"/>
            <w:vAlign w:val="bottom"/>
          </w:tcPr>
          <w:p>
            <w:pPr>
              <w:ind w:left="960"/>
              <w:spacing w:after="0"/>
              <w:rPr>
                <w:sz w:val="20"/>
                <w:szCs w:val="20"/>
                <w:color w:val="auto"/>
              </w:rPr>
            </w:pPr>
            <w:r>
              <w:rPr>
                <w:rFonts w:ascii="Arial" w:cs="Arial" w:eastAsia="Arial" w:hAnsi="Arial"/>
                <w:sz w:val="18"/>
                <w:szCs w:val="18"/>
                <w:color w:val="auto"/>
              </w:rPr>
              <w:t>Applicable</w:t>
            </w:r>
          </w:p>
        </w:tc>
      </w:tr>
      <w:tr>
        <w:trPr>
          <w:trHeight w:val="392"/>
        </w:trPr>
        <w:tc>
          <w:tcPr>
            <w:tcW w:w="3540" w:type="dxa"/>
            <w:vAlign w:val="bottom"/>
            <w:gridSpan w:val="4"/>
          </w:tcPr>
          <w:p>
            <w:pPr>
              <w:spacing w:after="0"/>
              <w:rPr>
                <w:sz w:val="20"/>
                <w:szCs w:val="20"/>
                <w:color w:val="auto"/>
              </w:rPr>
            </w:pPr>
            <w:r>
              <w:rPr>
                <w:rFonts w:ascii="Arial" w:cs="Arial" w:eastAsia="Arial" w:hAnsi="Arial"/>
                <w:sz w:val="18"/>
                <w:szCs w:val="18"/>
                <w:color w:val="auto"/>
              </w:rPr>
              <w:t>3.  Calculation Agent:</w:t>
            </w:r>
          </w:p>
        </w:tc>
        <w:tc>
          <w:tcPr>
            <w:tcW w:w="7220" w:type="dxa"/>
            <w:vAlign w:val="bottom"/>
          </w:tcPr>
          <w:p>
            <w:pPr>
              <w:ind w:left="960"/>
              <w:spacing w:after="0"/>
              <w:rPr>
                <w:sz w:val="20"/>
                <w:szCs w:val="20"/>
                <w:color w:val="auto"/>
              </w:rPr>
            </w:pPr>
            <w:r>
              <w:rPr>
                <w:rFonts w:ascii="Arial" w:cs="Arial" w:eastAsia="Arial" w:hAnsi="Arial"/>
                <w:sz w:val="18"/>
                <w:szCs w:val="18"/>
                <w:color w:val="auto"/>
              </w:rPr>
              <w:t>Dealer.</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4" w:hanging="324"/>
        <w:spacing w:after="0"/>
        <w:tabs>
          <w:tab w:leader="none" w:pos="324"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Account Details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Dealer Payment Instructions:</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57" w:name="page158"/>
    <w:bookmarkEnd w:id="157"/>
    <w:p>
      <w:pPr>
        <w:ind w:left="1292"/>
        <w:spacing w:after="0"/>
        <w:rPr>
          <w:sz w:val="20"/>
          <w:szCs w:val="20"/>
          <w:color w:val="auto"/>
        </w:rPr>
      </w:pPr>
      <w:r>
        <w:rPr>
          <w:rFonts w:ascii="Arial" w:cs="Arial" w:eastAsia="Arial" w:hAnsi="Arial"/>
          <w:sz w:val="18"/>
          <w:szCs w:val="18"/>
          <w:color w:val="auto"/>
        </w:rPr>
        <w:t>Chase Manhattan Bank New York</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For A/C Goldman Sachs &amp; Co. LLC</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A/C #930-1-011483</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ABA: 021-000021</w:t>
      </w:r>
    </w:p>
    <w:p>
      <w:pPr>
        <w:spacing w:after="0" w:line="21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Counterparty Payment Instructions:</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To be provided by Counterparty.</w:t>
      </w:r>
    </w:p>
    <w:p>
      <w:pPr>
        <w:spacing w:after="0" w:line="225" w:lineRule="exact"/>
        <w:rPr>
          <w:sz w:val="20"/>
          <w:szCs w:val="20"/>
          <w:color w:val="auto"/>
        </w:rPr>
      </w:pPr>
    </w:p>
    <w:p>
      <w:pPr>
        <w:ind w:left="972" w:hanging="324"/>
        <w:spacing w:after="0"/>
        <w:tabs>
          <w:tab w:leader="none" w:pos="972"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72"/>
        <w:spacing w:after="0"/>
        <w:rPr>
          <w:rFonts w:ascii="Arial" w:cs="Arial" w:eastAsia="Arial" w:hAnsi="Arial"/>
          <w:sz w:val="18"/>
          <w:szCs w:val="18"/>
          <w:color w:val="auto"/>
        </w:rPr>
      </w:pPr>
      <w:r>
        <w:rPr>
          <w:rFonts w:ascii="Arial" w:cs="Arial" w:eastAsia="Arial" w:hAnsi="Arial"/>
          <w:sz w:val="18"/>
          <w:szCs w:val="18"/>
          <w:color w:val="auto"/>
        </w:rPr>
        <w:t>The Office of Dealer for the Transaction is: 200 West Street, New York, New York 10282-2198</w:t>
      </w:r>
    </w:p>
    <w:p>
      <w:pPr>
        <w:spacing w:after="0" w:line="225" w:lineRule="exact"/>
        <w:rPr>
          <w:rFonts w:ascii="Arial" w:cs="Arial" w:eastAsia="Arial" w:hAnsi="Arial"/>
          <w:sz w:val="18"/>
          <w:szCs w:val="18"/>
          <w:color w:val="auto"/>
        </w:rPr>
      </w:pPr>
    </w:p>
    <w:p>
      <w:pPr>
        <w:ind w:left="972"/>
        <w:spacing w:after="0"/>
        <w:rPr>
          <w:rFonts w:ascii="Arial" w:cs="Arial" w:eastAsia="Arial" w:hAnsi="Arial"/>
          <w:sz w:val="18"/>
          <w:szCs w:val="18"/>
          <w:color w:val="auto"/>
        </w:rPr>
      </w:pPr>
      <w:r>
        <w:rPr>
          <w:rFonts w:ascii="Arial" w:cs="Arial" w:eastAsia="Arial" w:hAnsi="Arial"/>
          <w:sz w:val="16"/>
          <w:szCs w:val="16"/>
          <w:color w:val="auto"/>
        </w:rPr>
        <w:t>The Office of Counterparty for the Transaction is: Inapplicable, Counterparty is not a Multibranch Party.</w:t>
      </w:r>
    </w:p>
    <w:p>
      <w:pPr>
        <w:spacing w:after="0" w:line="248" w:lineRule="exact"/>
        <w:rPr>
          <w:rFonts w:ascii="Arial" w:cs="Arial" w:eastAsia="Arial" w:hAnsi="Arial"/>
          <w:sz w:val="18"/>
          <w:szCs w:val="18"/>
          <w:color w:val="auto"/>
        </w:rPr>
      </w:pPr>
    </w:p>
    <w:p>
      <w:pPr>
        <w:ind w:left="972" w:hanging="324"/>
        <w:spacing w:after="0"/>
        <w:tabs>
          <w:tab w:leader="none" w:pos="972"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sz w:val="20"/>
          <w:szCs w:val="20"/>
          <w:color w:val="auto"/>
        </w:rPr>
      </w:pPr>
    </w:p>
    <w:p>
      <w:pPr>
        <w:ind w:left="1292" w:hanging="644"/>
        <w:spacing w:after="0"/>
        <w:tabs>
          <w:tab w:leader="none" w:pos="129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Counterparty:(1)</w:t>
      </w:r>
    </w:p>
    <w:p>
      <w:pPr>
        <w:spacing w:after="0" w:line="225"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3" w:lineRule="exact"/>
        <w:rPr>
          <w:rFonts w:ascii="Arial" w:cs="Arial" w:eastAsia="Arial" w:hAnsi="Arial"/>
          <w:sz w:val="18"/>
          <w:szCs w:val="18"/>
          <w:color w:val="auto"/>
        </w:rPr>
      </w:pPr>
    </w:p>
    <w:p>
      <w:pPr>
        <w:ind w:left="1292" w:right="7560"/>
        <w:spacing w:after="0" w:line="302" w:lineRule="auto"/>
        <w:rPr>
          <w:rFonts w:ascii="Arial" w:cs="Arial" w:eastAsia="Arial" w:hAnsi="Arial"/>
          <w:sz w:val="18"/>
          <w:szCs w:val="18"/>
          <w:color w:val="auto"/>
        </w:rPr>
      </w:pPr>
      <w:r>
        <w:rPr>
          <w:rFonts w:ascii="Arial" w:cs="Arial" w:eastAsia="Arial" w:hAnsi="Arial"/>
          <w:sz w:val="16"/>
          <w:szCs w:val="16"/>
          <w:color w:val="auto"/>
        </w:rPr>
        <w:t>13200 Pioneer Trail, Suite 150 Eden Prarie, MN 55347 Attention: Bert Jameson, Treasurer</w:t>
      </w:r>
    </w:p>
    <w:p>
      <w:pPr>
        <w:spacing w:after="0" w:line="155" w:lineRule="exact"/>
        <w:rPr>
          <w:rFonts w:ascii="Arial" w:cs="Arial" w:eastAsia="Arial" w:hAnsi="Arial"/>
          <w:sz w:val="18"/>
          <w:szCs w:val="18"/>
          <w:color w:val="auto"/>
        </w:rPr>
      </w:pPr>
    </w:p>
    <w:p>
      <w:pPr>
        <w:ind w:left="1312" w:hanging="664"/>
        <w:spacing w:after="0"/>
        <w:tabs>
          <w:tab w:leader="none" w:pos="131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ectPr>
          <w:pgSz w:w="11900" w:h="16838" w:orient="portrait"/>
          <w:cols w:equalWidth="0" w:num="1">
            <w:col w:w="11372"/>
          </w:cols>
          <w:pgMar w:left="248" w:top="341" w:right="279" w:bottom="1440" w:gutter="0" w:footer="0" w:header="0"/>
        </w:sectPr>
      </w:pP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Facsimile:</w:t>
      </w:r>
    </w:p>
    <w:p>
      <w:pPr>
        <w:spacing w:after="0" w:line="2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10282-2198</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Voris,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212-902-4895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212-291-5027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michael.voris@gs.com</w:t>
      </w:r>
    </w:p>
    <w:p>
      <w:pPr>
        <w:spacing w:after="0" w:line="200" w:lineRule="exact"/>
        <w:rPr>
          <w:sz w:val="20"/>
          <w:szCs w:val="20"/>
          <w:color w:val="auto"/>
        </w:rPr>
      </w:pPr>
    </w:p>
    <w:p>
      <w:pPr>
        <w:sectPr>
          <w:pgSz w:w="11900" w:h="16838" w:orient="portrait"/>
          <w:cols w:equalWidth="0" w:num="2">
            <w:col w:w="2092" w:space="480"/>
            <w:col w:w="8800"/>
          </w:cols>
          <w:pgMar w:left="248" w:top="341" w:right="279" w:bottom="1440" w:gutter="0" w:footer="0" w:header="0"/>
          <w:type w:val="continuous"/>
        </w:sectPr>
      </w:pPr>
    </w:p>
    <w:p>
      <w:pPr>
        <w:spacing w:after="0" w:line="1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372"/>
          </w:cols>
          <w:pgMar w:left="248" w:top="341" w:right="279" w:bottom="1440" w:gutter="0" w:footer="0" w:header="0"/>
          <w:type w:val="continuous"/>
        </w:sectPr>
      </w:pPr>
    </w:p>
    <w:p>
      <w:pPr>
        <w:spacing w:after="0" w:line="248"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Adam Bilali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212-357-2021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adam.bilali@gs.com</w:t>
      </w:r>
    </w:p>
    <w:p>
      <w:pPr>
        <w:spacing w:after="0" w:line="222" w:lineRule="exact"/>
        <w:rPr>
          <w:sz w:val="20"/>
          <w:szCs w:val="20"/>
          <w:color w:val="auto"/>
        </w:rPr>
      </w:pPr>
    </w:p>
    <w:p>
      <w:pPr>
        <w:sectPr>
          <w:pgSz w:w="11900" w:h="16838" w:orient="portrait"/>
          <w:cols w:equalWidth="0" w:num="2">
            <w:col w:w="2092" w:space="480"/>
            <w:col w:w="8800"/>
          </w:cols>
          <w:pgMar w:left="248" w:top="341" w:right="279" w:bottom="1440" w:gutter="0" w:footer="0" w:header="0"/>
          <w:type w:val="continuous"/>
        </w:sectPr>
      </w:pPr>
    </w:p>
    <w:p>
      <w:pPr>
        <w:spacing w:after="0" w:line="7" w:lineRule="exact"/>
        <w:rPr>
          <w:sz w:val="20"/>
          <w:szCs w:val="20"/>
          <w:color w:val="auto"/>
        </w:rPr>
      </w:pPr>
    </w:p>
    <w:p>
      <w:pPr>
        <w:ind w:left="1292"/>
        <w:spacing w:after="0"/>
        <w:rPr>
          <w:sz w:val="20"/>
          <w:szCs w:val="20"/>
          <w:color w:val="auto"/>
        </w:rPr>
      </w:pPr>
      <w:r>
        <w:rPr>
          <w:rFonts w:ascii="Arial" w:cs="Arial" w:eastAsia="Arial" w:hAnsi="Arial"/>
          <w:sz w:val="18"/>
          <w:szCs w:val="18"/>
          <w:b w:val="1"/>
          <w:bCs w:val="1"/>
          <w:color w:val="auto"/>
        </w:rPr>
        <w:t>And email notification to the following address:</w:t>
      </w:r>
    </w:p>
    <w:p>
      <w:pPr>
        <w:spacing w:after="0" w:line="27" w:lineRule="exact"/>
        <w:rPr>
          <w:sz w:val="20"/>
          <w:szCs w:val="20"/>
          <w:color w:val="auto"/>
        </w:rPr>
      </w:pPr>
    </w:p>
    <w:p>
      <w:pPr>
        <w:ind w:left="1292"/>
        <w:spacing w:after="0"/>
        <w:rPr>
          <w:sz w:val="20"/>
          <w:szCs w:val="20"/>
          <w:color w:val="auto"/>
        </w:rPr>
      </w:pPr>
      <w:r>
        <w:rPr>
          <w:rFonts w:ascii="Arial" w:cs="Arial" w:eastAsia="Arial" w:hAnsi="Arial"/>
          <w:sz w:val="18"/>
          <w:szCs w:val="18"/>
          <w:b w:val="1"/>
          <w:bCs w:val="1"/>
          <w:color w:val="auto"/>
        </w:rPr>
        <w:t>Eq-derivs-notifications@am.ibd.gs.com</w:t>
      </w:r>
    </w:p>
    <w:p>
      <w:pPr>
        <w:spacing w:after="0" w:line="211" w:lineRule="exact"/>
        <w:rPr>
          <w:sz w:val="20"/>
          <w:szCs w:val="20"/>
          <w:color w:val="auto"/>
        </w:rPr>
      </w:pPr>
    </w:p>
    <w:p>
      <w:pPr>
        <w:ind w:left="972" w:hanging="324"/>
        <w:spacing w:after="0"/>
        <w:tabs>
          <w:tab w:leader="none" w:pos="972"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left="-8" w:right="460" w:firstLine="656"/>
        <w:spacing w:after="0" w:line="277" w:lineRule="auto"/>
        <w:tabs>
          <w:tab w:leader="none" w:pos="128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52" w:firstLine="645"/>
        <w:spacing w:after="0" w:line="302" w:lineRule="auto"/>
        <w:tabs>
          <w:tab w:leader="none" w:pos="1970" w:val="left"/>
        </w:tabs>
        <w:numPr>
          <w:ilvl w:val="2"/>
          <w:numId w:val="177"/>
        </w:numPr>
        <w:rPr>
          <w:rFonts w:ascii="Arial" w:cs="Arial" w:eastAsia="Arial" w:hAnsi="Arial"/>
          <w:sz w:val="16"/>
          <w:szCs w:val="16"/>
          <w:color w:val="auto"/>
        </w:rPr>
      </w:pPr>
      <w:r>
        <w:rPr>
          <w:rFonts w:ascii="Arial" w:cs="Arial" w:eastAsia="Arial" w:hAnsi="Arial"/>
          <w:sz w:val="16"/>
          <w:szCs w:val="16"/>
          <w:color w:val="auto"/>
        </w:rPr>
        <w:t>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when considered as a whole (with the more recent such reports and documents deemed to amend</w:t>
      </w:r>
    </w:p>
    <w:p>
      <w:pPr>
        <w:spacing w:after="0" w:line="383" w:lineRule="exact"/>
        <w:rPr>
          <w:rFonts w:ascii="Arial" w:cs="Arial" w:eastAsia="Arial" w:hAnsi="Arial"/>
          <w:sz w:val="16"/>
          <w:szCs w:val="16"/>
          <w:color w:val="auto"/>
        </w:rPr>
      </w:pPr>
    </w:p>
    <w:p>
      <w:pPr>
        <w:ind w:left="292" w:hanging="292"/>
        <w:spacing w:after="0"/>
        <w:tabs>
          <w:tab w:leader="none" w:pos="29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Please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1826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type w:val="continuous"/>
        </w:sectPr>
      </w:pPr>
    </w:p>
    <w:bookmarkStart w:id="158" w:name="page159"/>
    <w:bookmarkEnd w:id="158"/>
    <w:p>
      <w:pPr>
        <w:ind w:right="20"/>
        <w:spacing w:after="0" w:line="264" w:lineRule="auto"/>
        <w:rPr>
          <w:sz w:val="20"/>
          <w:szCs w:val="20"/>
          <w:color w:val="auto"/>
        </w:rPr>
      </w:pPr>
      <w:r>
        <w:rPr>
          <w:rFonts w:ascii="Arial" w:cs="Arial" w:eastAsia="Arial" w:hAnsi="Arial"/>
          <w:sz w:val="18"/>
          <w:szCs w:val="18"/>
          <w:color w:val="auto"/>
        </w:rPr>
        <w:t>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1" w:lineRule="exact"/>
        <w:rPr>
          <w:sz w:val="20"/>
          <w:szCs w:val="20"/>
          <w:color w:val="auto"/>
        </w:rPr>
      </w:pPr>
    </w:p>
    <w:p>
      <w:pPr>
        <w:jc w:val="both"/>
        <w:ind w:right="20" w:firstLine="645"/>
        <w:spacing w:after="0" w:line="279" w:lineRule="auto"/>
        <w:tabs>
          <w:tab w:leader="none" w:pos="132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 On the Trade Date, the Shares or securities that are convertible into, or exchangeable or exercisable for Shares, are not subject to a “restricted period,” as such term is defined in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spacing w:after="0" w:line="171" w:lineRule="exact"/>
        <w:rPr>
          <w:rFonts w:ascii="Arial" w:cs="Arial" w:eastAsia="Arial" w:hAnsi="Arial"/>
          <w:sz w:val="17"/>
          <w:szCs w:val="17"/>
          <w:color w:val="auto"/>
        </w:rPr>
      </w:pPr>
    </w:p>
    <w:p>
      <w:pPr>
        <w:ind w:firstLine="645"/>
        <w:spacing w:after="0" w:line="257" w:lineRule="auto"/>
        <w:tabs>
          <w:tab w:leader="none" w:pos="13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188" w:lineRule="exact"/>
        <w:rPr>
          <w:rFonts w:ascii="Arial" w:cs="Arial" w:eastAsia="Arial" w:hAnsi="Arial"/>
          <w:sz w:val="18"/>
          <w:szCs w:val="18"/>
          <w:color w:val="auto"/>
        </w:rPr>
      </w:pPr>
    </w:p>
    <w:p>
      <w:pPr>
        <w:ind w:right="320" w:firstLine="645"/>
        <w:spacing w:after="0" w:line="277" w:lineRule="auto"/>
        <w:tabs>
          <w:tab w:leader="none" w:pos="131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right="240" w:firstLine="645"/>
        <w:spacing w:after="0" w:line="297" w:lineRule="auto"/>
        <w:tabs>
          <w:tab w:leader="none" w:pos="130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490.1110 of the Iowa Business Corporation Act as an “interested stockholder”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spacing w:after="0" w:line="158" w:lineRule="exact"/>
        <w:rPr>
          <w:rFonts w:ascii="Arial" w:cs="Arial" w:eastAsia="Arial" w:hAnsi="Arial"/>
          <w:sz w:val="16"/>
          <w:szCs w:val="16"/>
          <w:color w:val="auto"/>
        </w:rPr>
      </w:pPr>
    </w:p>
    <w:p>
      <w:pPr>
        <w:ind w:right="40" w:firstLine="645"/>
        <w:spacing w:after="0" w:line="264" w:lineRule="auto"/>
        <w:tabs>
          <w:tab w:leader="none" w:pos="131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right="740" w:firstLine="645"/>
        <w:spacing w:after="0" w:line="277" w:lineRule="auto"/>
        <w:tabs>
          <w:tab w:leader="none" w:pos="132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On each of the Trade Date and the Premium Payment Date, Counterparty is not “insolvent” (as such term is defined under</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Section 101(32) of the U.S.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Counterparty would be able to purchase the Number of Shares in compliance with the laws of the jurisdiction of Counterparty’s incorporation.</w:t>
      </w:r>
    </w:p>
    <w:p>
      <w:pPr>
        <w:spacing w:after="0" w:line="184" w:lineRule="exact"/>
        <w:rPr>
          <w:sz w:val="20"/>
          <w:szCs w:val="20"/>
          <w:color w:val="auto"/>
        </w:rPr>
      </w:pPr>
    </w:p>
    <w:p>
      <w:pPr>
        <w:jc w:val="both"/>
        <w:ind w:right="80" w:firstLine="645"/>
        <w:spacing w:after="0" w:line="259" w:lineRule="auto"/>
        <w:tabs>
          <w:tab w:leader="none" w:pos="131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representations and warranties of Counterparty set forth in Section 3 of the Agreement and Section 1 of the Purchase Agreement, dated as of October 29, 2019, between Goldman Sachs &amp; Co. LLC and BMO Capital Markets Corp. as the Representatives and Counterparty (the “</w:t>
      </w:r>
      <w:r>
        <w:rPr>
          <w:rFonts w:ascii="Arial" w:cs="Arial" w:eastAsia="Arial" w:hAnsi="Arial"/>
          <w:sz w:val="18"/>
          <w:szCs w:val="18"/>
          <w:b w:val="1"/>
          <w:bCs w:val="1"/>
          <w:color w:val="auto"/>
        </w:rPr>
        <w:t>Purchase Agreement</w:t>
      </w:r>
      <w:r>
        <w:rPr>
          <w:rFonts w:ascii="Arial" w:cs="Arial" w:eastAsia="Arial" w:hAnsi="Arial"/>
          <w:sz w:val="18"/>
          <w:szCs w:val="18"/>
          <w:color w:val="auto"/>
        </w:rPr>
        <w:t>”) are true and correct as of the Trade Date and the Effective Date and are hereby deemed to be repeated to Dealer as if set forth herein.</w:t>
      </w:r>
    </w:p>
    <w:p>
      <w:pPr>
        <w:spacing w:after="0" w:line="186" w:lineRule="exact"/>
        <w:rPr>
          <w:rFonts w:ascii="Arial" w:cs="Arial" w:eastAsia="Arial" w:hAnsi="Arial"/>
          <w:sz w:val="18"/>
          <w:szCs w:val="18"/>
          <w:color w:val="auto"/>
        </w:rPr>
      </w:pPr>
    </w:p>
    <w:p>
      <w:pPr>
        <w:ind w:right="100" w:firstLine="645"/>
        <w:spacing w:after="0" w:line="264" w:lineRule="auto"/>
        <w:tabs>
          <w:tab w:leader="none" w:pos="130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81" w:lineRule="exact"/>
        <w:rPr>
          <w:rFonts w:ascii="Arial" w:cs="Arial" w:eastAsia="Arial" w:hAnsi="Arial"/>
          <w:sz w:val="18"/>
          <w:szCs w:val="18"/>
          <w:color w:val="auto"/>
        </w:rPr>
      </w:pPr>
    </w:p>
    <w:p>
      <w:pPr>
        <w:ind w:right="220" w:firstLine="645"/>
        <w:spacing w:after="0" w:line="342" w:lineRule="auto"/>
        <w:tabs>
          <w:tab w:leader="none" w:pos="131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including, without limitation, the transaction that is the subject of this confirmation and</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2" w:right="239" w:bottom="1440" w:gutter="0" w:footer="0" w:header="0"/>
        </w:sectPr>
      </w:pPr>
    </w:p>
    <w:bookmarkStart w:id="159" w:name="page160"/>
    <w:bookmarkEnd w:id="159"/>
    <w:p>
      <w:pPr>
        <w:ind w:left="640" w:right="80"/>
        <w:spacing w:after="0" w:line="291" w:lineRule="auto"/>
        <w:rPr>
          <w:sz w:val="20"/>
          <w:szCs w:val="20"/>
          <w:color w:val="auto"/>
        </w:rPr>
      </w:pPr>
      <w:r>
        <w:rPr>
          <w:rFonts w:ascii="Arial" w:cs="Arial" w:eastAsia="Arial" w:hAnsi="Arial"/>
          <w:sz w:val="16"/>
          <w:szCs w:val="16"/>
          <w:color w:val="auto"/>
        </w:rPr>
        <w:t>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w:t>
      </w:r>
    </w:p>
    <w:p>
      <w:pPr>
        <w:ind w:left="640" w:right="420" w:hanging="4"/>
        <w:spacing w:after="0" w:line="261" w:lineRule="auto"/>
        <w:tabs>
          <w:tab w:leader="none" w:pos="9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has total assets of at least $50 million. Counterparty will notify Dealer if the immediately preceding statement contained in this Section 7(a) (xi) ceases to be true.</w:t>
      </w:r>
    </w:p>
    <w:p>
      <w:pPr>
        <w:spacing w:after="0" w:line="183" w:lineRule="exact"/>
        <w:rPr>
          <w:rFonts w:ascii="Arial" w:cs="Arial" w:eastAsia="Arial" w:hAnsi="Arial"/>
          <w:sz w:val="18"/>
          <w:szCs w:val="18"/>
          <w:color w:val="auto"/>
        </w:rPr>
      </w:pPr>
    </w:p>
    <w:p>
      <w:pPr>
        <w:ind w:left="640" w:right="40" w:firstLine="645"/>
        <w:spacing w:after="0" w:line="272" w:lineRule="auto"/>
        <w:tabs>
          <w:tab w:leader="none" w:pos="1963" w:val="left"/>
        </w:tabs>
        <w:numPr>
          <w:ilvl w:val="1"/>
          <w:numId w:val="181"/>
        </w:numPr>
        <w:rPr>
          <w:rFonts w:ascii="Arial" w:cs="Arial" w:eastAsia="Arial" w:hAnsi="Arial"/>
          <w:sz w:val="17"/>
          <w:szCs w:val="17"/>
          <w:color w:val="auto"/>
        </w:rPr>
      </w:pPr>
      <w:r>
        <w:rPr>
          <w:rFonts w:ascii="Arial" w:cs="Arial" w:eastAsia="Arial" w:hAnsi="Arial"/>
          <w:sz w:val="17"/>
          <w:szCs w:val="17"/>
          <w:color w:val="auto"/>
        </w:rPr>
        <w:t>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31, 2019,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78" w:lineRule="exact"/>
        <w:rPr>
          <w:sz w:val="20"/>
          <w:szCs w:val="20"/>
          <w:color w:val="auto"/>
        </w:rPr>
      </w:pPr>
    </w:p>
    <w:p>
      <w:pPr>
        <w:ind w:left="-20" w:firstLine="656"/>
        <w:spacing w:after="0" w:line="264" w:lineRule="auto"/>
        <w:tabs>
          <w:tab w:leader="none" w:pos="128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left="-20" w:right="20" w:firstLine="656"/>
        <w:spacing w:after="0" w:line="287" w:lineRule="auto"/>
        <w:tabs>
          <w:tab w:leader="none" w:pos="128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72" w:lineRule="exact"/>
        <w:rPr>
          <w:rFonts w:ascii="Arial" w:cs="Arial" w:eastAsia="Arial" w:hAnsi="Arial"/>
          <w:sz w:val="16"/>
          <w:szCs w:val="16"/>
          <w:color w:val="auto"/>
        </w:rPr>
      </w:pPr>
    </w:p>
    <w:p>
      <w:pPr>
        <w:ind w:left="-20" w:right="160" w:firstLine="656"/>
        <w:spacing w:after="0" w:line="273" w:lineRule="auto"/>
        <w:tabs>
          <w:tab w:leader="none" w:pos="128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178" w:lineRule="exact"/>
        <w:rPr>
          <w:rFonts w:ascii="Arial" w:cs="Arial" w:eastAsia="Arial" w:hAnsi="Arial"/>
          <w:sz w:val="17"/>
          <w:szCs w:val="17"/>
          <w:color w:val="auto"/>
        </w:rPr>
      </w:pPr>
    </w:p>
    <w:p>
      <w:pPr>
        <w:ind w:left="-20" w:right="80" w:firstLine="656"/>
        <w:spacing w:after="0" w:line="259" w:lineRule="auto"/>
        <w:tabs>
          <w:tab w:leader="none" w:pos="128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spacing w:after="0" w:line="186" w:lineRule="exact"/>
        <w:rPr>
          <w:rFonts w:ascii="Arial" w:cs="Arial" w:eastAsia="Arial" w:hAnsi="Arial"/>
          <w:sz w:val="18"/>
          <w:szCs w:val="18"/>
          <w:color w:val="auto"/>
        </w:rPr>
      </w:pPr>
    </w:p>
    <w:p>
      <w:pPr>
        <w:ind w:left="-20" w:right="40" w:firstLine="656"/>
        <w:spacing w:after="0" w:line="342" w:lineRule="auto"/>
        <w:tabs>
          <w:tab w:leader="none" w:pos="128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60" w:name="page161"/>
    <w:bookmarkEnd w:id="160"/>
    <w:p>
      <w:pPr>
        <w:ind w:right="500"/>
        <w:spacing w:after="0" w:line="277" w:lineRule="auto"/>
        <w:rPr>
          <w:sz w:val="20"/>
          <w:szCs w:val="20"/>
          <w:color w:val="auto"/>
        </w:rPr>
      </w:pPr>
      <w:r>
        <w:rPr>
          <w:rFonts w:ascii="Arial" w:cs="Arial" w:eastAsia="Arial" w:hAnsi="Arial"/>
          <w:sz w:val="18"/>
          <w:szCs w:val="18"/>
          <w:color w:val="auto"/>
        </w:rPr>
        <w:t>acting as principal and is not a fiduciary or advisor in respect of any such transaction, including any entry, exercise, amendment, unwind or termination thereof.</w:t>
      </w:r>
    </w:p>
    <w:p>
      <w:pPr>
        <w:spacing w:after="0" w:line="166" w:lineRule="exact"/>
        <w:rPr>
          <w:sz w:val="20"/>
          <w:szCs w:val="20"/>
          <w:color w:val="auto"/>
        </w:rPr>
      </w:pPr>
    </w:p>
    <w:p>
      <w:pPr>
        <w:ind w:right="140" w:firstLine="656"/>
        <w:spacing w:after="0" w:line="347" w:lineRule="auto"/>
        <w:tabs>
          <w:tab w:leader="none" w:pos="131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Counterparty represents and warrants that 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220" w:firstLine="656"/>
        <w:spacing w:after="0" w:line="277" w:lineRule="auto"/>
        <w:tabs>
          <w:tab w:leader="none" w:pos="130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rFonts w:ascii="Arial" w:cs="Arial" w:eastAsia="Arial" w:hAnsi="Arial"/>
          <w:sz w:val="18"/>
          <w:szCs w:val="18"/>
          <w:color w:val="auto"/>
        </w:rPr>
      </w:pPr>
    </w:p>
    <w:p>
      <w:pPr>
        <w:ind w:right="20" w:firstLine="656"/>
        <w:spacing w:after="0" w:line="279" w:lineRule="auto"/>
        <w:tabs>
          <w:tab w:leader="none" w:pos="131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Counterparty represents and warrants that the assets used in the Transaction (i) are not assets of any “plan” (as such term is defined in Section 4975 of the U.S. Internal Revenue Code (the “</w:t>
      </w:r>
      <w:r>
        <w:rPr>
          <w:rFonts w:ascii="Arial" w:cs="Arial" w:eastAsia="Arial" w:hAnsi="Arial"/>
          <w:sz w:val="17"/>
          <w:szCs w:val="17"/>
          <w:b w:val="1"/>
          <w:bCs w:val="1"/>
          <w:color w:val="auto"/>
        </w:rPr>
        <w:t>Code</w:t>
      </w:r>
      <w:r>
        <w:rPr>
          <w:rFonts w:ascii="Arial" w:cs="Arial" w:eastAsia="Arial" w:hAnsi="Arial"/>
          <w:sz w:val="17"/>
          <w:szCs w:val="17"/>
          <w:color w:val="auto"/>
        </w:rPr>
        <w:t>”)) subject to Section 4975 of the Code or any “employee benefit plan” (as such term is defined in Section 3(3) of the U.S.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subject to Title I of ERISA, and (ii) do not constitute “plan assets” within the meaning of Department of Labor Regulation 2510.3-101, 29 CFR Section 2510-3-101.</w:t>
      </w:r>
    </w:p>
    <w:p>
      <w:pPr>
        <w:spacing w:after="0" w:line="171" w:lineRule="exact"/>
        <w:rPr>
          <w:rFonts w:ascii="Arial" w:cs="Arial" w:eastAsia="Arial" w:hAnsi="Arial"/>
          <w:sz w:val="17"/>
          <w:szCs w:val="17"/>
          <w:color w:val="auto"/>
        </w:rPr>
      </w:pPr>
    </w:p>
    <w:p>
      <w:pPr>
        <w:ind w:right="20" w:firstLine="656"/>
        <w:spacing w:after="0" w:line="257" w:lineRule="auto"/>
        <w:tabs>
          <w:tab w:leader="none" w:pos="130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the Trade Date, neither Counterparty nor any “affiliate” or “affiliated purchaser” (each as defined in Rule 10b-18 under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8" w:lineRule="exact"/>
        <w:rPr>
          <w:sz w:val="20"/>
          <w:szCs w:val="20"/>
          <w:color w:val="auto"/>
        </w:rPr>
      </w:pPr>
    </w:p>
    <w:p>
      <w:pPr>
        <w:ind w:left="880" w:hanging="224"/>
        <w:spacing w:after="0"/>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90" w:lineRule="auto"/>
        <w:tabs>
          <w:tab w:leader="none" w:pos="1294"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Right to Extend</w:t>
      </w:r>
      <w:r>
        <w:rPr>
          <w:rFonts w:ascii="Arial" w:cs="Arial" w:eastAsia="Arial" w:hAnsi="Arial"/>
          <w:sz w:val="16"/>
          <w:szCs w:val="16"/>
          <w:color w:val="auto"/>
        </w:rPr>
        <w:t>. Dealer may postpone or add, in whole or in part, any Exercise Date or Settlement Date or any other date of valuation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w:t>
      </w:r>
    </w:p>
    <w:p>
      <w:pPr>
        <w:spacing w:after="0" w:line="166" w:lineRule="exact"/>
        <w:rPr>
          <w:rFonts w:ascii="Arial" w:cs="Arial" w:eastAsia="Arial" w:hAnsi="Arial"/>
          <w:sz w:val="16"/>
          <w:szCs w:val="16"/>
          <w:color w:val="auto"/>
        </w:rPr>
      </w:pPr>
    </w:p>
    <w:p>
      <w:pPr>
        <w:ind w:right="140" w:firstLine="656"/>
        <w:spacing w:after="0" w:line="257" w:lineRule="auto"/>
        <w:tabs>
          <w:tab w:leader="none" w:pos="1304"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Additional Termination Events</w:t>
      </w:r>
      <w:r>
        <w:rPr>
          <w:rFonts w:ascii="Arial" w:cs="Arial" w:eastAsia="Arial" w:hAnsi="Arial"/>
          <w:sz w:val="18"/>
          <w:szCs w:val="18"/>
          <w:color w:val="auto"/>
        </w:rPr>
        <w:t>. The occurrence of (A) an event of default with respect to Counterparty under the terms of the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set forth in Section 7.01 of the Indenture,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w:t>
      </w:r>
    </w:p>
    <w:p>
      <w:pPr>
        <w:spacing w:after="0" w:line="184"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Event</w:t>
      </w:r>
      <w:r>
        <w:rPr>
          <w:rFonts w:ascii="Arial" w:cs="Arial" w:eastAsia="Arial" w:hAnsi="Arial"/>
          <w:sz w:val="17"/>
          <w:szCs w:val="17"/>
          <w:color w:val="auto"/>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spacing w:after="0" w:line="176" w:lineRule="exact"/>
        <w:rPr>
          <w:sz w:val="20"/>
          <w:szCs w:val="20"/>
          <w:color w:val="auto"/>
        </w:rPr>
      </w:pPr>
    </w:p>
    <w:p>
      <w:pPr>
        <w:ind w:left="5620" w:right="4600" w:hanging="4923"/>
        <w:spacing w:after="0" w:line="528" w:lineRule="auto"/>
        <w:tabs>
          <w:tab w:leader="none" w:pos="1311"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Alternative Calculations and Payment on Early Termination and on Certain </w:t>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1" w:name="page162"/>
    <w:bookmarkEnd w:id="161"/>
    <w:p>
      <w:pPr>
        <w:ind w:right="80"/>
        <w:spacing w:after="0" w:line="287" w:lineRule="auto"/>
        <w:rPr>
          <w:sz w:val="20"/>
          <w:szCs w:val="20"/>
          <w:color w:val="auto"/>
        </w:rPr>
      </w:pPr>
      <w:r>
        <w:rPr>
          <w:rFonts w:ascii="Arial" w:cs="Arial" w:eastAsia="Arial" w:hAnsi="Arial"/>
          <w:sz w:val="16"/>
          <w:szCs w:val="16"/>
          <w:i w:val="1"/>
          <w:iCs w:val="1"/>
          <w:color w:val="auto"/>
        </w:rPr>
        <w:t>Extraordinary Events</w:t>
      </w:r>
      <w:r>
        <w:rPr>
          <w:rFonts w:ascii="Arial" w:cs="Arial" w:eastAsia="Arial" w:hAnsi="Arial"/>
          <w:sz w:val="16"/>
          <w:szCs w:val="16"/>
          <w:color w:val="auto"/>
        </w:rPr>
        <w:t>. If Dealer shall owe Counterparty any amount pursuant to Section 6(d)(ii) of the Agreement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8260" w:type="dxa"/>
            <w:vAlign w:val="bottom"/>
          </w:tcPr>
          <w:p>
            <w:pPr>
              <w:ind w:left="460"/>
              <w:spacing w:after="0"/>
              <w:rPr>
                <w:sz w:val="20"/>
                <w:szCs w:val="20"/>
                <w:color w:val="auto"/>
              </w:rPr>
            </w:pPr>
            <w:r>
              <w:rPr>
                <w:rFonts w:ascii="Arial" w:cs="Arial" w:eastAsia="Arial" w:hAnsi="Arial"/>
                <w:sz w:val="18"/>
                <w:szCs w:val="18"/>
                <w:color w:val="auto"/>
                <w:w w:val="93"/>
              </w:rPr>
              <w:t>If applicable, means that Dealer shall deliver to Counterparty the Share Termination Delivery Property on</w:t>
            </w:r>
          </w:p>
        </w:tc>
      </w:tr>
      <w:tr>
        <w:trPr>
          <w:trHeight w:val="212"/>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7"/>
              </w:rPr>
              <w:t>the date on which the Payment Obligation would otherwise be due pursuant to Section 6(d)(ii) of the</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6"/>
              </w:rPr>
              <w:t>Agreement or such later date or dates as Dealer may commercially reasonably determine (the “</w:t>
            </w:r>
            <w:r>
              <w:rPr>
                <w:rFonts w:ascii="Arial" w:cs="Arial" w:eastAsia="Arial" w:hAnsi="Arial"/>
                <w:sz w:val="18"/>
                <w:szCs w:val="18"/>
                <w:b w:val="1"/>
                <w:bCs w:val="1"/>
                <w:color w:val="auto"/>
                <w:w w:val="96"/>
              </w:rPr>
              <w:t>Share</w:t>
            </w:r>
          </w:p>
        </w:tc>
      </w:tr>
      <w:tr>
        <w:trPr>
          <w:trHeight w:val="220"/>
        </w:trPr>
        <w:tc>
          <w:tcPr>
            <w:tcW w:w="3200" w:type="dxa"/>
            <w:vAlign w:val="bottom"/>
          </w:tcPr>
          <w:p>
            <w:pPr>
              <w:spacing w:after="0"/>
              <w:rPr>
                <w:sz w:val="19"/>
                <w:szCs w:val="19"/>
                <w:color w:val="auto"/>
              </w:rPr>
            </w:pPr>
          </w:p>
        </w:tc>
        <w:tc>
          <w:tcPr>
            <w:tcW w:w="8260" w:type="dxa"/>
            <w:vAlign w:val="bottom"/>
          </w:tcPr>
          <w:p>
            <w:pPr>
              <w:ind w:left="460"/>
              <w:spacing w:after="0"/>
              <w:rPr>
                <w:sz w:val="20"/>
                <w:szCs w:val="20"/>
                <w:color w:val="auto"/>
              </w:rPr>
            </w:pPr>
            <w:r>
              <w:rPr>
                <w:rFonts w:ascii="Arial" w:cs="Arial" w:eastAsia="Arial" w:hAnsi="Arial"/>
                <w:sz w:val="18"/>
                <w:szCs w:val="18"/>
                <w:b w:val="1"/>
                <w:bCs w:val="1"/>
                <w:color w:val="auto"/>
                <w:w w:val="96"/>
              </w:rPr>
              <w:t>Termination Payment Date</w:t>
            </w:r>
            <w:r>
              <w:rPr>
                <w:rFonts w:ascii="Arial" w:cs="Arial" w:eastAsia="Arial" w:hAnsi="Arial"/>
                <w:sz w:val="18"/>
                <w:szCs w:val="18"/>
                <w:color w:val="auto"/>
                <w:w w:val="96"/>
              </w:rPr>
              <w:t>”) taking into account commercially reasonable hedging or hedge unwind</w:t>
            </w:r>
          </w:p>
        </w:tc>
      </w:tr>
      <w:tr>
        <w:trPr>
          <w:trHeight w:val="230"/>
        </w:trPr>
        <w:tc>
          <w:tcPr>
            <w:tcW w:w="3200" w:type="dxa"/>
            <w:vAlign w:val="bottom"/>
          </w:tcPr>
          <w:p>
            <w:pPr>
              <w:spacing w:after="0"/>
              <w:rPr>
                <w:sz w:val="20"/>
                <w:szCs w:val="20"/>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activity, in satisfaction of the Payment Obligation.</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Share Termination Delivery Property:</w:t>
            </w:r>
          </w:p>
        </w:tc>
        <w:tc>
          <w:tcPr>
            <w:tcW w:w="8260" w:type="dxa"/>
            <w:vAlign w:val="bottom"/>
          </w:tcPr>
          <w:p>
            <w:pPr>
              <w:ind w:left="460"/>
              <w:spacing w:after="0"/>
              <w:rPr>
                <w:sz w:val="20"/>
                <w:szCs w:val="20"/>
                <w:color w:val="auto"/>
              </w:rPr>
            </w:pPr>
            <w:r>
              <w:rPr>
                <w:rFonts w:ascii="Arial" w:cs="Arial" w:eastAsia="Arial" w:hAnsi="Arial"/>
                <w:sz w:val="18"/>
                <w:szCs w:val="18"/>
                <w:color w:val="auto"/>
                <w:w w:val="98"/>
              </w:rPr>
              <w:t>A number of Share Termination Delivery Units, as calculated by the Calculation Agent, equal to the</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4"/>
              </w:rPr>
              <w:t>Payment Obligation divided by the Share Termination Unit Price. The Calculation Agent shall adjust the</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7"/>
              </w:rPr>
              <w:t>Share Termination Delivery Property by replacing any fractional portion of the aggregate amount of a</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3"/>
              </w:rPr>
              <w:t>security therein with an amount of cash equal to the value of such fractional security based on the values</w:t>
            </w:r>
          </w:p>
        </w:tc>
      </w:tr>
      <w:tr>
        <w:trPr>
          <w:trHeight w:val="230"/>
        </w:trPr>
        <w:tc>
          <w:tcPr>
            <w:tcW w:w="3200" w:type="dxa"/>
            <w:vAlign w:val="bottom"/>
          </w:tcPr>
          <w:p>
            <w:pPr>
              <w:spacing w:after="0"/>
              <w:rPr>
                <w:sz w:val="20"/>
                <w:szCs w:val="20"/>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used to calculate the Share Termination Unit Price.</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Share Termination Unit Price:</w:t>
            </w:r>
          </w:p>
        </w:tc>
        <w:tc>
          <w:tcPr>
            <w:tcW w:w="8260" w:type="dxa"/>
            <w:vAlign w:val="bottom"/>
          </w:tcPr>
          <w:p>
            <w:pPr>
              <w:ind w:left="460"/>
              <w:spacing w:after="0"/>
              <w:rPr>
                <w:sz w:val="20"/>
                <w:szCs w:val="20"/>
                <w:color w:val="auto"/>
              </w:rPr>
            </w:pPr>
            <w:r>
              <w:rPr>
                <w:rFonts w:ascii="Arial" w:cs="Arial" w:eastAsia="Arial" w:hAnsi="Arial"/>
                <w:sz w:val="18"/>
                <w:szCs w:val="18"/>
                <w:color w:val="auto"/>
              </w:rPr>
              <w:t>The value of property contained in one Share Termination Delivery Unit on the date such Share</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3"/>
              </w:rPr>
              <w:t>Termination Delivery Units are to be delivered as Share Termination Delivery Property, as determined by</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7"/>
              </w:rPr>
              <w:t>the Calculation Agent and notified by the Calculation Agent to Dealer at the time of notification of the</w:t>
            </w:r>
          </w:p>
        </w:tc>
      </w:tr>
      <w:tr>
        <w:trPr>
          <w:trHeight w:val="230"/>
        </w:trPr>
        <w:tc>
          <w:tcPr>
            <w:tcW w:w="3200" w:type="dxa"/>
            <w:vAlign w:val="bottom"/>
          </w:tcPr>
          <w:p>
            <w:pPr>
              <w:spacing w:after="0"/>
              <w:rPr>
                <w:sz w:val="20"/>
                <w:szCs w:val="20"/>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Payment Obligation.</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Share Termination Delivery Unit:</w:t>
            </w:r>
          </w:p>
        </w:tc>
        <w:tc>
          <w:tcPr>
            <w:tcW w:w="8260" w:type="dxa"/>
            <w:vAlign w:val="bottom"/>
          </w:tcPr>
          <w:p>
            <w:pPr>
              <w:ind w:left="460"/>
              <w:spacing w:after="0"/>
              <w:rPr>
                <w:sz w:val="20"/>
                <w:szCs w:val="20"/>
                <w:color w:val="auto"/>
              </w:rPr>
            </w:pPr>
            <w:r>
              <w:rPr>
                <w:rFonts w:ascii="Arial" w:cs="Arial" w:eastAsia="Arial" w:hAnsi="Arial"/>
                <w:sz w:val="18"/>
                <w:szCs w:val="18"/>
                <w:color w:val="auto"/>
                <w:w w:val="96"/>
              </w:rPr>
              <w:t>In the case of a Termination Event (other than on account of an Insolvency, Nationalization or Merger</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Event), Event of Default, Delisting or Additional Disruption Event, one Share or, in the case of an</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5"/>
              </w:rPr>
              <w:t>Insolvency, Nationalization or Merger Event, one Share or a unit consisting of the number or amount of</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3"/>
              </w:rPr>
              <w:t>each type of property received by a holder of one Share (without consideration of any requirement to pay</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cash or other consideration in lieu of fractional amounts of any securities) in such Insolvency,</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9"/>
              </w:rPr>
              <w:t>Nationalization or Merger Event, as applicable. If such Insolvency, Nationalization or Merger Event</w:t>
            </w:r>
          </w:p>
        </w:tc>
      </w:tr>
      <w:tr>
        <w:trPr>
          <w:trHeight w:val="216"/>
        </w:trPr>
        <w:tc>
          <w:tcPr>
            <w:tcW w:w="320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0"/>
              </w:rPr>
              <w:t>involves a choice of consideration to be received by holders, such holder shall be deemed to have elected to</w:t>
            </w:r>
          </w:p>
        </w:tc>
      </w:tr>
      <w:tr>
        <w:trPr>
          <w:trHeight w:val="230"/>
        </w:trPr>
        <w:tc>
          <w:tcPr>
            <w:tcW w:w="3200" w:type="dxa"/>
            <w:vAlign w:val="bottom"/>
          </w:tcPr>
          <w:p>
            <w:pPr>
              <w:spacing w:after="0"/>
              <w:rPr>
                <w:sz w:val="20"/>
                <w:szCs w:val="20"/>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receive the maximum possible amount of cash.</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Failure to Deliver:</w:t>
            </w:r>
          </w:p>
        </w:tc>
        <w:tc>
          <w:tcPr>
            <w:tcW w:w="8260" w:type="dxa"/>
            <w:vAlign w:val="bottom"/>
          </w:tcPr>
          <w:p>
            <w:pPr>
              <w:ind w:left="460"/>
              <w:spacing w:after="0"/>
              <w:rPr>
                <w:sz w:val="20"/>
                <w:szCs w:val="20"/>
                <w:color w:val="auto"/>
              </w:rPr>
            </w:pPr>
            <w:r>
              <w:rPr>
                <w:rFonts w:ascii="Arial" w:cs="Arial" w:eastAsia="Arial" w:hAnsi="Arial"/>
                <w:sz w:val="18"/>
                <w:szCs w:val="18"/>
                <w:color w:val="auto"/>
              </w:rPr>
              <w:t>Applicable</w:t>
            </w:r>
          </w:p>
        </w:tc>
      </w:tr>
      <w:tr>
        <w:trPr>
          <w:trHeight w:val="432"/>
        </w:trPr>
        <w:tc>
          <w:tcPr>
            <w:tcW w:w="3200" w:type="dxa"/>
            <w:vAlign w:val="bottom"/>
          </w:tcPr>
          <w:p>
            <w:pPr>
              <w:spacing w:after="0"/>
              <w:rPr>
                <w:sz w:val="24"/>
                <w:szCs w:val="24"/>
                <w:color w:val="auto"/>
              </w:rPr>
            </w:pPr>
          </w:p>
        </w:tc>
        <w:tc>
          <w:tcPr>
            <w:tcW w:w="8260" w:type="dxa"/>
            <w:vAlign w:val="bottom"/>
          </w:tcPr>
          <w:p>
            <w:pPr>
              <w:ind w:left="2420"/>
              <w:spacing w:after="0"/>
              <w:rPr>
                <w:sz w:val="20"/>
                <w:szCs w:val="20"/>
                <w:color w:val="auto"/>
              </w:rPr>
            </w:pPr>
            <w:r>
              <w:rPr>
                <w:rFonts w:ascii="Arial" w:cs="Arial" w:eastAsia="Arial" w:hAnsi="Arial"/>
                <w:sz w:val="18"/>
                <w:szCs w:val="18"/>
                <w:color w:val="auto"/>
              </w:rPr>
              <w:t>20</w:t>
            </w:r>
          </w:p>
        </w:tc>
      </w:tr>
      <w:tr>
        <w:trPr>
          <w:trHeight w:val="132"/>
        </w:trPr>
        <w:tc>
          <w:tcPr>
            <w:tcW w:w="3200" w:type="dxa"/>
            <w:vAlign w:val="bottom"/>
            <w:tcBorders>
              <w:bottom w:val="single" w:sz="8" w:color="808080"/>
            </w:tcBorders>
          </w:tcPr>
          <w:p>
            <w:pPr>
              <w:spacing w:after="0"/>
              <w:rPr>
                <w:sz w:val="11"/>
                <w:szCs w:val="11"/>
                <w:color w:val="auto"/>
              </w:rPr>
            </w:pPr>
          </w:p>
        </w:tc>
        <w:tc>
          <w:tcPr>
            <w:tcW w:w="82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p>
      <w:pPr>
        <w:spacing w:after="0" w:line="185" w:lineRule="exact"/>
        <w:rPr>
          <w:sz w:val="20"/>
          <w:szCs w:val="20"/>
          <w:color w:val="auto"/>
        </w:rPr>
      </w:pPr>
    </w:p>
    <w:p>
      <w:pPr>
        <w:sectPr>
          <w:pgSz w:w="11900" w:h="16838" w:orient="portrait"/>
          <w:cols w:equalWidth="0" w:num="2">
            <w:col w:w="2940" w:space="720"/>
            <w:col w:w="7740"/>
          </w:cols>
          <w:pgMar w:left="240" w:top="341" w:right="259" w:bottom="1440" w:gutter="0" w:footer="0" w:header="0"/>
        </w:sectPr>
      </w:pPr>
    </w:p>
    <w:p>
      <w:pPr>
        <w:ind w:right="20" w:firstLine="656"/>
        <w:spacing w:after="0" w:line="286" w:lineRule="auto"/>
        <w:tabs>
          <w:tab w:leader="none" w:pos="1304"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Disposition of Hedge Shares</w:t>
      </w:r>
      <w:r>
        <w:rPr>
          <w:rFonts w:ascii="Arial" w:cs="Arial" w:eastAsia="Arial" w:hAnsi="Arial"/>
          <w:sz w:val="16"/>
          <w:szCs w:val="16"/>
          <w:color w:val="auto"/>
        </w:rPr>
        <w:t>. Counterparty hereby agrees that if, in the good faith reasonable judgment of Dealer, the Shares (the “</w:t>
      </w:r>
      <w:r>
        <w:rPr>
          <w:rFonts w:ascii="Arial" w:cs="Arial" w:eastAsia="Arial" w:hAnsi="Arial"/>
          <w:sz w:val="16"/>
          <w:szCs w:val="16"/>
          <w:b w:val="1"/>
          <w:bCs w:val="1"/>
          <w:color w:val="auto"/>
        </w:rPr>
        <w:t>Hedge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acquired by Dealer for the purpose of hedging its obligations pursuant to the Transaction in a commercially reasonable manner cannot be sold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satisfactory to Dealer, substantially in the form of an underwriting agreement for a registered offering,</w:t>
      </w:r>
    </w:p>
    <w:p>
      <w:pPr>
        <w:spacing w:after="0" w:line="2" w:lineRule="exact"/>
        <w:rPr>
          <w:rFonts w:ascii="Arial" w:cs="Arial" w:eastAsia="Arial" w:hAnsi="Arial"/>
          <w:sz w:val="16"/>
          <w:szCs w:val="16"/>
          <w:color w:val="auto"/>
        </w:rPr>
      </w:pPr>
    </w:p>
    <w:p>
      <w:pPr>
        <w:ind w:firstLine="8"/>
        <w:spacing w:after="0" w:line="284" w:lineRule="auto"/>
        <w:tabs>
          <w:tab w:leader="none" w:pos="28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spacing w:after="0" w:line="177" w:lineRule="exact"/>
        <w:rPr>
          <w:rFonts w:ascii="Arial" w:cs="Arial" w:eastAsia="Arial" w:hAnsi="Arial"/>
          <w:sz w:val="16"/>
          <w:szCs w:val="16"/>
          <w:color w:val="auto"/>
        </w:rPr>
      </w:pPr>
    </w:p>
    <w:p>
      <w:pPr>
        <w:ind w:right="40" w:firstLine="656"/>
        <w:spacing w:after="0" w:line="269" w:lineRule="auto"/>
        <w:tabs>
          <w:tab w:leader="none" w:pos="1307" w:val="left"/>
        </w:tabs>
        <w:numPr>
          <w:ilvl w:val="1"/>
          <w:numId w:val="188"/>
        </w:numPr>
        <w:rPr>
          <w:rFonts w:ascii="Arial" w:cs="Arial" w:eastAsia="Arial" w:hAnsi="Arial"/>
          <w:sz w:val="17"/>
          <w:szCs w:val="17"/>
          <w:color w:val="auto"/>
        </w:rPr>
      </w:pPr>
      <w:r>
        <w:rPr>
          <w:rFonts w:ascii="Arial" w:cs="Arial" w:eastAsia="Arial" w:hAnsi="Arial"/>
          <w:sz w:val="17"/>
          <w:szCs w:val="17"/>
          <w:i w:val="1"/>
          <w:iCs w:val="1"/>
          <w:color w:val="auto"/>
        </w:rPr>
        <w:t>Repurchase and Conversion Rate Adjustment Notices</w:t>
      </w:r>
      <w:r>
        <w:rPr>
          <w:rFonts w:ascii="Arial" w:cs="Arial" w:eastAsia="Arial" w:hAnsi="Arial"/>
          <w:sz w:val="17"/>
          <w:szCs w:val="17"/>
          <w:color w:val="auto"/>
        </w:rPr>
        <w:t>. Counterparty shall, at least two Exchange Business Days prior to any day on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Counterparty effects any repurchase of Shares or consummates or otherwise engages in any transaction or event (a “</w:t>
      </w:r>
      <w:r>
        <w:rPr>
          <w:rFonts w:ascii="Arial" w:cs="Arial" w:eastAsia="Arial" w:hAnsi="Arial"/>
          <w:sz w:val="17"/>
          <w:szCs w:val="17"/>
          <w:b w:val="1"/>
          <w:bCs w:val="1"/>
          <w:color w:val="auto"/>
        </w:rPr>
        <w:t>Conversion Rate Adjustment Event</w:t>
      </w:r>
      <w:r>
        <w:rPr>
          <w:rFonts w:ascii="Arial" w:cs="Arial" w:eastAsia="Arial" w:hAnsi="Arial"/>
          <w:sz w:val="17"/>
          <w:szCs w:val="17"/>
          <w:color w:val="auto"/>
        </w:rPr>
        <w:t>”) that could reasonably be expected to lead to an increase in the Conversion Rate, give Dealer a written notice of such repurchase or Conversion Rate Adjustment Event (a “</w:t>
      </w:r>
      <w:r>
        <w:rPr>
          <w:rFonts w:ascii="Arial" w:cs="Arial" w:eastAsia="Arial" w:hAnsi="Arial"/>
          <w:sz w:val="17"/>
          <w:szCs w:val="17"/>
          <w:b w:val="1"/>
          <w:bCs w:val="1"/>
          <w:color w:val="auto"/>
        </w:rPr>
        <w:t>Repurchase Notice</w:t>
      </w:r>
      <w:r>
        <w:rPr>
          <w:rFonts w:ascii="Arial" w:cs="Arial" w:eastAsia="Arial" w:hAnsi="Arial"/>
          <w:sz w:val="17"/>
          <w:szCs w:val="17"/>
          <w:color w:val="auto"/>
        </w:rPr>
        <w:t>”) on such day if, following such repurchase or Conversion Rate Adjustment Event, the Notice Percentage would reasonably be expected to be (i) greater than 8.0% and (ii) greater by 0.5% than the Notice Percentage included in the immediately preceding Repurchase Notice (or, in the case of the first such Repurchase Notice, greater than the Notice Percentage as of the date hereof). The “</w:t>
      </w:r>
      <w:r>
        <w:rPr>
          <w:rFonts w:ascii="Arial" w:cs="Arial" w:eastAsia="Arial" w:hAnsi="Arial"/>
          <w:sz w:val="17"/>
          <w:szCs w:val="17"/>
          <w:b w:val="1"/>
          <w:bCs w:val="1"/>
          <w:color w:val="auto"/>
        </w:rPr>
        <w:t>Notice Percentage</w:t>
      </w:r>
      <w:r>
        <w:rPr>
          <w:rFonts w:ascii="Arial" w:cs="Arial" w:eastAsia="Arial" w:hAnsi="Arial"/>
          <w:sz w:val="17"/>
          <w:szCs w:val="17"/>
          <w:color w:val="auto"/>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163" w:name="page164"/>
    <w:bookmarkEnd w:id="163"/>
    <w:p>
      <w:pPr>
        <w:spacing w:after="0" w:line="287" w:lineRule="auto"/>
        <w:rPr>
          <w:sz w:val="20"/>
          <w:szCs w:val="20"/>
          <w:color w:val="auto"/>
        </w:rPr>
      </w:pPr>
      <w:r>
        <w:rPr>
          <w:rFonts w:ascii="Arial" w:cs="Arial" w:eastAsia="Arial" w:hAnsi="Arial"/>
          <w:sz w:val="16"/>
          <w:szCs w:val="16"/>
          <w:color w:val="auto"/>
        </w:rPr>
        <w:t>being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spacing w:after="0" w:line="173" w:lineRule="exact"/>
        <w:rPr>
          <w:sz w:val="20"/>
          <w:szCs w:val="20"/>
          <w:color w:val="auto"/>
        </w:rPr>
      </w:pPr>
    </w:p>
    <w:p>
      <w:pPr>
        <w:ind w:right="20" w:firstLine="638"/>
        <w:spacing w:after="0" w:line="282" w:lineRule="auto"/>
        <w:tabs>
          <w:tab w:leader="none" w:pos="1296" w:val="left"/>
        </w:tabs>
        <w:numPr>
          <w:ilvl w:val="1"/>
          <w:numId w:val="189"/>
        </w:numPr>
        <w:rPr>
          <w:rFonts w:ascii="Arial" w:cs="Arial" w:eastAsia="Arial" w:hAnsi="Arial"/>
          <w:sz w:val="16"/>
          <w:szCs w:val="16"/>
          <w:color w:val="auto"/>
        </w:rPr>
      </w:pPr>
      <w:r>
        <w:rPr>
          <w:rFonts w:ascii="Arial" w:cs="Arial" w:eastAsia="Arial" w:hAnsi="Arial"/>
          <w:sz w:val="16"/>
          <w:szCs w:val="16"/>
          <w:i w:val="1"/>
          <w:iCs w:val="1"/>
          <w:color w:val="auto"/>
        </w:rPr>
        <w:t>Transfer and Assignment</w:t>
      </w:r>
      <w:r>
        <w:rPr>
          <w:rFonts w:ascii="Arial" w:cs="Arial" w:eastAsia="Arial" w:hAnsi="Arial"/>
          <w:sz w:val="16"/>
          <w:szCs w:val="16"/>
          <w:color w:val="auto"/>
        </w:rPr>
        <w:t>. Either party may transfer or assign any of its rights or obligations under the Transaction with the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consent of the non-transferring party,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Dealer may transfer or assign without any consent of Counterparty its rights and obligations hereunder, in whole or in part, to (i) any affiliate of Dealer or (ii) any person, or any person whose obligations would be guaranteed by a person, in either case, of credit quality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the Iowa Business Corporation Act or other federal, state or local law, rule, regulation or regulatory order or organizational documents or contracts of Counterparty applicable to ownership of Shares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Restrictions</w:t>
      </w:r>
      <w:r>
        <w:rPr>
          <w:rFonts w:ascii="Arial" w:cs="Arial" w:eastAsia="Arial" w:hAnsi="Arial"/>
          <w:sz w:val="16"/>
          <w:szCs w:val="16"/>
          <w:color w:val="auto"/>
        </w:rPr>
        <w:t>”), owns, beneficially owns, constructively owns, controls, holds the power to vote or otherwise meets a relevant definition of ownership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(either such condition described in clause (1) or (2), an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Ownership Position</w:t>
      </w:r>
      <w:r>
        <w:rPr>
          <w:rFonts w:ascii="Arial" w:cs="Arial" w:eastAsia="Arial" w:hAnsi="Arial"/>
          <w:sz w:val="16"/>
          <w:szCs w:val="16"/>
          <w:color w:val="auto"/>
        </w:rPr>
        <w:t>”), Dealer, in its discretion, is unable to effect a transfer or assignment to a third party after its commercially reasonable efforts on pricing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terms and within a time period reasonably acceptable to Dealer such that an Excess Ownership Position no longer exists, Dealer may designate any Scheduled Trading Day as an Early Termination Date with respect to a portion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 expressed as a percentage,</w:t>
      </w:r>
    </w:p>
    <w:p>
      <w:pPr>
        <w:spacing w:after="0" w:line="12" w:lineRule="exact"/>
        <w:rPr>
          <w:rFonts w:ascii="Arial" w:cs="Arial" w:eastAsia="Arial" w:hAnsi="Arial"/>
          <w:sz w:val="16"/>
          <w:szCs w:val="16"/>
          <w:color w:val="auto"/>
        </w:rPr>
      </w:pPr>
    </w:p>
    <w:p>
      <w:pPr>
        <w:ind w:left="300" w:hanging="292"/>
        <w:spacing w:after="0"/>
        <w:tabs>
          <w:tab w:leader="none" w:pos="3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numerator of which is the number of Shares that Dealer and any of its affiliates subject to aggregation with Dealer for purposes of the “beneficial</w:t>
      </w:r>
    </w:p>
    <w:p>
      <w:pPr>
        <w:spacing w:after="0" w:line="20" w:lineRule="exact"/>
        <w:rPr>
          <w:rFonts w:ascii="Arial" w:cs="Arial" w:eastAsia="Arial" w:hAnsi="Arial"/>
          <w:sz w:val="17"/>
          <w:szCs w:val="17"/>
          <w:color w:val="auto"/>
        </w:rPr>
      </w:pPr>
    </w:p>
    <w:p>
      <w:pPr>
        <w:ind w:right="100"/>
        <w:spacing w:after="0" w:line="261" w:lineRule="auto"/>
        <w:rPr>
          <w:rFonts w:ascii="Arial" w:cs="Arial" w:eastAsia="Arial" w:hAnsi="Arial"/>
          <w:sz w:val="17"/>
          <w:szCs w:val="17"/>
          <w:color w:val="auto"/>
        </w:rPr>
      </w:pPr>
      <w:r>
        <w:rPr>
          <w:rFonts w:ascii="Arial" w:cs="Arial" w:eastAsia="Arial" w:hAnsi="Arial"/>
          <w:sz w:val="18"/>
          <w:szCs w:val="18"/>
          <w:color w:val="auto"/>
        </w:rPr>
        <w:t>ownership” test under Section 13 of the Exchange Act and all persons who may form a “group” (within the meaning of Rule 13d-5(b)(1) under the Exchange Act)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64" w:name="page165"/>
    <w:bookmarkEnd w:id="164"/>
    <w:p>
      <w:pPr>
        <w:spacing w:after="0" w:line="274" w:lineRule="auto"/>
        <w:rPr>
          <w:sz w:val="20"/>
          <w:szCs w:val="20"/>
          <w:color w:val="auto"/>
        </w:rPr>
      </w:pPr>
      <w:r>
        <w:rPr>
          <w:rFonts w:ascii="Arial" w:cs="Arial" w:eastAsia="Arial" w:hAnsi="Arial"/>
          <w:sz w:val="17"/>
          <w:szCs w:val="17"/>
          <w:color w:val="auto"/>
        </w:rPr>
        <w:t>Dealer (collectively, “</w:t>
      </w:r>
      <w:r>
        <w:rPr>
          <w:rFonts w:ascii="Arial" w:cs="Arial" w:eastAsia="Arial" w:hAnsi="Arial"/>
          <w:sz w:val="17"/>
          <w:szCs w:val="17"/>
          <w:b w:val="1"/>
          <w:bCs w:val="1"/>
          <w:color w:val="auto"/>
        </w:rPr>
        <w:t>Dealer Group</w:t>
      </w:r>
      <w:r>
        <w:rPr>
          <w:rFonts w:ascii="Arial" w:cs="Arial" w:eastAsia="Arial" w:hAnsi="Arial"/>
          <w:sz w:val="17"/>
          <w:szCs w:val="17"/>
          <w:color w:val="auto"/>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Options</w:t>
      </w:r>
      <w:r>
        <w:rPr>
          <w:rFonts w:ascii="Arial" w:cs="Arial" w:eastAsia="Arial" w:hAnsi="Arial"/>
          <w:sz w:val="17"/>
          <w:szCs w:val="17"/>
          <w:color w:val="auto"/>
        </w:rPr>
        <w:t>”), to any party, withholding of such consent by Dealer shall not be considered unreasonable if such transfer or assignment does not meet the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conditions that Dealer may impose including, but not limited, to the following conditions:</w:t>
      </w:r>
    </w:p>
    <w:p>
      <w:pPr>
        <w:spacing w:after="0" w:line="178" w:lineRule="exact"/>
        <w:rPr>
          <w:sz w:val="20"/>
          <w:szCs w:val="20"/>
          <w:color w:val="auto"/>
        </w:rPr>
      </w:pPr>
    </w:p>
    <w:p>
      <w:pPr>
        <w:ind w:left="720" w:right="120" w:firstLine="638"/>
        <w:spacing w:after="0" w:line="277" w:lineRule="auto"/>
        <w:tabs>
          <w:tab w:leader="none" w:pos="196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170" w:lineRule="exact"/>
        <w:rPr>
          <w:rFonts w:ascii="Arial" w:cs="Arial" w:eastAsia="Arial" w:hAnsi="Arial"/>
          <w:sz w:val="18"/>
          <w:szCs w:val="18"/>
          <w:color w:val="auto"/>
        </w:rPr>
      </w:pPr>
    </w:p>
    <w:p>
      <w:pPr>
        <w:ind w:left="720" w:right="80" w:firstLine="638"/>
        <w:spacing w:after="0" w:line="277" w:lineRule="auto"/>
        <w:tabs>
          <w:tab w:leader="none" w:pos="195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United States person (as defined in the Internal Revenue Code of 1986, as amended(the “Code”));</w:t>
      </w:r>
    </w:p>
    <w:p>
      <w:pPr>
        <w:spacing w:after="0" w:line="170" w:lineRule="exact"/>
        <w:rPr>
          <w:rFonts w:ascii="Arial" w:cs="Arial" w:eastAsia="Arial" w:hAnsi="Arial"/>
          <w:sz w:val="18"/>
          <w:szCs w:val="18"/>
          <w:color w:val="auto"/>
        </w:rPr>
      </w:pPr>
    </w:p>
    <w:p>
      <w:pPr>
        <w:jc w:val="both"/>
        <w:ind w:left="720" w:firstLine="638"/>
        <w:spacing w:after="0" w:line="302" w:lineRule="auto"/>
        <w:tabs>
          <w:tab w:leader="none" w:pos="1955" w:val="left"/>
        </w:tabs>
        <w:numPr>
          <w:ilvl w:val="2"/>
          <w:numId w:val="191"/>
        </w:numPr>
        <w:rPr>
          <w:rFonts w:ascii="Arial" w:cs="Arial" w:eastAsia="Arial" w:hAnsi="Arial"/>
          <w:sz w:val="16"/>
          <w:szCs w:val="16"/>
          <w:color w:val="auto"/>
        </w:rPr>
      </w:pPr>
      <w:r>
        <w:rPr>
          <w:rFonts w:ascii="Arial" w:cs="Arial" w:eastAsia="Arial" w:hAnsi="Arial"/>
          <w:sz w:val="16"/>
          <w:szCs w:val="16"/>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spacing w:after="0" w:line="154" w:lineRule="exact"/>
        <w:rPr>
          <w:rFonts w:ascii="Arial" w:cs="Arial" w:eastAsia="Arial" w:hAnsi="Arial"/>
          <w:sz w:val="16"/>
          <w:szCs w:val="16"/>
          <w:color w:val="auto"/>
        </w:rPr>
      </w:pPr>
    </w:p>
    <w:p>
      <w:pPr>
        <w:ind w:left="720" w:right="280" w:firstLine="638"/>
        <w:spacing w:after="0" w:line="264" w:lineRule="auto"/>
        <w:tabs>
          <w:tab w:leader="none" w:pos="196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181" w:lineRule="exact"/>
        <w:rPr>
          <w:rFonts w:ascii="Arial" w:cs="Arial" w:eastAsia="Arial" w:hAnsi="Arial"/>
          <w:sz w:val="18"/>
          <w:szCs w:val="18"/>
          <w:color w:val="auto"/>
        </w:rPr>
      </w:pPr>
    </w:p>
    <w:p>
      <w:pPr>
        <w:ind w:left="1960" w:hanging="602"/>
        <w:spacing w:after="0"/>
        <w:tabs>
          <w:tab w:leader="none" w:pos="1960" w:val="left"/>
        </w:tabs>
        <w:numPr>
          <w:ilvl w:val="2"/>
          <w:numId w:val="191"/>
        </w:numPr>
        <w:rPr>
          <w:rFonts w:ascii="Arial" w:cs="Arial" w:eastAsia="Arial" w:hAnsi="Arial"/>
          <w:sz w:val="16"/>
          <w:szCs w:val="16"/>
          <w:color w:val="auto"/>
        </w:rPr>
      </w:pPr>
      <w:r>
        <w:rPr>
          <w:rFonts w:ascii="Arial" w:cs="Arial" w:eastAsia="Arial" w:hAnsi="Arial"/>
          <w:sz w:val="16"/>
          <w:szCs w:val="16"/>
          <w:color w:val="auto"/>
        </w:rPr>
        <w:t>An Event of Default, Potential Event of Default or Termination Event shall not occur as a result of such transfer and assignment;</w:t>
      </w:r>
    </w:p>
    <w:p>
      <w:pPr>
        <w:spacing w:after="0" w:line="248" w:lineRule="exact"/>
        <w:rPr>
          <w:rFonts w:ascii="Arial" w:cs="Arial" w:eastAsia="Arial" w:hAnsi="Arial"/>
          <w:sz w:val="16"/>
          <w:szCs w:val="16"/>
          <w:color w:val="auto"/>
        </w:rPr>
      </w:pPr>
    </w:p>
    <w:p>
      <w:pPr>
        <w:ind w:left="720" w:right="600" w:firstLine="638"/>
        <w:spacing w:after="0" w:line="286" w:lineRule="auto"/>
        <w:tabs>
          <w:tab w:leader="none" w:pos="1962" w:val="left"/>
        </w:tabs>
        <w:numPr>
          <w:ilvl w:val="2"/>
          <w:numId w:val="191"/>
        </w:numPr>
        <w:rPr>
          <w:rFonts w:ascii="Arial" w:cs="Arial" w:eastAsia="Arial" w:hAnsi="Arial"/>
          <w:sz w:val="17"/>
          <w:szCs w:val="17"/>
          <w:color w:val="auto"/>
        </w:rPr>
      </w:pPr>
      <w:r>
        <w:rPr>
          <w:rFonts w:ascii="Arial" w:cs="Arial" w:eastAsia="Arial" w:hAnsi="Arial"/>
          <w:sz w:val="17"/>
          <w:szCs w:val="17"/>
          <w:color w:val="auto"/>
        </w:rPr>
        <w:t>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165" w:lineRule="exact"/>
        <w:rPr>
          <w:rFonts w:ascii="Arial" w:cs="Arial" w:eastAsia="Arial" w:hAnsi="Arial"/>
          <w:sz w:val="17"/>
          <w:szCs w:val="17"/>
          <w:color w:val="auto"/>
        </w:rPr>
      </w:pPr>
    </w:p>
    <w:p>
      <w:pPr>
        <w:ind w:left="720" w:right="180" w:firstLine="638"/>
        <w:spacing w:after="0" w:line="277" w:lineRule="auto"/>
        <w:tabs>
          <w:tab w:leader="none" w:pos="196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Counterparty shall be responsible for all reasonable costs and expenses, including reasonable counsel fees, incurred by Dealer in connection with such transfer or assignment.</w:t>
      </w:r>
    </w:p>
    <w:p>
      <w:pPr>
        <w:spacing w:after="0" w:line="170" w:lineRule="exact"/>
        <w:rPr>
          <w:rFonts w:ascii="Arial" w:cs="Arial" w:eastAsia="Arial" w:hAnsi="Arial"/>
          <w:sz w:val="18"/>
          <w:szCs w:val="18"/>
          <w:color w:val="auto"/>
        </w:rPr>
      </w:pPr>
    </w:p>
    <w:p>
      <w:pPr>
        <w:jc w:val="both"/>
        <w:ind w:right="200" w:firstLine="656"/>
        <w:spacing w:after="0" w:line="279" w:lineRule="auto"/>
        <w:tabs>
          <w:tab w:leader="none" w:pos="1317" w:val="left"/>
        </w:tabs>
        <w:numPr>
          <w:ilvl w:val="1"/>
          <w:numId w:val="192"/>
        </w:numPr>
        <w:rPr>
          <w:rFonts w:ascii="Arial" w:cs="Arial" w:eastAsia="Arial" w:hAnsi="Arial"/>
          <w:sz w:val="17"/>
          <w:szCs w:val="17"/>
          <w:color w:val="auto"/>
        </w:rPr>
      </w:pPr>
      <w:r>
        <w:rPr>
          <w:rFonts w:ascii="Arial" w:cs="Arial" w:eastAsia="Arial" w:hAnsi="Arial"/>
          <w:sz w:val="17"/>
          <w:szCs w:val="17"/>
          <w:i w:val="1"/>
          <w:iCs w:val="1"/>
          <w:color w:val="auto"/>
        </w:rPr>
        <w:t>Delivery of Shares</w:t>
      </w:r>
      <w:r>
        <w:rPr>
          <w:rFonts w:ascii="Arial" w:cs="Arial" w:eastAsia="Arial" w:hAnsi="Arial"/>
          <w:sz w:val="17"/>
          <w:szCs w:val="17"/>
          <w:color w:val="auto"/>
        </w:rPr>
        <w:t>. Notwithstanding anything to the contrary herein, Dealer may, by prior notice to Counterparty, satisfy its obligation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any Shares or other securities on any date due (an “</w:t>
      </w:r>
      <w:r>
        <w:rPr>
          <w:rFonts w:ascii="Arial" w:cs="Arial" w:eastAsia="Arial" w:hAnsi="Arial"/>
          <w:sz w:val="17"/>
          <w:szCs w:val="17"/>
          <w:b w:val="1"/>
          <w:bCs w:val="1"/>
          <w:color w:val="auto"/>
        </w:rPr>
        <w:t>Original Delivery Date</w:t>
      </w:r>
      <w:r>
        <w:rPr>
          <w:rFonts w:ascii="Arial" w:cs="Arial" w:eastAsia="Arial" w:hAnsi="Arial"/>
          <w:sz w:val="17"/>
          <w:szCs w:val="17"/>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71" w:lineRule="exact"/>
        <w:rPr>
          <w:rFonts w:ascii="Arial" w:cs="Arial" w:eastAsia="Arial" w:hAnsi="Arial"/>
          <w:sz w:val="17"/>
          <w:szCs w:val="17"/>
          <w:color w:val="auto"/>
        </w:rPr>
      </w:pPr>
    </w:p>
    <w:p>
      <w:pPr>
        <w:jc w:val="both"/>
        <w:ind w:right="100" w:firstLine="656"/>
        <w:spacing w:after="0" w:line="312" w:lineRule="auto"/>
        <w:tabs>
          <w:tab w:leader="none" w:pos="1304" w:val="left"/>
        </w:tabs>
        <w:numPr>
          <w:ilvl w:val="1"/>
          <w:numId w:val="192"/>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Effective from the date of commencement of discussions concerning the Transaction, Counterparty and each of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6"/>
          <w:szCs w:val="16"/>
          <w:color w:val="auto"/>
        </w:rPr>
      </w:pPr>
    </w:p>
    <w:p>
      <w:pPr>
        <w:jc w:val="both"/>
        <w:ind w:right="420" w:firstLine="638"/>
        <w:spacing w:after="0" w:line="312" w:lineRule="auto"/>
        <w:tabs>
          <w:tab w:leader="none" w:pos="989"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 xml:space="preserve">No Netting and Set-off. </w:t>
      </w:r>
      <w:r>
        <w:rPr>
          <w:rFonts w:ascii="Arial" w:cs="Arial" w:eastAsia="Arial" w:hAnsi="Arial"/>
          <w:sz w:val="16"/>
          <w:szCs w:val="16"/>
          <w:color w:val="auto"/>
        </w:rPr>
        <w:t>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5" w:name="page166"/>
    <w:bookmarkEnd w:id="165"/>
    <w:p>
      <w:pPr>
        <w:ind w:right="120" w:firstLine="656"/>
        <w:spacing w:after="0" w:line="297" w:lineRule="auto"/>
        <w:tabs>
          <w:tab w:leader="none" w:pos="980"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right="20" w:firstLine="656"/>
        <w:spacing w:after="0" w:line="269" w:lineRule="auto"/>
        <w:tabs>
          <w:tab w:leader="none" w:pos="980"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Early Unwind</w:t>
      </w:r>
      <w:r>
        <w:rPr>
          <w:rFonts w:ascii="Arial" w:cs="Arial" w:eastAsia="Arial" w:hAnsi="Arial"/>
          <w:sz w:val="17"/>
          <w:szCs w:val="17"/>
          <w:color w:val="auto"/>
        </w:rPr>
        <w:t>. In the event the sale by Counterparty of the Firm Securities is not consummated pursuant to the Purchase Agreement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by the close of business in New York on November 1, 2019 (or such later date as agreed upon by the parties) (November 1, 2019 or such later date being the “</w:t>
      </w:r>
      <w:r>
        <w:rPr>
          <w:rFonts w:ascii="Arial" w:cs="Arial" w:eastAsia="Arial" w:hAnsi="Arial"/>
          <w:sz w:val="17"/>
          <w:szCs w:val="17"/>
          <w:b w:val="1"/>
          <w:bCs w:val="1"/>
          <w:color w:val="auto"/>
        </w:rPr>
        <w:t>Early Unwind Date</w:t>
      </w:r>
      <w:r>
        <w:rPr>
          <w:rFonts w:ascii="Arial" w:cs="Arial" w:eastAsia="Arial" w:hAnsi="Arial"/>
          <w:sz w:val="17"/>
          <w:szCs w:val="17"/>
          <w:color w:val="auto"/>
        </w:rPr>
        <w:t>”), the Transaction shall automatically terminate (the “</w:t>
      </w:r>
      <w:r>
        <w:rPr>
          <w:rFonts w:ascii="Arial" w:cs="Arial" w:eastAsia="Arial" w:hAnsi="Arial"/>
          <w:sz w:val="17"/>
          <w:szCs w:val="17"/>
          <w:b w:val="1"/>
          <w:bCs w:val="1"/>
          <w:color w:val="auto"/>
        </w:rPr>
        <w:t>Early Unwind</w:t>
      </w:r>
      <w:r>
        <w:rPr>
          <w:rFonts w:ascii="Arial" w:cs="Arial" w:eastAsia="Arial" w:hAnsi="Arial"/>
          <w:sz w:val="17"/>
          <w:szCs w:val="17"/>
          <w:color w:val="auto"/>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spacing w:after="0" w:line="182" w:lineRule="exact"/>
        <w:rPr>
          <w:rFonts w:ascii="Arial" w:cs="Arial" w:eastAsia="Arial" w:hAnsi="Arial"/>
          <w:sz w:val="17"/>
          <w:szCs w:val="17"/>
          <w:color w:val="auto"/>
        </w:rPr>
      </w:pPr>
    </w:p>
    <w:p>
      <w:pPr>
        <w:ind w:firstLine="656"/>
        <w:spacing w:after="0" w:line="289" w:lineRule="auto"/>
        <w:tabs>
          <w:tab w:leader="none" w:pos="994"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Agreements and Acknowledgements Regarding Hedgin</w:t>
      </w:r>
      <w:r>
        <w:rPr>
          <w:rFonts w:ascii="Arial" w:cs="Arial" w:eastAsia="Arial" w:hAnsi="Arial"/>
          <w:sz w:val="16"/>
          <w:szCs w:val="16"/>
          <w:i w:val="1"/>
          <w:iCs w:val="1"/>
          <w:u w:val="single" w:color="auto"/>
          <w:color w:val="auto"/>
        </w:rPr>
        <w:t>g</w:t>
      </w:r>
      <w:r>
        <w:rPr>
          <w:rFonts w:ascii="Arial" w:cs="Arial" w:eastAsia="Arial" w:hAnsi="Arial"/>
          <w:sz w:val="16"/>
          <w:szCs w:val="16"/>
          <w:color w:val="auto"/>
        </w:rPr>
        <w:t>. Counterparty understands, acknowledges and agrees that: (A) at any time on and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66" w:lineRule="exact"/>
        <w:rPr>
          <w:rFonts w:ascii="Arial" w:cs="Arial" w:eastAsia="Arial" w:hAnsi="Arial"/>
          <w:sz w:val="16"/>
          <w:szCs w:val="16"/>
          <w:color w:val="auto"/>
        </w:rPr>
      </w:pPr>
    </w:p>
    <w:p>
      <w:pPr>
        <w:ind w:right="60" w:firstLine="656"/>
        <w:spacing w:after="0" w:line="254" w:lineRule="auto"/>
        <w:tabs>
          <w:tab w:leader="none" w:pos="976"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Wall Street Transparency and Accountability Act</w:t>
      </w:r>
      <w:r>
        <w:rPr>
          <w:rFonts w:ascii="Arial" w:cs="Arial" w:eastAsia="Arial" w:hAnsi="Arial"/>
          <w:sz w:val="18"/>
          <w:szCs w:val="18"/>
          <w:color w:val="auto"/>
        </w:rPr>
        <w:t>. In connection with Section 739 of the Wall Street Transparency and Accountability Act of</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w:t>
      </w:r>
      <w:r>
        <w:rPr>
          <w:rFonts w:ascii="Arial" w:cs="Arial" w:eastAsia="Arial" w:hAnsi="Arial"/>
          <w:sz w:val="18"/>
          <w:szCs w:val="18"/>
          <w:b w:val="1"/>
          <w:bCs w:val="1"/>
          <w:color w:val="auto"/>
        </w:rPr>
        <w:t>WSTAA</w:t>
      </w:r>
      <w:r>
        <w:rPr>
          <w:rFonts w:ascii="Arial" w:cs="Arial" w:eastAsia="Arial" w:hAnsi="Arial"/>
          <w:sz w:val="18"/>
          <w:szCs w:val="18"/>
          <w:color w:val="auto"/>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ind w:right="18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DOCTRINE, OTHER THAN TITLE 14 OF ARTICLE 5 OF THE NEW YORK GENERAL OBLIGATIONS LAW).</w:t>
      </w:r>
    </w:p>
    <w:p>
      <w:pPr>
        <w:spacing w:after="0" w:line="229" w:lineRule="exact"/>
        <w:rPr>
          <w:sz w:val="20"/>
          <w:szCs w:val="20"/>
          <w:color w:val="auto"/>
        </w:rPr>
      </w:pPr>
    </w:p>
    <w:p>
      <w:pPr>
        <w:ind w:right="140" w:firstLine="656"/>
        <w:spacing w:after="0" w:line="277"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This Confirmation and the Agreement may not be modified, amended or supplemented, except in a written instrument signed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Counterparty and Dealer.</w:t>
      </w:r>
    </w:p>
    <w:p>
      <w:pPr>
        <w:spacing w:after="0" w:line="170" w:lineRule="exact"/>
        <w:rPr>
          <w:rFonts w:ascii="Arial" w:cs="Arial" w:eastAsia="Arial" w:hAnsi="Arial"/>
          <w:sz w:val="18"/>
          <w:szCs w:val="18"/>
          <w:color w:val="auto"/>
        </w:rPr>
      </w:pPr>
    </w:p>
    <w:p>
      <w:pPr>
        <w:ind w:right="80" w:firstLine="656"/>
        <w:spacing w:after="0" w:line="277"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and the same instrument.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72" w:lineRule="auto"/>
        <w:tabs>
          <w:tab w:leader="none" w:pos="1978" w:val="left"/>
        </w:tabs>
        <w:numPr>
          <w:ilvl w:val="1"/>
          <w:numId w:val="195"/>
        </w:numPr>
        <w:rPr>
          <w:rFonts w:ascii="Arial" w:cs="Arial" w:eastAsia="Arial" w:hAnsi="Arial"/>
          <w:sz w:val="17"/>
          <w:szCs w:val="17"/>
          <w:color w:val="auto"/>
        </w:rPr>
      </w:pPr>
      <w:r>
        <w:rPr>
          <w:rFonts w:ascii="Arial" w:cs="Arial" w:eastAsia="Arial" w:hAnsi="Arial"/>
          <w:sz w:val="17"/>
          <w:szCs w:val="17"/>
          <w:color w:val="auto"/>
        </w:rPr>
        <w:t>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7" w:lineRule="exact"/>
        <w:rPr>
          <w:rFonts w:ascii="Arial" w:cs="Arial" w:eastAsia="Arial" w:hAnsi="Arial"/>
          <w:sz w:val="17"/>
          <w:szCs w:val="17"/>
          <w:color w:val="auto"/>
        </w:rPr>
      </w:pPr>
    </w:p>
    <w:p>
      <w:pPr>
        <w:ind w:left="660" w:firstLine="645"/>
        <w:spacing w:after="0" w:line="271" w:lineRule="auto"/>
        <w:tabs>
          <w:tab w:leader="none" w:pos="198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Arial" w:cs="Arial" w:eastAsia="Arial" w:hAnsi="Arial"/>
          <w:sz w:val="17"/>
          <w:szCs w:val="17"/>
          <w:b w:val="1"/>
          <w:bCs w:val="1"/>
          <w:color w:val="auto"/>
        </w:rPr>
        <w:t>871(m) Protocol</w:t>
      </w:r>
      <w:r>
        <w:rPr>
          <w:rFonts w:ascii="Arial" w:cs="Arial" w:eastAsia="Arial" w:hAnsi="Arial"/>
          <w:sz w:val="17"/>
          <w:szCs w:val="17"/>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78" w:lineRule="exact"/>
        <w:rPr>
          <w:rFonts w:ascii="Arial" w:cs="Arial" w:eastAsia="Arial" w:hAnsi="Arial"/>
          <w:sz w:val="17"/>
          <w:szCs w:val="17"/>
          <w:color w:val="auto"/>
        </w:rPr>
      </w:pPr>
    </w:p>
    <w:p>
      <w:pPr>
        <w:ind w:left="660" w:right="160" w:firstLine="645"/>
        <w:spacing w:after="0" w:line="297" w:lineRule="auto"/>
        <w:tabs>
          <w:tab w:leader="none" w:pos="199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spacing w:after="0" w:line="158" w:lineRule="exact"/>
        <w:rPr>
          <w:rFonts w:ascii="Arial" w:cs="Arial" w:eastAsia="Arial" w:hAnsi="Arial"/>
          <w:sz w:val="16"/>
          <w:szCs w:val="16"/>
          <w:color w:val="auto"/>
        </w:rPr>
      </w:pPr>
    </w:p>
    <w:p>
      <w:pPr>
        <w:ind w:left="660" w:firstLine="645"/>
        <w:spacing w:after="0" w:line="273" w:lineRule="auto"/>
        <w:tabs>
          <w:tab w:leader="none" w:pos="1973"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Tax Representations. For the purpose of Section 3(f) of the Agreement, Counterparty is a corporation for U.S. federal income tax purposes and is organized under the laws of the State of Iowa.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QFC Stay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20" w:firstLine="645"/>
        <w:spacing w:after="0" w:line="277" w:lineRule="auto"/>
        <w:tabs>
          <w:tab w:leader="none" w:pos="197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In the event that Dealer becomes subject to a proceeding under (i) the Federal Deposit Insurance Act and the regulations promulgated thereunder or (ii) Title II of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67" w:name="page168"/>
    <w:bookmarkEnd w:id="167"/>
    <w:p>
      <w:pPr>
        <w:ind w:left="4" w:right="200"/>
        <w:spacing w:after="0" w:line="287" w:lineRule="auto"/>
        <w:rPr>
          <w:sz w:val="20"/>
          <w:szCs w:val="20"/>
          <w:color w:val="auto"/>
        </w:rPr>
      </w:pPr>
      <w:r>
        <w:rPr>
          <w:rFonts w:ascii="Arial" w:cs="Arial" w:eastAsia="Arial" w:hAnsi="Arial"/>
          <w:sz w:val="16"/>
          <w:szCs w:val="16"/>
          <w:color w:val="auto"/>
        </w:rPr>
        <w:t>Dodd-Frank Wall Street Reform and Consumer Protection Act and the regulations promulgated thereunder (a “</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w:t>
      </w:r>
    </w:p>
    <w:p>
      <w:pPr>
        <w:spacing w:after="0" w:line="3" w:lineRule="exact"/>
        <w:rPr>
          <w:sz w:val="20"/>
          <w:szCs w:val="20"/>
          <w:color w:val="auto"/>
        </w:rPr>
      </w:pPr>
    </w:p>
    <w:p>
      <w:pPr>
        <w:ind w:left="4" w:right="20" w:hanging="4"/>
        <w:spacing w:after="0" w:line="254" w:lineRule="auto"/>
        <w:tabs>
          <w:tab w:leader="none" w:pos="28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spacing w:after="0" w:line="189" w:lineRule="exact"/>
        <w:rPr>
          <w:rFonts w:ascii="Arial" w:cs="Arial" w:eastAsia="Arial" w:hAnsi="Arial"/>
          <w:sz w:val="18"/>
          <w:szCs w:val="18"/>
          <w:color w:val="auto"/>
        </w:rPr>
      </w:pPr>
    </w:p>
    <w:p>
      <w:pPr>
        <w:ind w:left="4" w:firstLine="645"/>
        <w:spacing w:after="0" w:line="271" w:lineRule="auto"/>
        <w:tabs>
          <w:tab w:leader="none" w:pos="133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Arial" w:cs="Arial" w:eastAsia="Arial" w:hAnsi="Arial"/>
          <w:sz w:val="17"/>
          <w:szCs w:val="17"/>
          <w:b w:val="1"/>
          <w:bCs w:val="1"/>
          <w:color w:val="auto"/>
        </w:rPr>
        <w:t>Insolvency</w:t>
      </w:r>
      <w:r>
        <w:rPr>
          <w:rFonts w:ascii="Arial" w:cs="Arial" w:eastAsia="Arial" w:hAnsi="Arial"/>
          <w:sz w:val="17"/>
          <w:szCs w:val="17"/>
          <w:color w:val="auto"/>
        </w:rPr>
        <w:t xml:space="preserve"> </w:t>
      </w:r>
      <w:r>
        <w:rPr>
          <w:rFonts w:ascii="Arial" w:cs="Arial" w:eastAsia="Arial" w:hAnsi="Arial"/>
          <w:sz w:val="17"/>
          <w:szCs w:val="17"/>
          <w:b w:val="1"/>
          <w:bCs w:val="1"/>
          <w:color w:val="auto"/>
        </w:rPr>
        <w:t>Proceeding</w:t>
      </w:r>
      <w:r>
        <w:rPr>
          <w:rFonts w:ascii="Arial" w:cs="Arial" w:eastAsia="Arial" w:hAnsi="Arial"/>
          <w:sz w:val="17"/>
          <w:szCs w:val="17"/>
          <w:color w:val="auto"/>
        </w:rPr>
        <w:t>”), except to the extent that the exercise of such Default Right would be permitted under the provisions of 12 C.F.R. 252.84, 12 C.F.R.</w:t>
      </w:r>
      <w:r>
        <w:rPr>
          <w:rFonts w:ascii="Arial" w:cs="Arial" w:eastAsia="Arial" w:hAnsi="Arial"/>
          <w:sz w:val="17"/>
          <w:szCs w:val="17"/>
          <w:b w:val="1"/>
          <w:bCs w:val="1"/>
          <w:color w:val="auto"/>
        </w:rPr>
        <w:t xml:space="preserve"> </w:t>
      </w:r>
      <w:r>
        <w:rPr>
          <w:rFonts w:ascii="Arial" w:cs="Arial" w:eastAsia="Arial" w:hAnsi="Arial"/>
          <w:sz w:val="17"/>
          <w:szCs w:val="17"/>
          <w:color w:val="auto"/>
        </w:rPr>
        <w:t>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spacing w:after="0" w:line="178" w:lineRule="exact"/>
        <w:rPr>
          <w:rFonts w:ascii="Arial" w:cs="Arial" w:eastAsia="Arial" w:hAnsi="Arial"/>
          <w:sz w:val="17"/>
          <w:szCs w:val="17"/>
          <w:color w:val="auto"/>
        </w:rPr>
      </w:pPr>
    </w:p>
    <w:p>
      <w:pPr>
        <w:ind w:left="4" w:right="60" w:firstLine="645"/>
        <w:spacing w:after="0" w:line="273" w:lineRule="auto"/>
        <w:tabs>
          <w:tab w:leader="none" w:pos="134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If Counterparty has previously adhered to, or subsequently adheres to, the ISDA 2018 U.S. Resolution Stay Protocol as published by the International Swaps and Derivatives Association, Inc. as of July 31, 2018 (the “</w:t>
      </w:r>
      <w:r>
        <w:rPr>
          <w:rFonts w:ascii="Arial" w:cs="Arial" w:eastAsia="Arial" w:hAnsi="Arial"/>
          <w:sz w:val="17"/>
          <w:szCs w:val="17"/>
          <w:b w:val="1"/>
          <w:bCs w:val="1"/>
          <w:color w:val="auto"/>
        </w:rPr>
        <w:t>ISDA U.S. Protocol</w:t>
      </w:r>
      <w:r>
        <w:rPr>
          <w:rFonts w:ascii="Arial" w:cs="Arial" w:eastAsia="Arial" w:hAnsi="Arial"/>
          <w:sz w:val="17"/>
          <w:szCs w:val="17"/>
          <w:color w:val="auto"/>
        </w:rPr>
        <w:t>”), the terms of such protocol shall be incorporated into and form a part of this Confirmation and the terms of the ISDA U.S. Protocol shall supersede and replace the terms of this Section 8(r).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spacing w:after="0" w:line="178" w:lineRule="exact"/>
        <w:rPr>
          <w:rFonts w:ascii="Arial" w:cs="Arial" w:eastAsia="Arial" w:hAnsi="Arial"/>
          <w:sz w:val="17"/>
          <w:szCs w:val="17"/>
          <w:color w:val="auto"/>
        </w:rPr>
      </w:pPr>
    </w:p>
    <w:p>
      <w:pPr>
        <w:ind w:left="4" w:right="40" w:firstLine="645"/>
        <w:spacing w:after="0" w:line="257" w:lineRule="auto"/>
        <w:tabs>
          <w:tab w:leader="none" w:pos="131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Arial" w:cs="Arial" w:eastAsia="Arial" w:hAnsi="Arial"/>
          <w:sz w:val="18"/>
          <w:szCs w:val="18"/>
          <w:b w:val="1"/>
          <w:bCs w:val="1"/>
          <w:color w:val="auto"/>
        </w:rPr>
        <w:t>Preexisting In-Scope Agreement</w:t>
      </w:r>
      <w:r>
        <w:rPr>
          <w:rFonts w:ascii="Arial" w:cs="Arial" w:eastAsia="Arial" w:hAnsi="Arial"/>
          <w:sz w:val="18"/>
          <w:szCs w:val="18"/>
          <w:color w:val="auto"/>
        </w:rPr>
        <w:t>”), then each such Preexisting In-Scope Agreement is hereby amended to include the foregoing provisions in this Section 8(r), with references to “this Confirmation” being understood to be references to the applicable Preexisting In-Scope Agreement.</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For purposes of this Section 8(r):</w:t>
      </w:r>
    </w:p>
    <w:p>
      <w:pPr>
        <w:spacing w:after="0" w:line="22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defined in, and shall be interpreted in accordance with, 12 U.S.C. § 1841(k).</w:t>
      </w:r>
    </w:p>
    <w:p>
      <w:pPr>
        <w:spacing w:after="0" w:line="225" w:lineRule="exact"/>
        <w:rPr>
          <w:sz w:val="20"/>
          <w:szCs w:val="20"/>
          <w:color w:val="auto"/>
        </w:rPr>
      </w:pPr>
    </w:p>
    <w:p>
      <w:pPr>
        <w:ind w:left="644"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w:t>
      </w:r>
      <w:r>
        <w:rPr>
          <w:rFonts w:ascii="Arial" w:cs="Arial" w:eastAsia="Arial" w:hAnsi="Arial"/>
          <w:sz w:val="18"/>
          <w:szCs w:val="18"/>
          <w:color w:val="auto"/>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38" w:right="259" w:bottom="1440" w:gutter="0" w:footer="0" w:header="0"/>
        </w:sectPr>
      </w:pPr>
    </w:p>
    <w:bookmarkStart w:id="168" w:name="page169"/>
    <w:bookmarkEnd w:id="168"/>
    <w:p>
      <w:pPr>
        <w:ind w:left="880" w:hanging="224"/>
        <w:spacing w:after="0"/>
        <w:tabs>
          <w:tab w:leader="none" w:pos="8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225" w:lineRule="exact"/>
        <w:rPr>
          <w:sz w:val="20"/>
          <w:szCs w:val="20"/>
          <w:color w:val="auto"/>
        </w:rPr>
      </w:pPr>
    </w:p>
    <w:p>
      <w:pPr>
        <w:ind w:right="300" w:firstLine="656"/>
        <w:spacing w:after="0" w:line="282" w:lineRule="auto"/>
        <w:tabs>
          <w:tab w:leader="none" w:pos="1304"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awards are generally final and binding; a party’s ability to have a court reverse or modify an arbitration award is very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limited.</w:t>
      </w:r>
    </w:p>
    <w:p>
      <w:pPr>
        <w:spacing w:after="0" w:line="206" w:lineRule="exact"/>
        <w:rPr>
          <w:rFonts w:ascii="Arial" w:cs="Arial" w:eastAsia="Arial" w:hAnsi="Arial"/>
          <w:sz w:val="16"/>
          <w:szCs w:val="16"/>
          <w:b w:val="1"/>
          <w:bCs w:val="1"/>
          <w:color w:val="auto"/>
        </w:rPr>
      </w:pPr>
    </w:p>
    <w:p>
      <w:pPr>
        <w:ind w:right="80" w:firstLine="656"/>
        <w:spacing w:after="0" w:line="282" w:lineRule="auto"/>
        <w:tabs>
          <w:tab w:leader="none" w:pos="1307"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the parties to obtain documents, witness statements and other discovery is generally more limited in arbitration than in court proceedings.</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do not have to explain the reason(s) for their award.</w:t>
      </w:r>
    </w:p>
    <w:p>
      <w:pPr>
        <w:spacing w:after="0" w:line="225" w:lineRule="exact"/>
        <w:rPr>
          <w:rFonts w:ascii="Arial" w:cs="Arial" w:eastAsia="Arial" w:hAnsi="Arial"/>
          <w:sz w:val="18"/>
          <w:szCs w:val="18"/>
          <w:b w:val="1"/>
          <w:bCs w:val="1"/>
          <w:color w:val="auto"/>
        </w:rPr>
      </w:pPr>
    </w:p>
    <w:p>
      <w:pPr>
        <w:jc w:val="both"/>
        <w:ind w:right="460" w:firstLine="656"/>
        <w:spacing w:after="0" w:line="266" w:lineRule="auto"/>
        <w:tabs>
          <w:tab w:leader="none" w:pos="1307"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6" w:lineRule="exact"/>
        <w:rPr>
          <w:rFonts w:ascii="Arial" w:cs="Arial" w:eastAsia="Arial" w:hAnsi="Arial"/>
          <w:sz w:val="18"/>
          <w:szCs w:val="18"/>
          <w:b w:val="1"/>
          <w:bCs w:val="1"/>
          <w:color w:val="auto"/>
        </w:rPr>
      </w:pPr>
    </w:p>
    <w:p>
      <w:pPr>
        <w:ind w:right="420" w:firstLine="656"/>
        <w:spacing w:after="0" w:line="282" w:lineRule="auto"/>
        <w:tabs>
          <w:tab w:leader="none" w:pos="1301"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The rules of some arbitration forums may impose time limits for bringing a claim in arbitration. In some cases, a claim that is ineligible for arbitration may be brought in court.</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The rules of the arbitration forum in which the claim is filed, and any amendments thereto, shall be incorporated into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Confirmation.</w:t>
      </w:r>
    </w:p>
    <w:p>
      <w:pPr>
        <w:spacing w:after="0" w:line="206" w:lineRule="exact"/>
        <w:rPr>
          <w:rFonts w:ascii="Arial" w:cs="Arial" w:eastAsia="Arial" w:hAnsi="Arial"/>
          <w:sz w:val="17"/>
          <w:szCs w:val="17"/>
          <w:b w:val="1"/>
          <w:bCs w:val="1"/>
          <w:color w:val="auto"/>
        </w:rPr>
      </w:pPr>
    </w:p>
    <w:p>
      <w:pPr>
        <w:ind w:firstLine="656"/>
        <w:spacing w:after="0" w:line="258" w:lineRule="auto"/>
        <w:tabs>
          <w:tab w:leader="none" w:pos="1314"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83" w:lineRule="exact"/>
        <w:rPr>
          <w:rFonts w:ascii="Arial" w:cs="Arial" w:eastAsia="Arial" w:hAnsi="Arial"/>
          <w:sz w:val="18"/>
          <w:szCs w:val="18"/>
          <w:b w:val="1"/>
          <w:bCs w:val="1"/>
          <w:color w:val="auto"/>
        </w:rPr>
      </w:pPr>
    </w:p>
    <w:p>
      <w:pPr>
        <w:jc w:val="both"/>
        <w:ind w:right="180" w:firstLine="656"/>
        <w:spacing w:after="0" w:line="289" w:lineRule="auto"/>
        <w:tabs>
          <w:tab w:leader="none" w:pos="1304"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is excluded from the class by the court.</w:t>
      </w:r>
    </w:p>
    <w:p>
      <w:pPr>
        <w:spacing w:after="0" w:line="206" w:lineRule="exact"/>
        <w:rPr>
          <w:rFonts w:ascii="Arial" w:cs="Arial" w:eastAsia="Arial" w:hAnsi="Arial"/>
          <w:sz w:val="18"/>
          <w:szCs w:val="18"/>
          <w:b w:val="1"/>
          <w:bCs w:val="1"/>
          <w:color w:val="auto"/>
        </w:rPr>
      </w:pPr>
    </w:p>
    <w:p>
      <w:pPr>
        <w:ind w:right="40" w:firstLine="656"/>
        <w:spacing w:after="0" w:line="282" w:lineRule="auto"/>
        <w:tabs>
          <w:tab w:leader="none" w:pos="1314"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Such forbearance to enforce an agreement to arbitrate shall not constitute a waiver of any rights under this Confirmation except to the extent stated 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9" w:name="page170"/>
    <w:bookmarkEnd w:id="169"/>
    <w:p>
      <w:pPr>
        <w:spacing w:after="0" w:line="257" w:lineRule="auto"/>
        <w:rPr>
          <w:sz w:val="20"/>
          <w:szCs w:val="20"/>
          <w:color w:val="auto"/>
        </w:rPr>
      </w:pPr>
      <w:r>
        <w:rPr>
          <w:rFonts w:ascii="Arial" w:cs="Arial" w:eastAsia="Arial" w:hAnsi="Arial"/>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LLC, Equity Derivatives Documentation Department, Facsimile No. (212) 428-1980/83.</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Jonathan Armstrong</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Jonathan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813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18" w:lineRule="auto"/>
        <w:rPr>
          <w:sz w:val="20"/>
          <w:szCs w:val="20"/>
          <w:color w:val="auto"/>
        </w:rPr>
      </w:pPr>
      <w:r>
        <w:rPr>
          <w:rFonts w:ascii="Arial" w:cs="Arial" w:eastAsia="Arial" w:hAnsi="Arial"/>
          <w:sz w:val="18"/>
          <w:szCs w:val="18"/>
          <w:color w:val="auto"/>
        </w:rPr>
        <w:t>55 Bloor Street West,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M4W 1A5</w:t>
      </w: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(416) 552-4177</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(416) 552-7904</w:t>
      </w:r>
    </w:p>
    <w:p>
      <w:pPr>
        <w:spacing w:after="0" w:line="211"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pacing w:after="0" w:line="2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Winnebago Industries, Inc.</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Forest City, Iowa 50436</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Bank of Montreal</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Base Convertible Bond Hedge Transaction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October 29,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Bank of Montreal (“</w:t>
      </w:r>
      <w:r>
        <w:rPr>
          <w:rFonts w:ascii="Arial" w:cs="Arial" w:eastAsia="Arial" w:hAnsi="Arial"/>
          <w:sz w:val="18"/>
          <w:szCs w:val="18"/>
          <w:b w:val="1"/>
          <w:bCs w:val="1"/>
          <w:color w:val="auto"/>
        </w:rPr>
        <w:t>Dealer</w:t>
      </w:r>
      <w:r>
        <w:rPr>
          <w:rFonts w:ascii="Arial" w:cs="Arial" w:eastAsia="Arial" w:hAnsi="Arial"/>
          <w:sz w:val="18"/>
          <w:szCs w:val="18"/>
          <w:color w:val="auto"/>
        </w:rPr>
        <w:t>”) and Winnebago Industries, Inc. (“</w:t>
      </w:r>
      <w:r>
        <w:rPr>
          <w:rFonts w:ascii="Arial" w:cs="Arial" w:eastAsia="Arial" w:hAnsi="Arial"/>
          <w:sz w:val="18"/>
          <w:szCs w:val="18"/>
          <w:b w:val="1"/>
          <w:bCs w:val="1"/>
          <w:color w:val="auto"/>
        </w:rPr>
        <w:t>Counterparty</w:t>
      </w:r>
      <w:r>
        <w:rPr>
          <w:rFonts w:ascii="Arial" w:cs="Arial" w:eastAsia="Arial" w:hAnsi="Arial"/>
          <w:sz w:val="18"/>
          <w:szCs w:val="18"/>
          <w:color w:val="auto"/>
        </w:rPr>
        <w:t>”). Dealer is acting as principal in this Transaction and BMO Capital Markets Corp. (“</w:t>
      </w:r>
      <w:r>
        <w:rPr>
          <w:rFonts w:ascii="Arial" w:cs="Arial" w:eastAsia="Arial" w:hAnsi="Arial"/>
          <w:sz w:val="18"/>
          <w:szCs w:val="18"/>
          <w:b w:val="1"/>
          <w:bCs w:val="1"/>
          <w:color w:val="auto"/>
        </w:rPr>
        <w:t>Agent</w:t>
      </w:r>
      <w:r>
        <w:rPr>
          <w:rFonts w:ascii="Arial" w:cs="Arial" w:eastAsia="Arial" w:hAnsi="Arial"/>
          <w:sz w:val="18"/>
          <w:szCs w:val="18"/>
          <w:color w:val="auto"/>
        </w:rPr>
        <w:t>”), its affiliate, is acting as agent for this Transaction solely in connection with Rule 15a-6 of the Exchange Act (as defined herein), as amended. This communication constitutes a “Confirmation” as referred to in the ISDA Master Agreement specified below.</w:t>
      </w:r>
    </w:p>
    <w:p>
      <w:pPr>
        <w:spacing w:after="0" w:line="184" w:lineRule="exact"/>
        <w:rPr>
          <w:sz w:val="20"/>
          <w:szCs w:val="20"/>
          <w:color w:val="auto"/>
        </w:rPr>
      </w:pPr>
    </w:p>
    <w:p>
      <w:pPr>
        <w:ind w:right="60" w:firstLine="656"/>
        <w:spacing w:after="0" w:line="268" w:lineRule="auto"/>
        <w:tabs>
          <w:tab w:leader="none" w:pos="100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2006 ISDA Definitions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and together with the 2006 Definitions, the “</w:t>
      </w:r>
      <w:r>
        <w:rPr>
          <w:rFonts w:ascii="Arial" w:cs="Arial" w:eastAsia="Arial" w:hAnsi="Arial"/>
          <w:sz w:val="17"/>
          <w:szCs w:val="17"/>
          <w:b w:val="1"/>
          <w:bCs w:val="1"/>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Certain defined terms used herein have the meanings assigned to them in the Indenture to be dated as of November 1, 2019 between Counterparty and U.S. Bank National Association,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relating to the USD 270,000,000 principal amount of 1.50% Convertible Senior Notes due 2025 (the “</w:t>
      </w:r>
      <w:r>
        <w:rPr>
          <w:rFonts w:ascii="Arial" w:cs="Arial" w:eastAsia="Arial" w:hAnsi="Arial"/>
          <w:sz w:val="17"/>
          <w:szCs w:val="17"/>
          <w:b w:val="1"/>
          <w:bCs w:val="1"/>
          <w:color w:val="auto"/>
        </w:rPr>
        <w:t>Base Convertible Securities</w:t>
      </w:r>
      <w:r>
        <w:rPr>
          <w:rFonts w:ascii="Arial" w:cs="Arial" w:eastAsia="Arial" w:hAnsi="Arial"/>
          <w:sz w:val="17"/>
          <w:szCs w:val="17"/>
          <w:color w:val="auto"/>
        </w:rPr>
        <w:t>”) and the additional USD 30,000,000 principal amount of 1.50% Convertible Senior Notes due 2025 that may be issued pursuant to the option to purchase additional convertible securities (the “</w:t>
      </w:r>
      <w:r>
        <w:rPr>
          <w:rFonts w:ascii="Arial" w:cs="Arial" w:eastAsia="Arial" w:hAnsi="Arial"/>
          <w:sz w:val="17"/>
          <w:szCs w:val="17"/>
          <w:b w:val="1"/>
          <w:bCs w:val="1"/>
          <w:color w:val="auto"/>
        </w:rPr>
        <w:t>Optional Convertible Securities</w:t>
      </w:r>
      <w:r>
        <w:rPr>
          <w:rFonts w:ascii="Arial" w:cs="Arial" w:eastAsia="Arial" w:hAnsi="Arial"/>
          <w:sz w:val="17"/>
          <w:szCs w:val="17"/>
          <w:color w:val="auto"/>
        </w:rPr>
        <w:t>” and, together with the Base Convertible Securities, the “</w:t>
      </w:r>
      <w:r>
        <w:rPr>
          <w:rFonts w:ascii="Arial" w:cs="Arial" w:eastAsia="Arial" w:hAnsi="Arial"/>
          <w:sz w:val="17"/>
          <w:szCs w:val="17"/>
          <w:b w:val="1"/>
          <w:bCs w:val="1"/>
          <w:color w:val="auto"/>
        </w:rPr>
        <w:t>Convertible Securities</w:t>
      </w:r>
      <w:r>
        <w:rPr>
          <w:rFonts w:ascii="Arial" w:cs="Arial" w:eastAsia="Arial" w:hAnsi="Arial"/>
          <w:sz w:val="17"/>
          <w:szCs w:val="17"/>
          <w:color w:val="auto"/>
        </w:rPr>
        <w:t>”). In the event of any inconsistency between the terms defined in the Indenture and this Confirmation, this Confirmation shall govern. For the 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Counterparty is hereby advised, and Counterparty acknowledges, that Dealer has engaged in, or refrained from engaging in, substantial financial transactions and has taken other material 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reliance upon the parties’ entry into the Transaction to which this Confirmation relates on the terms and conditions set forth below.</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(ii) the replacement of the word “third” in the last line of Section 5(a)(i) of the Agreement with the word “first”, and (iii) the election that the “Cross Default” provisions of Section 5(a)(vi) of the Agreement shall apply to Counterparty with a “Threshold Amount” of USD15.0 million).</w:t>
      </w:r>
    </w:p>
    <w:p>
      <w:pPr>
        <w:spacing w:after="0" w:line="19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spacing w:after="0" w:line="158"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60" w:firstLine="656"/>
        <w:spacing w:after="0" w:line="277" w:lineRule="auto"/>
        <w:tabs>
          <w:tab w:leader="none" w:pos="100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General Terms:</w:t>
            </w:r>
          </w:p>
        </w:tc>
        <w:tc>
          <w:tcPr>
            <w:tcW w:w="7720" w:type="dxa"/>
            <w:vAlign w:val="bottom"/>
          </w:tcPr>
          <w:p>
            <w:pPr>
              <w:spacing w:after="0"/>
              <w:rPr>
                <w:sz w:val="20"/>
                <w:szCs w:val="20"/>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7720" w:type="dxa"/>
            <w:vAlign w:val="bottom"/>
          </w:tcPr>
          <w:p>
            <w:pPr>
              <w:ind w:left="1420"/>
              <w:spacing w:after="0"/>
              <w:rPr>
                <w:sz w:val="20"/>
                <w:szCs w:val="20"/>
                <w:color w:val="auto"/>
              </w:rPr>
            </w:pPr>
            <w:r>
              <w:rPr>
                <w:rFonts w:ascii="Arial" w:cs="Arial" w:eastAsia="Arial" w:hAnsi="Arial"/>
                <w:sz w:val="18"/>
                <w:szCs w:val="18"/>
                <w:color w:val="auto"/>
              </w:rPr>
              <w:t>October 29, 2019</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7720" w:type="dxa"/>
            <w:vAlign w:val="bottom"/>
          </w:tcPr>
          <w:p>
            <w:pPr>
              <w:ind w:left="1420"/>
              <w:spacing w:after="0"/>
              <w:rPr>
                <w:sz w:val="20"/>
                <w:szCs w:val="20"/>
                <w:color w:val="auto"/>
              </w:rPr>
            </w:pPr>
            <w:r>
              <w:rPr>
                <w:rFonts w:ascii="Arial" w:cs="Arial" w:eastAsia="Arial" w:hAnsi="Arial"/>
                <w:sz w:val="18"/>
                <w:szCs w:val="18"/>
                <w:color w:val="auto"/>
              </w:rPr>
              <w:t>The closing date of the initial issuance of the Convertible Securities.</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Option Style:</w:t>
            </w:r>
          </w:p>
        </w:tc>
        <w:tc>
          <w:tcPr>
            <w:tcW w:w="7720" w:type="dxa"/>
            <w:vAlign w:val="bottom"/>
          </w:tcPr>
          <w:p>
            <w:pPr>
              <w:ind w:left="1420"/>
              <w:spacing w:after="0"/>
              <w:rPr>
                <w:sz w:val="20"/>
                <w:szCs w:val="20"/>
                <w:color w:val="auto"/>
              </w:rPr>
            </w:pPr>
            <w:r>
              <w:rPr>
                <w:rFonts w:ascii="Arial" w:cs="Arial" w:eastAsia="Arial" w:hAnsi="Arial"/>
                <w:sz w:val="18"/>
                <w:szCs w:val="18"/>
                <w:color w:val="auto"/>
              </w:rPr>
              <w:t>Modified American, as described under “Procedures for Exercise” below.</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Option Type:</w:t>
            </w:r>
          </w:p>
        </w:tc>
        <w:tc>
          <w:tcPr>
            <w:tcW w:w="7720" w:type="dxa"/>
            <w:vAlign w:val="bottom"/>
          </w:tcPr>
          <w:p>
            <w:pPr>
              <w:ind w:left="1420"/>
              <w:spacing w:after="0"/>
              <w:rPr>
                <w:sz w:val="20"/>
                <w:szCs w:val="20"/>
                <w:color w:val="auto"/>
              </w:rPr>
            </w:pPr>
            <w:r>
              <w:rPr>
                <w:rFonts w:ascii="Arial" w:cs="Arial" w:eastAsia="Arial" w:hAnsi="Arial"/>
                <w:sz w:val="18"/>
                <w:szCs w:val="18"/>
                <w:color w:val="auto"/>
              </w:rPr>
              <w:t>Call</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Seller:</w:t>
            </w:r>
          </w:p>
        </w:tc>
        <w:tc>
          <w:tcPr>
            <w:tcW w:w="7720" w:type="dxa"/>
            <w:vAlign w:val="bottom"/>
          </w:tcPr>
          <w:p>
            <w:pPr>
              <w:ind w:left="1420"/>
              <w:spacing w:after="0"/>
              <w:rPr>
                <w:sz w:val="20"/>
                <w:szCs w:val="20"/>
                <w:color w:val="auto"/>
              </w:rPr>
            </w:pPr>
            <w:r>
              <w:rPr>
                <w:rFonts w:ascii="Arial" w:cs="Arial" w:eastAsia="Arial" w:hAnsi="Arial"/>
                <w:sz w:val="18"/>
                <w:szCs w:val="18"/>
                <w:color w:val="auto"/>
              </w:rPr>
              <w:t>Dealer</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Buyer:</w:t>
            </w:r>
          </w:p>
        </w:tc>
        <w:tc>
          <w:tcPr>
            <w:tcW w:w="7720" w:type="dxa"/>
            <w:vAlign w:val="bottom"/>
          </w:tcPr>
          <w:p>
            <w:pPr>
              <w:ind w:left="1420"/>
              <w:spacing w:after="0"/>
              <w:rPr>
                <w:sz w:val="20"/>
                <w:szCs w:val="20"/>
                <w:color w:val="auto"/>
              </w:rPr>
            </w:pPr>
            <w:r>
              <w:rPr>
                <w:rFonts w:ascii="Arial" w:cs="Arial" w:eastAsia="Arial" w:hAnsi="Arial"/>
                <w:sz w:val="18"/>
                <w:szCs w:val="18"/>
                <w:color w:val="auto"/>
              </w:rPr>
              <w:t>Counterparty</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Shares:</w:t>
            </w:r>
          </w:p>
        </w:tc>
        <w:tc>
          <w:tcPr>
            <w:tcW w:w="7720" w:type="dxa"/>
            <w:vAlign w:val="bottom"/>
          </w:tcPr>
          <w:p>
            <w:pPr>
              <w:ind w:left="1420"/>
              <w:spacing w:after="0"/>
              <w:rPr>
                <w:sz w:val="20"/>
                <w:szCs w:val="20"/>
                <w:color w:val="auto"/>
              </w:rPr>
            </w:pPr>
            <w:r>
              <w:rPr>
                <w:rFonts w:ascii="Arial" w:cs="Arial" w:eastAsia="Arial" w:hAnsi="Arial"/>
                <w:sz w:val="18"/>
                <w:szCs w:val="18"/>
                <w:color w:val="auto"/>
                <w:w w:val="96"/>
              </w:rPr>
              <w:t>The Common Stock of Counterparty, par value USD0.50 (Ticker Symbol: “WGO”).</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Applicable Percentage:</w:t>
            </w:r>
          </w:p>
        </w:tc>
        <w:tc>
          <w:tcPr>
            <w:tcW w:w="7720" w:type="dxa"/>
            <w:vAlign w:val="bottom"/>
          </w:tcPr>
          <w:p>
            <w:pPr>
              <w:ind w:left="1420"/>
              <w:spacing w:after="0"/>
              <w:rPr>
                <w:sz w:val="20"/>
                <w:szCs w:val="20"/>
                <w:color w:val="auto"/>
              </w:rPr>
            </w:pPr>
            <w:r>
              <w:rPr>
                <w:rFonts w:ascii="Arial" w:cs="Arial" w:eastAsia="Arial" w:hAnsi="Arial"/>
                <w:sz w:val="18"/>
                <w:szCs w:val="18"/>
                <w:color w:val="auto"/>
              </w:rPr>
              <w:t>50.00%</w:t>
            </w:r>
          </w:p>
        </w:tc>
      </w:tr>
      <w:tr>
        <w:trPr>
          <w:trHeight w:val="418"/>
        </w:trPr>
        <w:tc>
          <w:tcPr>
            <w:tcW w:w="374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7720" w:type="dxa"/>
            <w:vAlign w:val="bottom"/>
          </w:tcPr>
          <w:p>
            <w:pPr>
              <w:ind w:left="1420"/>
              <w:spacing w:after="0"/>
              <w:rPr>
                <w:sz w:val="20"/>
                <w:szCs w:val="20"/>
                <w:color w:val="auto"/>
              </w:rPr>
            </w:pPr>
            <w:r>
              <w:rPr>
                <w:rFonts w:ascii="Arial" w:cs="Arial" w:eastAsia="Arial" w:hAnsi="Arial"/>
                <w:sz w:val="18"/>
                <w:szCs w:val="18"/>
                <w:color w:val="auto"/>
                <w:w w:val="94"/>
              </w:rPr>
              <w:t>The number of Base Convertible Securities in denominations of USD1,000 principal</w:t>
            </w:r>
          </w:p>
        </w:tc>
      </w:tr>
      <w:tr>
        <w:trPr>
          <w:trHeight w:val="216"/>
        </w:trPr>
        <w:tc>
          <w:tcPr>
            <w:tcW w:w="3740" w:type="dxa"/>
            <w:vAlign w:val="bottom"/>
          </w:tcPr>
          <w:p>
            <w:pPr>
              <w:spacing w:after="0"/>
              <w:rPr>
                <w:sz w:val="18"/>
                <w:szCs w:val="18"/>
                <w:color w:val="auto"/>
              </w:rPr>
            </w:pPr>
          </w:p>
        </w:tc>
        <w:tc>
          <w:tcPr>
            <w:tcW w:w="7720" w:type="dxa"/>
            <w:vAlign w:val="bottom"/>
          </w:tcPr>
          <w:p>
            <w:pPr>
              <w:ind w:left="1420"/>
              <w:spacing w:after="0"/>
              <w:rPr>
                <w:sz w:val="20"/>
                <w:szCs w:val="20"/>
                <w:color w:val="auto"/>
              </w:rPr>
            </w:pPr>
            <w:r>
              <w:rPr>
                <w:rFonts w:ascii="Arial" w:cs="Arial" w:eastAsia="Arial" w:hAnsi="Arial"/>
                <w:sz w:val="18"/>
                <w:szCs w:val="18"/>
                <w:color w:val="auto"/>
                <w:w w:val="98"/>
              </w:rPr>
              <w:t>amount issued by Counterparty on the closing date for the initial issuance of the</w:t>
            </w:r>
          </w:p>
        </w:tc>
      </w:tr>
      <w:tr>
        <w:trPr>
          <w:trHeight w:val="216"/>
        </w:trPr>
        <w:tc>
          <w:tcPr>
            <w:tcW w:w="3740" w:type="dxa"/>
            <w:vAlign w:val="bottom"/>
          </w:tcPr>
          <w:p>
            <w:pPr>
              <w:spacing w:after="0"/>
              <w:rPr>
                <w:sz w:val="18"/>
                <w:szCs w:val="18"/>
                <w:color w:val="auto"/>
              </w:rPr>
            </w:pPr>
          </w:p>
        </w:tc>
        <w:tc>
          <w:tcPr>
            <w:tcW w:w="7720" w:type="dxa"/>
            <w:vAlign w:val="bottom"/>
          </w:tcPr>
          <w:p>
            <w:pPr>
              <w:ind w:left="1420"/>
              <w:spacing w:after="0"/>
              <w:rPr>
                <w:sz w:val="20"/>
                <w:szCs w:val="20"/>
                <w:color w:val="auto"/>
              </w:rPr>
            </w:pPr>
            <w:r>
              <w:rPr>
                <w:rFonts w:ascii="Arial" w:cs="Arial" w:eastAsia="Arial" w:hAnsi="Arial"/>
                <w:sz w:val="18"/>
                <w:szCs w:val="18"/>
                <w:color w:val="auto"/>
              </w:rPr>
              <w:t>Convertible Securities. For the avoidance of doubt, the Number of Options</w:t>
            </w:r>
          </w:p>
        </w:tc>
      </w:tr>
      <w:tr>
        <w:trPr>
          <w:trHeight w:val="230"/>
        </w:trPr>
        <w:tc>
          <w:tcPr>
            <w:tcW w:w="3740" w:type="dxa"/>
            <w:vAlign w:val="bottom"/>
          </w:tcPr>
          <w:p>
            <w:pPr>
              <w:spacing w:after="0"/>
              <w:rPr>
                <w:sz w:val="20"/>
                <w:szCs w:val="20"/>
                <w:color w:val="auto"/>
              </w:rPr>
            </w:pPr>
          </w:p>
        </w:tc>
        <w:tc>
          <w:tcPr>
            <w:tcW w:w="7720" w:type="dxa"/>
            <w:vAlign w:val="bottom"/>
          </w:tcPr>
          <w:p>
            <w:pPr>
              <w:ind w:left="1420"/>
              <w:spacing w:after="0"/>
              <w:rPr>
                <w:sz w:val="20"/>
                <w:szCs w:val="20"/>
                <w:color w:val="auto"/>
              </w:rPr>
            </w:pPr>
            <w:r>
              <w:rPr>
                <w:rFonts w:ascii="Arial" w:cs="Arial" w:eastAsia="Arial" w:hAnsi="Arial"/>
                <w:sz w:val="18"/>
                <w:szCs w:val="18"/>
                <w:color w:val="auto"/>
              </w:rPr>
              <w:t>outstanding shall be reduced by each exercise of</w:t>
            </w:r>
          </w:p>
        </w:tc>
      </w:tr>
      <w:tr>
        <w:trPr>
          <w:trHeight w:val="432"/>
        </w:trPr>
        <w:tc>
          <w:tcPr>
            <w:tcW w:w="3740" w:type="dxa"/>
            <w:vAlign w:val="bottom"/>
          </w:tcPr>
          <w:p>
            <w:pPr>
              <w:spacing w:after="0"/>
              <w:rPr>
                <w:sz w:val="24"/>
                <w:szCs w:val="24"/>
                <w:color w:val="auto"/>
              </w:rPr>
            </w:pPr>
          </w:p>
        </w:tc>
        <w:tc>
          <w:tcPr>
            <w:tcW w:w="7720" w:type="dxa"/>
            <w:vAlign w:val="bottom"/>
          </w:tcPr>
          <w:p>
            <w:pPr>
              <w:ind w:left="1920"/>
              <w:spacing w:after="0"/>
              <w:rPr>
                <w:sz w:val="20"/>
                <w:szCs w:val="20"/>
                <w:color w:val="auto"/>
              </w:rPr>
            </w:pPr>
            <w:r>
              <w:rPr>
                <w:rFonts w:ascii="Arial" w:cs="Arial" w:eastAsia="Arial" w:hAnsi="Arial"/>
                <w:sz w:val="18"/>
                <w:szCs w:val="18"/>
                <w:color w:val="auto"/>
              </w:rPr>
              <w:t>2</w:t>
            </w:r>
          </w:p>
        </w:tc>
      </w:tr>
      <w:tr>
        <w:trPr>
          <w:trHeight w:val="132"/>
        </w:trPr>
        <w:tc>
          <w:tcPr>
            <w:tcW w:w="3740" w:type="dxa"/>
            <w:vAlign w:val="bottom"/>
            <w:tcBorders>
              <w:bottom w:val="single" w:sz="8" w:color="808080"/>
            </w:tcBorders>
          </w:tcPr>
          <w:p>
            <w:pPr>
              <w:spacing w:after="0"/>
              <w:rPr>
                <w:sz w:val="11"/>
                <w:szCs w:val="11"/>
                <w:color w:val="auto"/>
              </w:rPr>
            </w:pPr>
          </w:p>
        </w:tc>
        <w:tc>
          <w:tcPr>
            <w:tcW w:w="77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2" w:name="page173"/>
    <w:bookmarkEnd w:id="172"/>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Entitlement: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Fundamental Change Adjustment: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Discretionary Adjustment: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Strike Price:</w:t>
      </w:r>
    </w:p>
    <w:p>
      <w:pPr>
        <w:spacing w:after="0" w:line="225"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Rounding of Strike Price/Option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 Payment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Exercise: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Dates: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Period:</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Automatic Exercise on Conversion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Deadline: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Options 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15.6906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Any adjustment to the Conversion Rate pursuant to Section 5.07 of the Indenture.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Any adjustment to the Conversion Rate pursuant to Section 5.06 of the Indenture.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USD63.7324</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any adjustment to the Option Entitlement or Strike Price, the Option Entitlement or the Strike Price, as the case may be, shall be rounded by the Calculation Agent in accordance with the provisions of the Indenture relating to rounding of the “Conversion Price” or the “Conversion Rate” as applicable (each as defined in the Indenture).</w:t>
      </w:r>
    </w:p>
    <w:p>
      <w:pPr>
        <w:spacing w:after="0" w:line="18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As of any date, a number of Shares equal to the product of (i) the Applicable Percentage, (ii) the Number of Options and (iii) the Option Entitlement.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USD31,860,000.00.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Each Conversion Date.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“Conversion Date” (as defined in the Indenture) occurring during the Exercise Period for Convertible Securities each in denominations of USD1,000 principal amount (such Convertible Securities, the “</w:t>
      </w:r>
      <w:r>
        <w:rPr>
          <w:rFonts w:ascii="Arial" w:cs="Arial" w:eastAsia="Arial" w:hAnsi="Arial"/>
          <w:sz w:val="18"/>
          <w:szCs w:val="18"/>
          <w:b w:val="1"/>
          <w:bCs w:val="1"/>
          <w:color w:val="auto"/>
        </w:rPr>
        <w:t>Relevant Convertible Securities</w:t>
      </w:r>
      <w:r>
        <w:rPr>
          <w:rFonts w:ascii="Arial" w:cs="Arial" w:eastAsia="Arial" w:hAnsi="Arial"/>
          <w:sz w:val="18"/>
          <w:szCs w:val="18"/>
          <w:color w:val="auto"/>
        </w:rPr>
        <w:t>” for such Conversion Date).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period from and excluding the Effective Date to, and including, the Expiration Date.</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earlier of (i) the last day on which any Convertible Securities remain outstanding and (ii) the second “Scheduled Trading Day” (as defined in the Indenture) immediately preceding the “Maturity Date” (as defined in the Indenture).</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respect of any exercise of Options hereunder on any Conversion Date, 5:00 P.M., New York City time, on (i) in the case the applicable Relevant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440" w:space="720"/>
            <w:col w:w="6200"/>
          </w:cols>
          <w:pgMar w:left="240" w:top="342" w:right="2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9"/>
              </w:rPr>
              <w:t>Convertible Securities will be settled by Counterparty by delivery of Shares only</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5"/>
              </w:rPr>
              <w:t>(together with cash in lieu of any fractional Share), the “Trading Day” (as defined in</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the Indenture) immediately following the relevant Conversion Date, or (ii) otherwise,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the Scheduled Trading Day immediately preceding the first day of the relevant Cash</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6"/>
              </w:rPr>
              <w:t xml:space="preserve">Settlement Averaging Period;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in the case of any exercise of Options</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hereunder in connection with the conversion of any Relevant Convertible Securities</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8"/>
              </w:rPr>
              <w:t>for any Conversion Date occurring during the period from and including the 85th</w:t>
            </w:r>
          </w:p>
        </w:tc>
      </w:tr>
      <w:tr>
        <w:trPr>
          <w:trHeight w:val="212"/>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5"/>
              </w:rPr>
              <w:t>“Scheduled Trading Day” (as defined in the Indenture) prior to the Maturity Date, to</w:t>
            </w:r>
          </w:p>
        </w:tc>
      </w:tr>
      <w:tr>
        <w:trPr>
          <w:trHeight w:val="220"/>
        </w:trPr>
        <w:tc>
          <w:tcPr>
            <w:tcW w:w="3600" w:type="dxa"/>
            <w:vAlign w:val="bottom"/>
          </w:tcPr>
          <w:p>
            <w:pPr>
              <w:spacing w:after="0"/>
              <w:rPr>
                <w:sz w:val="19"/>
                <w:szCs w:val="19"/>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3"/>
              </w:rPr>
              <w:t>and including the Expiration Date (such period, the “</w:t>
            </w:r>
            <w:r>
              <w:rPr>
                <w:rFonts w:ascii="Arial" w:cs="Arial" w:eastAsia="Arial" w:hAnsi="Arial"/>
                <w:sz w:val="18"/>
                <w:szCs w:val="18"/>
                <w:b w:val="1"/>
                <w:bCs w:val="1"/>
                <w:color w:val="auto"/>
                <w:w w:val="93"/>
              </w:rPr>
              <w:t>Final Conversion Period</w:t>
            </w:r>
            <w:r>
              <w:rPr>
                <w:rFonts w:ascii="Arial" w:cs="Arial" w:eastAsia="Arial" w:hAnsi="Arial"/>
                <w:sz w:val="18"/>
                <w:szCs w:val="18"/>
                <w:color w:val="auto"/>
                <w:w w:val="93"/>
              </w:rPr>
              <w:t>”), the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Notice Deadline shall be 5:00 P.M., New York City time, on the “Scheduled Trading</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8"/>
              </w:rPr>
              <w:t>Day” (as defined in the Indenture) immediately preceding the “Maturity Date” (as</w:t>
            </w:r>
          </w:p>
        </w:tc>
      </w:tr>
      <w:tr>
        <w:trPr>
          <w:trHeight w:val="230"/>
        </w:trPr>
        <w:tc>
          <w:tcPr>
            <w:tcW w:w="3600" w:type="dxa"/>
            <w:vAlign w:val="bottom"/>
          </w:tcPr>
          <w:p>
            <w:pPr>
              <w:spacing w:after="0"/>
              <w:rPr>
                <w:sz w:val="20"/>
                <w:szCs w:val="20"/>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defined in the Indenture).</w:t>
            </w:r>
          </w:p>
        </w:tc>
      </w:tr>
      <w:tr>
        <w:trPr>
          <w:trHeight w:val="418"/>
        </w:trPr>
        <w:tc>
          <w:tcPr>
            <w:tcW w:w="3600" w:type="dxa"/>
            <w:vAlign w:val="bottom"/>
          </w:tcPr>
          <w:p>
            <w:pPr>
              <w:ind w:left="660"/>
              <w:spacing w:after="0"/>
              <w:rPr>
                <w:sz w:val="20"/>
                <w:szCs w:val="20"/>
                <w:color w:val="auto"/>
              </w:rPr>
            </w:pPr>
            <w:r>
              <w:rPr>
                <w:rFonts w:ascii="Arial" w:cs="Arial" w:eastAsia="Arial" w:hAnsi="Arial"/>
                <w:sz w:val="18"/>
                <w:szCs w:val="18"/>
                <w:color w:val="auto"/>
              </w:rPr>
              <w:t>Notice of Exercise:</w:t>
            </w: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Notwithstanding anything to the contrary in the Equity Definitions, Dealer shall have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no obligation to make any payment or delivery in respect of any exercise of Options</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9"/>
              </w:rPr>
              <w:t>hereunder and such obligation in respect of such exercise shall be permanently</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extinguished unless Counterparty notifies Dealer in writing prior to the Notice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Deadline in respect of such exercise, of (i) the number of Relevant Convertible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Securities being converted on the related Conversion Date (specifying, if applicable,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whether all or any portion of such Convertible Securities are Convertible Securities as</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3"/>
              </w:rPr>
              <w:t>to which additional Shares would be added to the Conversion Rate (as defined in the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5"/>
              </w:rPr>
              <w:t>Indenture) pursuant to Section 5.07 of the Indenture), (ii) the scheduled settlement</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3"/>
              </w:rPr>
              <w:t>date under the Indenture for the Relevant Convertible Securities for such Conversion</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Date, (iii) whether such Relevant Convertible Securities will be settled by</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Counterparty by delivery of cash, Shares or a combination of cash and Shares and, if</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such a combination, the “Specified Dollar Amount” (as defined in the Indenture) and</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4"/>
              </w:rPr>
              <w:t>(iv) the first day of the relevant “Observation Period” (as defined in the Indenture), if</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 xml:space="preserve">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exercise of Options in connection with the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conversion of any Relevant Convertible Securities for any Conversion Date occurring</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during the Final Conversion Period, the contents of such notice shall be as set forth in</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clauses (i) and (ii) above. Counterparty acknowledges its responsibilities under</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applicable securities laws, and in particular Section 9 and Section 10(b) of the</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2"/>
              </w:rPr>
              <w:t>Exchange Act (as defined below) and the rules and regulations thereunder, in respect</w:t>
            </w:r>
          </w:p>
        </w:tc>
      </w:tr>
      <w:tr>
        <w:trPr>
          <w:trHeight w:val="216"/>
        </w:trPr>
        <w:tc>
          <w:tcPr>
            <w:tcW w:w="3600" w:type="dxa"/>
            <w:vAlign w:val="bottom"/>
          </w:tcPr>
          <w:p>
            <w:pPr>
              <w:spacing w:after="0"/>
              <w:rPr>
                <w:sz w:val="18"/>
                <w:szCs w:val="18"/>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w w:val="93"/>
              </w:rPr>
              <w:t>of any election of a settlement method with respect to the Convertible Securities. For</w:t>
            </w:r>
          </w:p>
        </w:tc>
      </w:tr>
      <w:tr>
        <w:trPr>
          <w:trHeight w:val="230"/>
        </w:trPr>
        <w:tc>
          <w:tcPr>
            <w:tcW w:w="3600" w:type="dxa"/>
            <w:vAlign w:val="bottom"/>
          </w:tcPr>
          <w:p>
            <w:pPr>
              <w:spacing w:after="0"/>
              <w:rPr>
                <w:sz w:val="20"/>
                <w:szCs w:val="20"/>
                <w:color w:val="auto"/>
              </w:rPr>
            </w:pPr>
          </w:p>
        </w:tc>
        <w:tc>
          <w:tcPr>
            <w:tcW w:w="7860" w:type="dxa"/>
            <w:vAlign w:val="bottom"/>
          </w:tcPr>
          <w:p>
            <w:pPr>
              <w:ind w:left="1560"/>
              <w:spacing w:after="0"/>
              <w:rPr>
                <w:sz w:val="20"/>
                <w:szCs w:val="20"/>
                <w:color w:val="auto"/>
              </w:rPr>
            </w:pPr>
            <w:r>
              <w:rPr>
                <w:rFonts w:ascii="Arial" w:cs="Arial" w:eastAsia="Arial" w:hAnsi="Arial"/>
                <w:sz w:val="18"/>
                <w:szCs w:val="18"/>
                <w:color w:val="auto"/>
              </w:rPr>
              <w:t>the avoidance of doubt, if Counterparty fails to give such</w:t>
            </w:r>
          </w:p>
        </w:tc>
      </w:tr>
      <w:tr>
        <w:trPr>
          <w:trHeight w:val="432"/>
        </w:trPr>
        <w:tc>
          <w:tcPr>
            <w:tcW w:w="3600" w:type="dxa"/>
            <w:vAlign w:val="bottom"/>
          </w:tcPr>
          <w:p>
            <w:pPr>
              <w:spacing w:after="0"/>
              <w:rPr>
                <w:sz w:val="24"/>
                <w:szCs w:val="24"/>
                <w:color w:val="auto"/>
              </w:rPr>
            </w:pPr>
          </w:p>
        </w:tc>
        <w:tc>
          <w:tcPr>
            <w:tcW w:w="7860" w:type="dxa"/>
            <w:vAlign w:val="bottom"/>
          </w:tcPr>
          <w:p>
            <w:pPr>
              <w:ind w:left="2060"/>
              <w:spacing w:after="0"/>
              <w:rPr>
                <w:sz w:val="20"/>
                <w:szCs w:val="20"/>
                <w:color w:val="auto"/>
              </w:rPr>
            </w:pPr>
            <w:r>
              <w:rPr>
                <w:rFonts w:ascii="Arial" w:cs="Arial" w:eastAsia="Arial" w:hAnsi="Arial"/>
                <w:sz w:val="18"/>
                <w:szCs w:val="18"/>
                <w:color w:val="auto"/>
              </w:rPr>
              <w:t>4</w:t>
            </w:r>
          </w:p>
        </w:tc>
      </w:tr>
      <w:tr>
        <w:trPr>
          <w:trHeight w:val="132"/>
        </w:trPr>
        <w:tc>
          <w:tcPr>
            <w:tcW w:w="3600" w:type="dxa"/>
            <w:vAlign w:val="bottom"/>
            <w:tcBorders>
              <w:bottom w:val="single" w:sz="8" w:color="808080"/>
            </w:tcBorders>
          </w:tcPr>
          <w:p>
            <w:pPr>
              <w:spacing w:after="0"/>
              <w:rPr>
                <w:sz w:val="11"/>
                <w:szCs w:val="11"/>
                <w:color w:val="auto"/>
              </w:rPr>
            </w:pPr>
          </w:p>
        </w:tc>
        <w:tc>
          <w:tcPr>
            <w:tcW w:w="7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3"/>
              </w:rPr>
              <w:t>notice when due in respect of any exercise of Options hereunder, Dealer’s obligation</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6"/>
              </w:rPr>
              <w:t>to make any payment or delivery in respect of such exercise shall be permanently</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extinguished, and late notice shall not cure such failure. If applicable, the Notice of</w:t>
            </w:r>
          </w:p>
        </w:tc>
      </w:tr>
      <w:tr>
        <w:trPr>
          <w:trHeight w:val="230"/>
        </w:trPr>
        <w:tc>
          <w:tcPr>
            <w:tcW w:w="502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Exercise shall also contain the Settlement Method Election Provisions.</w:t>
            </w:r>
          </w:p>
        </w:tc>
      </w:tr>
      <w:tr>
        <w:trPr>
          <w:trHeight w:val="418"/>
        </w:trPr>
        <w:tc>
          <w:tcPr>
            <w:tcW w:w="5020" w:type="dxa"/>
            <w:vAlign w:val="bottom"/>
          </w:tcPr>
          <w:p>
            <w:pPr>
              <w:ind w:left="660"/>
              <w:spacing w:after="0"/>
              <w:rPr>
                <w:sz w:val="20"/>
                <w:szCs w:val="20"/>
                <w:color w:val="auto"/>
              </w:rPr>
            </w:pPr>
            <w:r>
              <w:rPr>
                <w:rFonts w:ascii="Arial" w:cs="Arial" w:eastAsia="Arial" w:hAnsi="Arial"/>
                <w:sz w:val="18"/>
                <w:szCs w:val="18"/>
                <w:color w:val="auto"/>
                <w:w w:val="98"/>
              </w:rPr>
              <w:t>Notice of Final Convertible Security Settlement Method:</w:t>
            </w: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Counterparty shall notify Dealer in writing before 5:00 P.M., New York City time, on</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2"/>
              </w:rPr>
              <w:t>the “Scheduled Trading Day” (as defined in the Indenture) immediately preceding the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line="216" w:lineRule="exact"/>
              <w:rPr>
                <w:sz w:val="20"/>
                <w:szCs w:val="20"/>
                <w:color w:val="auto"/>
              </w:rPr>
            </w:pPr>
            <w:r>
              <w:rPr>
                <w:rFonts w:ascii="Arial" w:cs="Arial" w:eastAsia="Arial" w:hAnsi="Arial"/>
                <w:sz w:val="18"/>
                <w:szCs w:val="18"/>
                <w:color w:val="auto"/>
                <w:w w:val="93"/>
              </w:rPr>
              <w:t>85</w:t>
            </w:r>
            <w:r>
              <w:rPr>
                <w:rFonts w:ascii="Arial" w:cs="Arial" w:eastAsia="Arial" w:hAnsi="Arial"/>
                <w:sz w:val="23"/>
                <w:szCs w:val="23"/>
                <w:color w:val="auto"/>
                <w:w w:val="93"/>
                <w:vertAlign w:val="superscript"/>
              </w:rPr>
              <w:t>th</w:t>
            </w:r>
            <w:r>
              <w:rPr>
                <w:rFonts w:ascii="Arial" w:cs="Arial" w:eastAsia="Arial" w:hAnsi="Arial"/>
                <w:sz w:val="18"/>
                <w:szCs w:val="18"/>
                <w:color w:val="auto"/>
                <w:w w:val="93"/>
              </w:rPr>
              <w:t xml:space="preserve"> “Scheduled Trading Day” (as defined in the Indenture) prior to the Maturity Date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3"/>
              </w:rPr>
              <w:t>of the settlement method (and, if applicable, the Specified Dollar Amount) elected (or</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deemed to be elected) with respect to Relevant Convertible Securities with a</w:t>
            </w:r>
          </w:p>
        </w:tc>
      </w:tr>
      <w:tr>
        <w:trPr>
          <w:trHeight w:val="212"/>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6"/>
              </w:rPr>
              <w:t>Conversion Date occurring during the Final Conversion Period (any such notice, a</w:t>
            </w:r>
          </w:p>
        </w:tc>
      </w:tr>
      <w:tr>
        <w:trPr>
          <w:trHeight w:val="220"/>
        </w:trPr>
        <w:tc>
          <w:tcPr>
            <w:tcW w:w="502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Notice of Final Convertible Security Settlement Method</w:t>
            </w:r>
            <w:r>
              <w:rPr>
                <w:rFonts w:ascii="Arial" w:cs="Arial" w:eastAsia="Arial" w:hAnsi="Arial"/>
                <w:sz w:val="18"/>
                <w:szCs w:val="18"/>
                <w:color w:val="auto"/>
                <w:w w:val="99"/>
              </w:rPr>
              <w:t>”). If applicable, the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Notice of Final Convertible Security Settlement Method shall also contain the</w:t>
            </w:r>
          </w:p>
        </w:tc>
      </w:tr>
      <w:tr>
        <w:trPr>
          <w:trHeight w:val="230"/>
        </w:trPr>
        <w:tc>
          <w:tcPr>
            <w:tcW w:w="502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Settlement Method Election Provisions.</w:t>
            </w:r>
          </w:p>
        </w:tc>
      </w:tr>
      <w:tr>
        <w:trPr>
          <w:trHeight w:val="418"/>
        </w:trPr>
        <w:tc>
          <w:tcPr>
            <w:tcW w:w="5020" w:type="dxa"/>
            <w:vAlign w:val="bottom"/>
          </w:tcPr>
          <w:p>
            <w:pPr>
              <w:ind w:left="660"/>
              <w:spacing w:after="0"/>
              <w:rPr>
                <w:sz w:val="20"/>
                <w:szCs w:val="20"/>
                <w:color w:val="auto"/>
              </w:rPr>
            </w:pPr>
            <w:r>
              <w:rPr>
                <w:rFonts w:ascii="Arial" w:cs="Arial" w:eastAsia="Arial" w:hAnsi="Arial"/>
                <w:sz w:val="18"/>
                <w:szCs w:val="18"/>
                <w:color w:val="auto"/>
                <w:w w:val="97"/>
              </w:rPr>
              <w:t>Dealer’s Telephone Number and Telex and/or Facsimile</w:t>
            </w:r>
          </w:p>
        </w:tc>
        <w:tc>
          <w:tcPr>
            <w:tcW w:w="6440" w:type="dxa"/>
            <w:vAlign w:val="bottom"/>
          </w:tcPr>
          <w:p>
            <w:pPr>
              <w:ind w:left="140"/>
              <w:spacing w:after="0"/>
              <w:rPr>
                <w:sz w:val="20"/>
                <w:szCs w:val="20"/>
                <w:color w:val="auto"/>
              </w:rPr>
            </w:pPr>
            <w:r>
              <w:rPr>
                <w:rFonts w:ascii="Arial" w:cs="Arial" w:eastAsia="Arial" w:hAnsi="Arial"/>
                <w:sz w:val="18"/>
                <w:szCs w:val="18"/>
                <w:color w:val="auto"/>
              </w:rPr>
              <w:t>As specified in Section 6(b) below.</w:t>
            </w:r>
          </w:p>
        </w:tc>
      </w:tr>
      <w:tr>
        <w:trPr>
          <w:trHeight w:val="230"/>
        </w:trPr>
        <w:tc>
          <w:tcPr>
            <w:tcW w:w="5020" w:type="dxa"/>
            <w:vAlign w:val="bottom"/>
          </w:tcPr>
          <w:p>
            <w:pPr>
              <w:ind w:left="660"/>
              <w:spacing w:after="0"/>
              <w:rPr>
                <w:sz w:val="20"/>
                <w:szCs w:val="20"/>
                <w:color w:val="auto"/>
              </w:rPr>
            </w:pPr>
            <w:r>
              <w:rPr>
                <w:rFonts w:ascii="Arial" w:cs="Arial" w:eastAsia="Arial" w:hAnsi="Arial"/>
                <w:sz w:val="18"/>
                <w:szCs w:val="18"/>
                <w:color w:val="auto"/>
                <w:w w:val="94"/>
              </w:rPr>
              <w:t>Number and Contact Details for purpose of Giving Notice:</w:t>
            </w:r>
          </w:p>
        </w:tc>
        <w:tc>
          <w:tcPr>
            <w:tcW w:w="6440" w:type="dxa"/>
            <w:vAlign w:val="bottom"/>
          </w:tcPr>
          <w:p>
            <w:pPr>
              <w:spacing w:after="0"/>
              <w:rPr>
                <w:sz w:val="20"/>
                <w:szCs w:val="20"/>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Settlement Terms:</w:t>
            </w:r>
          </w:p>
        </w:tc>
        <w:tc>
          <w:tcPr>
            <w:tcW w:w="6440" w:type="dxa"/>
            <w:vAlign w:val="bottom"/>
          </w:tcPr>
          <w:p>
            <w:pPr>
              <w:spacing w:after="0"/>
              <w:rPr>
                <w:sz w:val="24"/>
                <w:szCs w:val="24"/>
                <w:color w:val="auto"/>
              </w:rPr>
            </w:pPr>
          </w:p>
        </w:tc>
      </w:tr>
      <w:tr>
        <w:trPr>
          <w:trHeight w:val="418"/>
        </w:trPr>
        <w:tc>
          <w:tcPr>
            <w:tcW w:w="5020" w:type="dxa"/>
            <w:vAlign w:val="bottom"/>
          </w:tcPr>
          <w:p>
            <w:pPr>
              <w:ind w:left="660"/>
              <w:spacing w:after="0"/>
              <w:rPr>
                <w:sz w:val="20"/>
                <w:szCs w:val="20"/>
                <w:color w:val="auto"/>
              </w:rPr>
            </w:pPr>
            <w:r>
              <w:rPr>
                <w:rFonts w:ascii="Arial" w:cs="Arial" w:eastAsia="Arial" w:hAnsi="Arial"/>
                <w:sz w:val="18"/>
                <w:szCs w:val="18"/>
                <w:color w:val="auto"/>
              </w:rPr>
              <w:t>Settlement Date:</w:t>
            </w: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For any Exercise Date, the date one Settlement Cycle following the final day of the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4"/>
              </w:rPr>
              <w:t xml:space="preserve">relevant Cash Settlement Averaging Period;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the Settlement Date shall</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not be prior to the Exchange Business Day immediately following the date</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3"/>
              </w:rPr>
              <w:t>Counterparty provides the Notice of Delivery Obligation prior to 5:00 P.M., New York</w:t>
            </w:r>
          </w:p>
        </w:tc>
      </w:tr>
      <w:tr>
        <w:trPr>
          <w:trHeight w:val="230"/>
        </w:trPr>
        <w:tc>
          <w:tcPr>
            <w:tcW w:w="502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City time.</w:t>
            </w:r>
          </w:p>
        </w:tc>
      </w:tr>
      <w:tr>
        <w:trPr>
          <w:trHeight w:val="418"/>
        </w:trPr>
        <w:tc>
          <w:tcPr>
            <w:tcW w:w="5020" w:type="dxa"/>
            <w:vAlign w:val="bottom"/>
          </w:tcPr>
          <w:p>
            <w:pPr>
              <w:ind w:left="660"/>
              <w:spacing w:after="0"/>
              <w:rPr>
                <w:sz w:val="20"/>
                <w:szCs w:val="20"/>
                <w:color w:val="auto"/>
              </w:rPr>
            </w:pPr>
            <w:r>
              <w:rPr>
                <w:rFonts w:ascii="Arial" w:cs="Arial" w:eastAsia="Arial" w:hAnsi="Arial"/>
                <w:sz w:val="18"/>
                <w:szCs w:val="18"/>
                <w:color w:val="auto"/>
              </w:rPr>
              <w:t>Delivery Obligation:</w:t>
            </w:r>
          </w:p>
        </w:tc>
        <w:tc>
          <w:tcPr>
            <w:tcW w:w="6440" w:type="dxa"/>
            <w:vAlign w:val="bottom"/>
          </w:tcPr>
          <w:p>
            <w:pPr>
              <w:ind w:left="140"/>
              <w:spacing w:after="0"/>
              <w:rPr>
                <w:sz w:val="20"/>
                <w:szCs w:val="20"/>
                <w:color w:val="auto"/>
              </w:rPr>
            </w:pPr>
            <w:r>
              <w:rPr>
                <w:rFonts w:ascii="Arial" w:cs="Arial" w:eastAsia="Arial" w:hAnsi="Arial"/>
                <w:sz w:val="18"/>
                <w:szCs w:val="18"/>
                <w:color w:val="auto"/>
                <w:w w:val="97"/>
              </w:rPr>
              <w:t>In lieu of the obligations set forth in Sections 8.1 and 9.1 of the Equity Definitions,</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and subject to “Notice of Exercise” above and “Discretionary Adjustments”</w:t>
            </w:r>
          </w:p>
        </w:tc>
      </w:tr>
      <w:tr>
        <w:trPr>
          <w:trHeight w:val="216"/>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3"/>
              </w:rPr>
              <w:t>, “Dividends” and “Consequences of Merger Events” below, in respect of an Exercise</w:t>
            </w:r>
          </w:p>
        </w:tc>
      </w:tr>
      <w:tr>
        <w:trPr>
          <w:trHeight w:val="212"/>
        </w:trPr>
        <w:tc>
          <w:tcPr>
            <w:tcW w:w="50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Date, Dealer will deliver to Counterparty on the related Settlement Date (the</w:t>
            </w:r>
          </w:p>
        </w:tc>
      </w:tr>
      <w:tr>
        <w:trPr>
          <w:trHeight w:val="234"/>
        </w:trPr>
        <w:tc>
          <w:tcPr>
            <w:tcW w:w="502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Obligation</w:t>
            </w:r>
            <w:r>
              <w:rPr>
                <w:rFonts w:ascii="Arial" w:cs="Arial" w:eastAsia="Arial" w:hAnsi="Arial"/>
                <w:sz w:val="18"/>
                <w:szCs w:val="18"/>
                <w:color w:val="auto"/>
              </w:rPr>
              <w:t>”),</w:t>
            </w:r>
          </w:p>
        </w:tc>
      </w:tr>
      <w:tr>
        <w:trPr>
          <w:trHeight w:val="418"/>
        </w:trPr>
        <w:tc>
          <w:tcPr>
            <w:tcW w:w="5020" w:type="dxa"/>
            <w:vAlign w:val="bottom"/>
          </w:tcPr>
          <w:p>
            <w:pPr>
              <w:spacing w:after="0"/>
              <w:rPr>
                <w:sz w:val="24"/>
                <w:szCs w:val="24"/>
                <w:color w:val="auto"/>
              </w:rPr>
            </w:pPr>
          </w:p>
        </w:tc>
        <w:tc>
          <w:tcPr>
            <w:tcW w:w="6440" w:type="dxa"/>
            <w:vAlign w:val="bottom"/>
          </w:tcPr>
          <w:p>
            <w:pPr>
              <w:ind w:left="460"/>
              <w:spacing w:after="0"/>
              <w:rPr>
                <w:sz w:val="20"/>
                <w:szCs w:val="20"/>
                <w:color w:val="auto"/>
              </w:rPr>
            </w:pPr>
            <w:r>
              <w:rPr>
                <w:rFonts w:ascii="Arial" w:cs="Arial" w:eastAsia="Arial" w:hAnsi="Arial"/>
                <w:sz w:val="18"/>
                <w:szCs w:val="18"/>
                <w:color w:val="auto"/>
                <w:w w:val="93"/>
              </w:rPr>
              <w:t>(i) a number of Shares equal to (I) the product of the Applicable Percentage and</w:t>
            </w:r>
          </w:p>
        </w:tc>
      </w:tr>
      <w:tr>
        <w:trPr>
          <w:trHeight w:val="216"/>
        </w:trPr>
        <w:tc>
          <w:tcPr>
            <w:tcW w:w="5020" w:type="dxa"/>
            <w:vAlign w:val="bottom"/>
          </w:tcPr>
          <w:p>
            <w:pPr>
              <w:spacing w:after="0"/>
              <w:rPr>
                <w:sz w:val="18"/>
                <w:szCs w:val="18"/>
                <w:color w:val="auto"/>
              </w:rPr>
            </w:pPr>
          </w:p>
        </w:tc>
        <w:tc>
          <w:tcPr>
            <w:tcW w:w="6440" w:type="dxa"/>
            <w:vAlign w:val="bottom"/>
          </w:tcPr>
          <w:p>
            <w:pPr>
              <w:ind w:left="460"/>
              <w:spacing w:after="0"/>
              <w:rPr>
                <w:sz w:val="20"/>
                <w:szCs w:val="20"/>
                <w:color w:val="auto"/>
              </w:rPr>
            </w:pPr>
            <w:r>
              <w:rPr>
                <w:rFonts w:ascii="Arial" w:cs="Arial" w:eastAsia="Arial" w:hAnsi="Arial"/>
                <w:sz w:val="18"/>
                <w:szCs w:val="18"/>
                <w:color w:val="auto"/>
                <w:w w:val="93"/>
              </w:rPr>
              <w:t>the aggregate number of Shares, if any, that Counterparty would be obligated to</w:t>
            </w:r>
          </w:p>
        </w:tc>
      </w:tr>
      <w:tr>
        <w:trPr>
          <w:trHeight w:val="216"/>
        </w:trPr>
        <w:tc>
          <w:tcPr>
            <w:tcW w:w="5020" w:type="dxa"/>
            <w:vAlign w:val="bottom"/>
          </w:tcPr>
          <w:p>
            <w:pPr>
              <w:spacing w:after="0"/>
              <w:rPr>
                <w:sz w:val="18"/>
                <w:szCs w:val="18"/>
                <w:color w:val="auto"/>
              </w:rPr>
            </w:pPr>
          </w:p>
        </w:tc>
        <w:tc>
          <w:tcPr>
            <w:tcW w:w="6440" w:type="dxa"/>
            <w:vAlign w:val="bottom"/>
          </w:tcPr>
          <w:p>
            <w:pPr>
              <w:ind w:left="460"/>
              <w:spacing w:after="0"/>
              <w:rPr>
                <w:sz w:val="20"/>
                <w:szCs w:val="20"/>
                <w:color w:val="auto"/>
              </w:rPr>
            </w:pPr>
            <w:r>
              <w:rPr>
                <w:rFonts w:ascii="Arial" w:cs="Arial" w:eastAsia="Arial" w:hAnsi="Arial"/>
                <w:sz w:val="18"/>
                <w:szCs w:val="18"/>
                <w:color w:val="auto"/>
              </w:rPr>
              <w:t>deliver to the holder(s) of the Relevant Convertible Securities for such</w:t>
            </w:r>
          </w:p>
        </w:tc>
      </w:tr>
      <w:tr>
        <w:trPr>
          <w:trHeight w:val="216"/>
        </w:trPr>
        <w:tc>
          <w:tcPr>
            <w:tcW w:w="5020" w:type="dxa"/>
            <w:vAlign w:val="bottom"/>
          </w:tcPr>
          <w:p>
            <w:pPr>
              <w:spacing w:after="0"/>
              <w:rPr>
                <w:sz w:val="18"/>
                <w:szCs w:val="18"/>
                <w:color w:val="auto"/>
              </w:rPr>
            </w:pPr>
          </w:p>
        </w:tc>
        <w:tc>
          <w:tcPr>
            <w:tcW w:w="6440" w:type="dxa"/>
            <w:vAlign w:val="bottom"/>
          </w:tcPr>
          <w:p>
            <w:pPr>
              <w:ind w:left="460"/>
              <w:spacing w:after="0"/>
              <w:rPr>
                <w:sz w:val="20"/>
                <w:szCs w:val="20"/>
                <w:color w:val="auto"/>
              </w:rPr>
            </w:pPr>
            <w:r>
              <w:rPr>
                <w:rFonts w:ascii="Arial" w:cs="Arial" w:eastAsia="Arial" w:hAnsi="Arial"/>
                <w:sz w:val="18"/>
                <w:szCs w:val="18"/>
                <w:color w:val="auto"/>
                <w:w w:val="98"/>
              </w:rPr>
              <w:t>Conversion Date pursuant to Section 5.03 of the Indenture (except that such</w:t>
            </w:r>
          </w:p>
        </w:tc>
      </w:tr>
      <w:tr>
        <w:trPr>
          <w:trHeight w:val="216"/>
        </w:trPr>
        <w:tc>
          <w:tcPr>
            <w:tcW w:w="5020" w:type="dxa"/>
            <w:vAlign w:val="bottom"/>
          </w:tcPr>
          <w:p>
            <w:pPr>
              <w:spacing w:after="0"/>
              <w:rPr>
                <w:sz w:val="18"/>
                <w:szCs w:val="18"/>
                <w:color w:val="auto"/>
              </w:rPr>
            </w:pPr>
          </w:p>
        </w:tc>
        <w:tc>
          <w:tcPr>
            <w:tcW w:w="6440" w:type="dxa"/>
            <w:vAlign w:val="bottom"/>
          </w:tcPr>
          <w:p>
            <w:pPr>
              <w:ind w:left="460"/>
              <w:spacing w:after="0"/>
              <w:rPr>
                <w:sz w:val="20"/>
                <w:szCs w:val="20"/>
                <w:color w:val="auto"/>
              </w:rPr>
            </w:pPr>
            <w:r>
              <w:rPr>
                <w:rFonts w:ascii="Arial" w:cs="Arial" w:eastAsia="Arial" w:hAnsi="Arial"/>
                <w:sz w:val="18"/>
                <w:szCs w:val="18"/>
                <w:color w:val="auto"/>
                <w:w w:val="99"/>
              </w:rPr>
              <w:t>number of Shares shall be determined without taking into consideration any</w:t>
            </w:r>
          </w:p>
        </w:tc>
      </w:tr>
      <w:tr>
        <w:trPr>
          <w:trHeight w:val="216"/>
        </w:trPr>
        <w:tc>
          <w:tcPr>
            <w:tcW w:w="5020" w:type="dxa"/>
            <w:vAlign w:val="bottom"/>
          </w:tcPr>
          <w:p>
            <w:pPr>
              <w:spacing w:after="0"/>
              <w:rPr>
                <w:sz w:val="18"/>
                <w:szCs w:val="18"/>
                <w:color w:val="auto"/>
              </w:rPr>
            </w:pPr>
          </w:p>
        </w:tc>
        <w:tc>
          <w:tcPr>
            <w:tcW w:w="6440" w:type="dxa"/>
            <w:vAlign w:val="bottom"/>
          </w:tcPr>
          <w:p>
            <w:pPr>
              <w:ind w:left="460"/>
              <w:spacing w:after="0"/>
              <w:rPr>
                <w:sz w:val="20"/>
                <w:szCs w:val="20"/>
                <w:color w:val="auto"/>
              </w:rPr>
            </w:pPr>
            <w:r>
              <w:rPr>
                <w:rFonts w:ascii="Arial" w:cs="Arial" w:eastAsia="Arial" w:hAnsi="Arial"/>
                <w:sz w:val="18"/>
                <w:szCs w:val="18"/>
                <w:color w:val="auto"/>
                <w:w w:val="96"/>
              </w:rPr>
              <w:t>rounding pursuant to Section 5.03(B)(ii) of the Indenture and shall be rounded</w:t>
            </w:r>
          </w:p>
        </w:tc>
      </w:tr>
      <w:tr>
        <w:trPr>
          <w:trHeight w:val="230"/>
        </w:trPr>
        <w:tc>
          <w:tcPr>
            <w:tcW w:w="5020" w:type="dxa"/>
            <w:vAlign w:val="bottom"/>
          </w:tcPr>
          <w:p>
            <w:pPr>
              <w:spacing w:after="0"/>
              <w:rPr>
                <w:sz w:val="20"/>
                <w:szCs w:val="20"/>
                <w:color w:val="auto"/>
              </w:rPr>
            </w:pPr>
          </w:p>
        </w:tc>
        <w:tc>
          <w:tcPr>
            <w:tcW w:w="6440" w:type="dxa"/>
            <w:vAlign w:val="bottom"/>
          </w:tcPr>
          <w:p>
            <w:pPr>
              <w:ind w:left="460"/>
              <w:spacing w:after="0"/>
              <w:rPr>
                <w:sz w:val="20"/>
                <w:szCs w:val="20"/>
                <w:color w:val="auto"/>
              </w:rPr>
            </w:pPr>
            <w:r>
              <w:rPr>
                <w:rFonts w:ascii="Arial" w:cs="Arial" w:eastAsia="Arial" w:hAnsi="Arial"/>
                <w:sz w:val="18"/>
                <w:szCs w:val="18"/>
                <w:color w:val="auto"/>
              </w:rPr>
              <w:t>down to the nearest whole number) and (II) cash</w:t>
            </w:r>
          </w:p>
        </w:tc>
      </w:tr>
      <w:tr>
        <w:trPr>
          <w:trHeight w:val="432"/>
        </w:trPr>
        <w:tc>
          <w:tcPr>
            <w:tcW w:w="5020" w:type="dxa"/>
            <w:vAlign w:val="bottom"/>
          </w:tcPr>
          <w:p>
            <w:pPr>
              <w:spacing w:after="0"/>
              <w:rPr>
                <w:sz w:val="24"/>
                <w:szCs w:val="24"/>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5</w:t>
            </w:r>
          </w:p>
        </w:tc>
      </w:tr>
      <w:tr>
        <w:trPr>
          <w:trHeight w:val="132"/>
        </w:trPr>
        <w:tc>
          <w:tcPr>
            <w:tcW w:w="502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620" w:type="dxa"/>
            <w:vAlign w:val="bottom"/>
          </w:tcPr>
          <w:p>
            <w:pPr>
              <w:ind w:left="1640"/>
              <w:spacing w:after="0"/>
              <w:rPr>
                <w:sz w:val="20"/>
                <w:szCs w:val="20"/>
                <w:color w:val="auto"/>
              </w:rPr>
            </w:pPr>
            <w:r>
              <w:rPr>
                <w:rFonts w:ascii="Arial" w:cs="Arial" w:eastAsia="Arial" w:hAnsi="Arial"/>
                <w:sz w:val="18"/>
                <w:szCs w:val="18"/>
                <w:color w:val="auto"/>
              </w:rPr>
              <w:t>in lieu of any fractional Share resulting from such rounding; and/or</w:t>
            </w:r>
          </w:p>
        </w:tc>
      </w:tr>
      <w:tr>
        <w:trPr>
          <w:trHeight w:val="418"/>
        </w:trPr>
        <w:tc>
          <w:tcPr>
            <w:tcW w:w="3840" w:type="dxa"/>
            <w:vAlign w:val="bottom"/>
          </w:tcPr>
          <w:p>
            <w:pPr>
              <w:spacing w:after="0"/>
              <w:rPr>
                <w:sz w:val="24"/>
                <w:szCs w:val="24"/>
                <w:color w:val="auto"/>
              </w:rPr>
            </w:pPr>
          </w:p>
        </w:tc>
        <w:tc>
          <w:tcPr>
            <w:tcW w:w="7620" w:type="dxa"/>
            <w:vAlign w:val="bottom"/>
          </w:tcPr>
          <w:p>
            <w:pPr>
              <w:ind w:left="1640"/>
              <w:spacing w:after="0"/>
              <w:rPr>
                <w:sz w:val="20"/>
                <w:szCs w:val="20"/>
                <w:color w:val="auto"/>
              </w:rPr>
            </w:pPr>
            <w:r>
              <w:rPr>
                <w:rFonts w:ascii="Arial" w:cs="Arial" w:eastAsia="Arial" w:hAnsi="Arial"/>
                <w:sz w:val="18"/>
                <w:szCs w:val="18"/>
                <w:color w:val="auto"/>
                <w:w w:val="93"/>
              </w:rPr>
              <w:t>(ii) the aggregate amount of cash, if any, in excess of the principal amount of the</w:t>
            </w:r>
          </w:p>
        </w:tc>
      </w:tr>
      <w:tr>
        <w:trPr>
          <w:trHeight w:val="216"/>
        </w:trPr>
        <w:tc>
          <w:tcPr>
            <w:tcW w:w="3840" w:type="dxa"/>
            <w:vAlign w:val="bottom"/>
          </w:tcPr>
          <w:p>
            <w:pPr>
              <w:spacing w:after="0"/>
              <w:rPr>
                <w:sz w:val="18"/>
                <w:szCs w:val="18"/>
                <w:color w:val="auto"/>
              </w:rPr>
            </w:pPr>
          </w:p>
        </w:tc>
        <w:tc>
          <w:tcPr>
            <w:tcW w:w="7620" w:type="dxa"/>
            <w:vAlign w:val="bottom"/>
          </w:tcPr>
          <w:p>
            <w:pPr>
              <w:ind w:left="1640"/>
              <w:spacing w:after="0"/>
              <w:rPr>
                <w:sz w:val="20"/>
                <w:szCs w:val="20"/>
                <w:color w:val="auto"/>
              </w:rPr>
            </w:pPr>
            <w:r>
              <w:rPr>
                <w:rFonts w:ascii="Arial" w:cs="Arial" w:eastAsia="Arial" w:hAnsi="Arial"/>
                <w:sz w:val="18"/>
                <w:szCs w:val="18"/>
                <w:color w:val="auto"/>
                <w:w w:val="91"/>
              </w:rPr>
              <w:t>Relevant Convertible Securities that Counterparty would be obligated to deliver to</w:t>
            </w:r>
          </w:p>
        </w:tc>
      </w:tr>
      <w:tr>
        <w:trPr>
          <w:trHeight w:val="216"/>
        </w:trPr>
        <w:tc>
          <w:tcPr>
            <w:tcW w:w="3840" w:type="dxa"/>
            <w:vAlign w:val="bottom"/>
          </w:tcPr>
          <w:p>
            <w:pPr>
              <w:spacing w:after="0"/>
              <w:rPr>
                <w:sz w:val="18"/>
                <w:szCs w:val="18"/>
                <w:color w:val="auto"/>
              </w:rPr>
            </w:pPr>
          </w:p>
        </w:tc>
        <w:tc>
          <w:tcPr>
            <w:tcW w:w="7620" w:type="dxa"/>
            <w:vAlign w:val="bottom"/>
          </w:tcPr>
          <w:p>
            <w:pPr>
              <w:ind w:left="1640"/>
              <w:spacing w:after="0"/>
              <w:rPr>
                <w:sz w:val="20"/>
                <w:szCs w:val="20"/>
                <w:color w:val="auto"/>
              </w:rPr>
            </w:pPr>
            <w:r>
              <w:rPr>
                <w:rFonts w:ascii="Arial" w:cs="Arial" w:eastAsia="Arial" w:hAnsi="Arial"/>
                <w:sz w:val="18"/>
                <w:szCs w:val="18"/>
                <w:color w:val="auto"/>
              </w:rPr>
              <w:t>holder(s) of the Relevant Convertible Securities for such Conversion Date</w:t>
            </w:r>
          </w:p>
        </w:tc>
      </w:tr>
      <w:tr>
        <w:trPr>
          <w:trHeight w:val="216"/>
        </w:trPr>
        <w:tc>
          <w:tcPr>
            <w:tcW w:w="3840" w:type="dxa"/>
            <w:vAlign w:val="bottom"/>
          </w:tcPr>
          <w:p>
            <w:pPr>
              <w:spacing w:after="0"/>
              <w:rPr>
                <w:sz w:val="18"/>
                <w:szCs w:val="18"/>
                <w:color w:val="auto"/>
              </w:rPr>
            </w:pPr>
          </w:p>
        </w:tc>
        <w:tc>
          <w:tcPr>
            <w:tcW w:w="7620" w:type="dxa"/>
            <w:vAlign w:val="bottom"/>
          </w:tcPr>
          <w:p>
            <w:pPr>
              <w:ind w:left="1640"/>
              <w:spacing w:after="0"/>
              <w:rPr>
                <w:sz w:val="20"/>
                <w:szCs w:val="20"/>
                <w:color w:val="auto"/>
              </w:rPr>
            </w:pPr>
            <w:r>
              <w:rPr>
                <w:rFonts w:ascii="Arial" w:cs="Arial" w:eastAsia="Arial" w:hAnsi="Arial"/>
                <w:sz w:val="18"/>
                <w:szCs w:val="18"/>
                <w:color w:val="auto"/>
                <w:w w:val="92"/>
              </w:rPr>
              <w:t>pursuant to Section 5.03 of the Indenture, determined, for each of clauses (i) and</w:t>
            </w:r>
          </w:p>
        </w:tc>
      </w:tr>
      <w:tr>
        <w:trPr>
          <w:trHeight w:val="230"/>
        </w:trPr>
        <w:tc>
          <w:tcPr>
            <w:tcW w:w="3840" w:type="dxa"/>
            <w:vAlign w:val="bottom"/>
          </w:tcPr>
          <w:p>
            <w:pPr>
              <w:spacing w:after="0"/>
              <w:rPr>
                <w:sz w:val="20"/>
                <w:szCs w:val="20"/>
                <w:color w:val="auto"/>
              </w:rPr>
            </w:pPr>
          </w:p>
        </w:tc>
        <w:tc>
          <w:tcPr>
            <w:tcW w:w="7620" w:type="dxa"/>
            <w:vAlign w:val="bottom"/>
          </w:tcPr>
          <w:p>
            <w:pPr>
              <w:ind w:left="1640"/>
              <w:spacing w:after="0"/>
              <w:rPr>
                <w:sz w:val="20"/>
                <w:szCs w:val="20"/>
                <w:color w:val="auto"/>
              </w:rPr>
            </w:pPr>
            <w:r>
              <w:rPr>
                <w:rFonts w:ascii="Arial" w:cs="Arial" w:eastAsia="Arial" w:hAnsi="Arial"/>
                <w:sz w:val="18"/>
                <w:szCs w:val="18"/>
                <w:color w:val="auto"/>
                <w:w w:val="97"/>
              </w:rPr>
              <w:t>(ii), by the Calculation Agent (by reference to such Sections of the Indenture)</w:t>
            </w:r>
          </w:p>
        </w:tc>
      </w:tr>
      <w:tr>
        <w:trPr>
          <w:trHeight w:val="418"/>
        </w:trPr>
        <w:tc>
          <w:tcPr>
            <w:tcW w:w="3840" w:type="dxa"/>
            <w:vAlign w:val="bottom"/>
          </w:tcPr>
          <w:p>
            <w:pPr>
              <w:spacing w:after="0"/>
              <w:rPr>
                <w:sz w:val="24"/>
                <w:szCs w:val="24"/>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5"/>
              </w:rPr>
              <w:t>as if Counterparty had elected to satisfy its conversion obligation in respect of such</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Relevant Convertible Securities by the Applicable Settlement Method,</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9"/>
              </w:rPr>
              <w:t>notwithstanding any different actual election by Counterparty with respect to the</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 xml:space="preserve">settlement of such Relevant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Delivery</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2"/>
              </w:rPr>
              <w:t>Obligation shall be determined excluding any Shares and/or cash that Counterparty is</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4"/>
              </w:rPr>
              <w:t>obligated to deliver to holder(s) of the Relevant Convertible Securities as a direct or</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indirect result of any adjustments to the Conversion Rate pursuant to a Fundamental</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7"/>
              </w:rPr>
              <w:t>Change Adjustment or a Discretionary Adjustment and any interest payment that</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Counterparty is (or would have been) obligated to deliver to holder(s) of the Relevant</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Convertible Securities for such Conversion Date. Notwithstanding the foregoing, if, in</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7"/>
              </w:rPr>
              <w:t>respect of any Exercise Date, (x)(I) the number of Shares included in the Delivery</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2"/>
              </w:rPr>
              <w:t xml:space="preserve">Obligation </w:t>
            </w:r>
            <w:r>
              <w:rPr>
                <w:rFonts w:ascii="Arial" w:cs="Arial" w:eastAsia="Arial" w:hAnsi="Arial"/>
                <w:sz w:val="18"/>
                <w:szCs w:val="18"/>
                <w:i w:val="1"/>
                <w:iCs w:val="1"/>
                <w:color w:val="auto"/>
                <w:w w:val="92"/>
              </w:rPr>
              <w:t>multiplied by</w:t>
            </w:r>
            <w:r>
              <w:rPr>
                <w:rFonts w:ascii="Arial" w:cs="Arial" w:eastAsia="Arial" w:hAnsi="Arial"/>
                <w:sz w:val="18"/>
                <w:szCs w:val="18"/>
                <w:color w:val="auto"/>
                <w:w w:val="92"/>
              </w:rPr>
              <w:t xml:space="preserve"> the Share Obligation Value Price </w:t>
            </w:r>
            <w:r>
              <w:rPr>
                <w:rFonts w:ascii="Arial" w:cs="Arial" w:eastAsia="Arial" w:hAnsi="Arial"/>
                <w:sz w:val="18"/>
                <w:szCs w:val="18"/>
                <w:i w:val="1"/>
                <w:iCs w:val="1"/>
                <w:color w:val="auto"/>
                <w:w w:val="92"/>
              </w:rPr>
              <w:t>plus</w:t>
            </w:r>
            <w:r>
              <w:rPr>
                <w:rFonts w:ascii="Arial" w:cs="Arial" w:eastAsia="Arial" w:hAnsi="Arial"/>
                <w:sz w:val="18"/>
                <w:szCs w:val="18"/>
                <w:color w:val="auto"/>
                <w:w w:val="92"/>
              </w:rPr>
              <w:t xml:space="preserve"> (II) the amount of cash</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9"/>
              </w:rPr>
              <w:t>included in the Delivery Obligation, would otherwise exceed (y) the relevant Net</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1"/>
              </w:rPr>
              <w:t>Convertible Share Obligation Value, such number of Shares and such amount of cash</w:t>
            </w:r>
          </w:p>
        </w:tc>
      </w:tr>
      <w:tr>
        <w:trPr>
          <w:trHeight w:val="230"/>
        </w:trPr>
        <w:tc>
          <w:tcPr>
            <w:tcW w:w="3840" w:type="dxa"/>
            <w:vAlign w:val="bottom"/>
          </w:tcPr>
          <w:p>
            <w:pPr>
              <w:spacing w:after="0"/>
              <w:rPr>
                <w:sz w:val="20"/>
                <w:szCs w:val="20"/>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6"/>
              </w:rPr>
              <w:t>shall be proportionately reduced to the extent necessary to eliminate such excess.</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Make-Whole Adjustment:</w:t>
            </w:r>
          </w:p>
        </w:tc>
        <w:tc>
          <w:tcPr>
            <w:tcW w:w="7620" w:type="dxa"/>
            <w:vAlign w:val="bottom"/>
          </w:tcPr>
          <w:p>
            <w:pPr>
              <w:ind w:left="1320"/>
              <w:spacing w:after="0"/>
              <w:rPr>
                <w:sz w:val="20"/>
                <w:szCs w:val="20"/>
                <w:color w:val="auto"/>
              </w:rPr>
            </w:pPr>
            <w:r>
              <w:rPr>
                <w:rFonts w:ascii="Arial" w:cs="Arial" w:eastAsia="Arial" w:hAnsi="Arial"/>
                <w:sz w:val="18"/>
                <w:szCs w:val="18"/>
                <w:color w:val="auto"/>
                <w:w w:val="92"/>
              </w:rPr>
              <w:t>Notwithstanding anything to the contrary herein, in respect of any exercise of Options</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4"/>
              </w:rPr>
              <w:t>relating to a conversion of Relevant Convertible Securities in connection with which</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holders of the Relevant Convertible Securities would be entitled to receive additional</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4"/>
              </w:rPr>
              <w:t>Shares and/or cash as a result of adjustments to the Conversion Rate pursuant to a</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Fundamental Change Adjustment, the Delivery Obligation shall include such</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6"/>
              </w:rPr>
              <w:t xml:space="preserve">additional Shares and/or cash;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if the sum of (i) the product of (a) the</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6"/>
              </w:rPr>
              <w:t>number of Shares (if any) included in the Delivery Obligation per exercised Option</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3"/>
              </w:rPr>
              <w:t>and (b) the Share Obligation Value Price and (ii) the amount of cash (if any) included</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4"/>
              </w:rPr>
              <w:t>in the Delivery Obligation per exercised Option would otherwise exceed the amount</w:t>
            </w:r>
          </w:p>
        </w:tc>
      </w:tr>
      <w:tr>
        <w:trPr>
          <w:trHeight w:val="216"/>
        </w:trPr>
        <w:tc>
          <w:tcPr>
            <w:tcW w:w="3840" w:type="dxa"/>
            <w:vAlign w:val="bottom"/>
          </w:tcPr>
          <w:p>
            <w:pPr>
              <w:spacing w:after="0"/>
              <w:rPr>
                <w:sz w:val="18"/>
                <w:szCs w:val="18"/>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w w:val="92"/>
              </w:rPr>
              <w:t>per Option, as determined by the Calculation Agent, that would be payable by Dealer</w:t>
            </w:r>
          </w:p>
        </w:tc>
      </w:tr>
      <w:tr>
        <w:trPr>
          <w:trHeight w:val="230"/>
        </w:trPr>
        <w:tc>
          <w:tcPr>
            <w:tcW w:w="3840" w:type="dxa"/>
            <w:vAlign w:val="bottom"/>
          </w:tcPr>
          <w:p>
            <w:pPr>
              <w:spacing w:after="0"/>
              <w:rPr>
                <w:sz w:val="20"/>
                <w:szCs w:val="20"/>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under Section 6 of the Agreement if (x) the relevant</w:t>
            </w:r>
          </w:p>
        </w:tc>
      </w:tr>
      <w:tr>
        <w:trPr>
          <w:trHeight w:val="432"/>
        </w:trPr>
        <w:tc>
          <w:tcPr>
            <w:tcW w:w="384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6</w:t>
            </w:r>
          </w:p>
        </w:tc>
      </w:tr>
      <w:tr>
        <w:trPr>
          <w:trHeight w:val="132"/>
        </w:trPr>
        <w:tc>
          <w:tcPr>
            <w:tcW w:w="38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Conversion Date were an Early Termination Date resulting from an Additional</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Termination Event with respect to which the Transaction was the sole Affected</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1"/>
              </w:rPr>
              <w:t>Transaction and Counterparty was the sole Affected Party and (y) the provisions of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Indenture relating to the Fundamental Change Adjustment were deleted, then such</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number of Shares and such amount of cash shall be proportionately reduced to the</w:t>
            </w:r>
          </w:p>
        </w:tc>
      </w:tr>
      <w:tr>
        <w:trPr>
          <w:trHeight w:val="230"/>
        </w:trPr>
        <w:tc>
          <w:tcPr>
            <w:tcW w:w="4180" w:type="dxa"/>
            <w:vAlign w:val="bottom"/>
          </w:tcPr>
          <w:p>
            <w:pPr>
              <w:spacing w:after="0"/>
              <w:rPr>
                <w:sz w:val="20"/>
                <w:szCs w:val="20"/>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extent necessary to eliminate such excess.</w:t>
            </w:r>
          </w:p>
        </w:tc>
      </w:tr>
      <w:tr>
        <w:trPr>
          <w:trHeight w:val="418"/>
        </w:trPr>
        <w:tc>
          <w:tcPr>
            <w:tcW w:w="4180" w:type="dxa"/>
            <w:vAlign w:val="bottom"/>
          </w:tcPr>
          <w:p>
            <w:pPr>
              <w:ind w:left="660"/>
              <w:spacing w:after="0"/>
              <w:rPr>
                <w:sz w:val="20"/>
                <w:szCs w:val="20"/>
                <w:color w:val="auto"/>
              </w:rPr>
            </w:pPr>
            <w:r>
              <w:rPr>
                <w:rFonts w:ascii="Arial" w:cs="Arial" w:eastAsia="Arial" w:hAnsi="Arial"/>
                <w:sz w:val="18"/>
                <w:szCs w:val="18"/>
                <w:color w:val="auto"/>
              </w:rPr>
              <w:t>Applicable Settlement Method:</w:t>
            </w: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For any Relevant Convertible Securities, if (i) Counterparty has notified Dealer in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related Notice of Exercise (or in the Notice of Final Convertible Security Settlement</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Method, as the case may be) that it has elected to satisfy its conversion obligation in</w:t>
            </w:r>
          </w:p>
        </w:tc>
      </w:tr>
      <w:tr>
        <w:trPr>
          <w:trHeight w:val="212"/>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respect of such Relevant Convertible Securities in cash or in a combination of cash</w:t>
            </w:r>
          </w:p>
        </w:tc>
      </w:tr>
      <w:tr>
        <w:trPr>
          <w:trHeight w:val="220"/>
        </w:trPr>
        <w:tc>
          <w:tcPr>
            <w:tcW w:w="4180" w:type="dxa"/>
            <w:vAlign w:val="bottom"/>
          </w:tcPr>
          <w:p>
            <w:pPr>
              <w:spacing w:after="0"/>
              <w:rPr>
                <w:sz w:val="19"/>
                <w:szCs w:val="19"/>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and Shares in accordance with Section 5.03(A) of the Indenture (a “</w:t>
            </w:r>
            <w:r>
              <w:rPr>
                <w:rFonts w:ascii="Arial" w:cs="Arial" w:eastAsia="Arial" w:hAnsi="Arial"/>
                <w:sz w:val="18"/>
                <w:szCs w:val="18"/>
                <w:b w:val="1"/>
                <w:bCs w:val="1"/>
                <w:color w:val="auto"/>
                <w:w w:val="93"/>
              </w:rPr>
              <w:t>Cash Election</w:t>
            </w:r>
            <w:r>
              <w:rPr>
                <w:rFonts w:ascii="Arial" w:cs="Arial" w:eastAsia="Arial" w:hAnsi="Arial"/>
                <w:sz w:val="18"/>
                <w:szCs w:val="18"/>
                <w:color w:val="auto"/>
                <w:w w:val="93"/>
              </w:rPr>
              <w:t>”)</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with a Specified Dollar Amount of at least USD1,000 and (ii) such Notice of Exercise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2"/>
              </w:rPr>
              <w:t>(or such Notice of Final Convertible Security Settlement Method, as the case may be)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4"/>
              </w:rPr>
              <w:t>contains all of the Settlement Method Election Provisions, the Applicable Settlement</w:t>
            </w:r>
          </w:p>
        </w:tc>
      </w:tr>
      <w:tr>
        <w:trPr>
          <w:trHeight w:val="212"/>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2"/>
              </w:rPr>
              <w:t>Method shall be the settlement method actually so elected by Counterparty in respect</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6"/>
              </w:rPr>
              <w:t>of such Relevant Convertible Securities (the “</w:t>
            </w:r>
            <w:r>
              <w:rPr>
                <w:rFonts w:ascii="Arial" w:cs="Arial" w:eastAsia="Arial" w:hAnsi="Arial"/>
                <w:sz w:val="18"/>
                <w:szCs w:val="18"/>
                <w:b w:val="1"/>
                <w:bCs w:val="1"/>
                <w:color w:val="auto"/>
                <w:w w:val="96"/>
              </w:rPr>
              <w:t>Convertible Securities Settlement</w:t>
            </w:r>
          </w:p>
        </w:tc>
      </w:tr>
      <w:tr>
        <w:trPr>
          <w:trHeight w:val="220"/>
        </w:trPr>
        <w:tc>
          <w:tcPr>
            <w:tcW w:w="4180" w:type="dxa"/>
            <w:vAlign w:val="bottom"/>
          </w:tcPr>
          <w:p>
            <w:pPr>
              <w:spacing w:after="0"/>
              <w:rPr>
                <w:sz w:val="19"/>
                <w:szCs w:val="19"/>
                <w:color w:val="auto"/>
              </w:rPr>
            </w:pPr>
          </w:p>
        </w:tc>
        <w:tc>
          <w:tcPr>
            <w:tcW w:w="7280" w:type="dxa"/>
            <w:vAlign w:val="bottom"/>
          </w:tcPr>
          <w:p>
            <w:pPr>
              <w:ind w:left="980"/>
              <w:spacing w:after="0"/>
              <w:rPr>
                <w:sz w:val="20"/>
                <w:szCs w:val="20"/>
                <w:color w:val="auto"/>
              </w:rPr>
            </w:pPr>
            <w:r>
              <w:rPr>
                <w:rFonts w:ascii="Arial" w:cs="Arial" w:eastAsia="Arial" w:hAnsi="Arial"/>
                <w:sz w:val="18"/>
                <w:szCs w:val="18"/>
                <w:b w:val="1"/>
                <w:bCs w:val="1"/>
                <w:color w:val="auto"/>
                <w:w w:val="94"/>
              </w:rPr>
              <w:t>Method</w:t>
            </w:r>
            <w:r>
              <w:rPr>
                <w:rFonts w:ascii="Arial" w:cs="Arial" w:eastAsia="Arial" w:hAnsi="Arial"/>
                <w:sz w:val="18"/>
                <w:szCs w:val="18"/>
                <w:color w:val="auto"/>
                <w:w w:val="94"/>
              </w:rPr>
              <w:t>”); otherwise, the Applicable Settlement Method shall assume Counterparty</w:t>
            </w:r>
          </w:p>
        </w:tc>
      </w:tr>
      <w:tr>
        <w:trPr>
          <w:trHeight w:val="212"/>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6"/>
              </w:rPr>
              <w:t>had made a Cash Election with respect to such Relevant Convertible Securities (a</w:t>
            </w:r>
          </w:p>
        </w:tc>
      </w:tr>
      <w:tr>
        <w:trPr>
          <w:trHeight w:val="220"/>
        </w:trPr>
        <w:tc>
          <w:tcPr>
            <w:tcW w:w="4180" w:type="dxa"/>
            <w:vAlign w:val="bottom"/>
          </w:tcPr>
          <w:p>
            <w:pPr>
              <w:spacing w:after="0"/>
              <w:rPr>
                <w:sz w:val="19"/>
                <w:szCs w:val="19"/>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Cash Election</w:t>
            </w:r>
            <w:r>
              <w:rPr>
                <w:rFonts w:ascii="Arial" w:cs="Arial" w:eastAsia="Arial" w:hAnsi="Arial"/>
                <w:sz w:val="18"/>
                <w:szCs w:val="18"/>
                <w:color w:val="auto"/>
              </w:rPr>
              <w:t>”) with a Specified Dollar Amount of USD1,000 per</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Relevant Convertible Security and the Delivery Obligation shall be determined by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Calculation Agent as if the relevant “Observation Period” pursuant to Section 5.03(B)</w:t>
            </w:r>
          </w:p>
        </w:tc>
      </w:tr>
      <w:tr>
        <w:trPr>
          <w:trHeight w:val="230"/>
        </w:trPr>
        <w:tc>
          <w:tcPr>
            <w:tcW w:w="4180" w:type="dxa"/>
            <w:vAlign w:val="bottom"/>
          </w:tcPr>
          <w:p>
            <w:pPr>
              <w:spacing w:after="0"/>
              <w:rPr>
                <w:sz w:val="20"/>
                <w:szCs w:val="20"/>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(i) of the Indenture were the Cash Settlement Averaging Period.</w:t>
            </w:r>
          </w:p>
        </w:tc>
      </w:tr>
      <w:tr>
        <w:trPr>
          <w:trHeight w:val="418"/>
        </w:trPr>
        <w:tc>
          <w:tcPr>
            <w:tcW w:w="4180" w:type="dxa"/>
            <w:vAlign w:val="bottom"/>
          </w:tcPr>
          <w:p>
            <w:pPr>
              <w:ind w:left="660"/>
              <w:spacing w:after="0"/>
              <w:rPr>
                <w:sz w:val="20"/>
                <w:szCs w:val="20"/>
                <w:color w:val="auto"/>
              </w:rPr>
            </w:pPr>
            <w:r>
              <w:rPr>
                <w:rFonts w:ascii="Arial" w:cs="Arial" w:eastAsia="Arial" w:hAnsi="Arial"/>
                <w:sz w:val="18"/>
                <w:szCs w:val="18"/>
                <w:color w:val="auto"/>
              </w:rPr>
              <w:t>Cash Settlement Averaging Period:</w:t>
            </w:r>
          </w:p>
        </w:tc>
        <w:tc>
          <w:tcPr>
            <w:tcW w:w="7280" w:type="dxa"/>
            <w:vAlign w:val="bottom"/>
          </w:tcPr>
          <w:p>
            <w:pPr>
              <w:ind w:left="980"/>
              <w:spacing w:after="0"/>
              <w:rPr>
                <w:sz w:val="20"/>
                <w:szCs w:val="20"/>
                <w:color w:val="auto"/>
              </w:rPr>
            </w:pPr>
            <w:r>
              <w:rPr>
                <w:rFonts w:ascii="Arial" w:cs="Arial" w:eastAsia="Arial" w:hAnsi="Arial"/>
                <w:sz w:val="18"/>
                <w:szCs w:val="18"/>
                <w:color w:val="auto"/>
                <w:w w:val="99"/>
              </w:rPr>
              <w:t>The 40 “Trading Days” (as defined in the Indenture) commencing on (I) the third</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2"/>
              </w:rPr>
              <w:t>“Trading Day” (as defined in the Indenture) after the Conversion Date for conversions</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9"/>
              </w:rPr>
              <w:t>with a related Conversion Date occurring prior to the Final Conversion Period or</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(II) the 41st “Scheduled Trading Day” (as defined in the Indenture) prior to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“Maturity Date” (as defined in the Indenture) for conversions with a related</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 xml:space="preserve">Conversion Date occurring during the Final Conversion Period;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in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89"/>
              </w:rPr>
              <w:t>case of a Deemed Cash Election, the Cash Settlement Averaging Period shall be the 80</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3"/>
              </w:rPr>
              <w:t>“Trading Days” (as defined in the Indenture) commencing on (I) the second “Trading</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5"/>
              </w:rPr>
              <w:t>Day” (as defined in the Indenture) after the Conversion Date for conversions with a</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w w:val="98"/>
              </w:rPr>
              <w:t>related Conversion Date occurring prior to the Final Conversion Period or (II) the</w:t>
            </w:r>
          </w:p>
        </w:tc>
      </w:tr>
      <w:tr>
        <w:trPr>
          <w:trHeight w:val="216"/>
        </w:trPr>
        <w:tc>
          <w:tcPr>
            <w:tcW w:w="4180" w:type="dxa"/>
            <w:vAlign w:val="bottom"/>
          </w:tcPr>
          <w:p>
            <w:pPr>
              <w:spacing w:after="0"/>
              <w:rPr>
                <w:sz w:val="18"/>
                <w:szCs w:val="18"/>
                <w:color w:val="auto"/>
              </w:rPr>
            </w:pPr>
          </w:p>
        </w:tc>
        <w:tc>
          <w:tcPr>
            <w:tcW w:w="7280" w:type="dxa"/>
            <w:vAlign w:val="bottom"/>
          </w:tcPr>
          <w:p>
            <w:pPr>
              <w:ind w:left="980"/>
              <w:spacing w:after="0" w:line="216" w:lineRule="exact"/>
              <w:rPr>
                <w:sz w:val="20"/>
                <w:szCs w:val="20"/>
                <w:color w:val="auto"/>
              </w:rPr>
            </w:pPr>
            <w:r>
              <w:rPr>
                <w:rFonts w:ascii="Arial" w:cs="Arial" w:eastAsia="Arial" w:hAnsi="Arial"/>
                <w:sz w:val="18"/>
                <w:szCs w:val="18"/>
                <w:color w:val="auto"/>
                <w:w w:val="98"/>
              </w:rPr>
              <w:t>82</w:t>
            </w:r>
            <w:r>
              <w:rPr>
                <w:rFonts w:ascii="Arial" w:cs="Arial" w:eastAsia="Arial" w:hAnsi="Arial"/>
                <w:sz w:val="23"/>
                <w:szCs w:val="23"/>
                <w:color w:val="auto"/>
                <w:w w:val="98"/>
                <w:vertAlign w:val="superscript"/>
              </w:rPr>
              <w:t>nd</w:t>
            </w:r>
            <w:r>
              <w:rPr>
                <w:rFonts w:ascii="Arial" w:cs="Arial" w:eastAsia="Arial" w:hAnsi="Arial"/>
                <w:sz w:val="18"/>
                <w:szCs w:val="18"/>
                <w:color w:val="auto"/>
                <w:w w:val="98"/>
              </w:rPr>
              <w:t xml:space="preserve"> “Scheduled Trading Day” (as defined in the Indenture) prior to the “Maturity</w:t>
            </w:r>
          </w:p>
        </w:tc>
      </w:tr>
      <w:tr>
        <w:trPr>
          <w:trHeight w:val="230"/>
        </w:trPr>
        <w:tc>
          <w:tcPr>
            <w:tcW w:w="4180" w:type="dxa"/>
            <w:vAlign w:val="bottom"/>
          </w:tcPr>
          <w:p>
            <w:pPr>
              <w:spacing w:after="0"/>
              <w:rPr>
                <w:sz w:val="20"/>
                <w:szCs w:val="20"/>
                <w:color w:val="auto"/>
              </w:rPr>
            </w:pPr>
          </w:p>
        </w:tc>
        <w:tc>
          <w:tcPr>
            <w:tcW w:w="7280" w:type="dxa"/>
            <w:vAlign w:val="bottom"/>
          </w:tcPr>
          <w:p>
            <w:pPr>
              <w:ind w:left="980"/>
              <w:spacing w:after="0"/>
              <w:rPr>
                <w:sz w:val="20"/>
                <w:szCs w:val="20"/>
                <w:color w:val="auto"/>
              </w:rPr>
            </w:pPr>
            <w:r>
              <w:rPr>
                <w:rFonts w:ascii="Arial" w:cs="Arial" w:eastAsia="Arial" w:hAnsi="Arial"/>
                <w:sz w:val="18"/>
                <w:szCs w:val="18"/>
                <w:color w:val="auto"/>
              </w:rPr>
              <w:t>Date” (as defined in the Indenture) for</w:t>
            </w:r>
          </w:p>
        </w:tc>
      </w:tr>
      <w:tr>
        <w:trPr>
          <w:trHeight w:val="432"/>
        </w:trPr>
        <w:tc>
          <w:tcPr>
            <w:tcW w:w="4180" w:type="dxa"/>
            <w:vAlign w:val="bottom"/>
          </w:tcPr>
          <w:p>
            <w:pPr>
              <w:spacing w:after="0"/>
              <w:rPr>
                <w:sz w:val="24"/>
                <w:szCs w:val="24"/>
                <w:color w:val="auto"/>
              </w:rPr>
            </w:pPr>
          </w:p>
        </w:tc>
        <w:tc>
          <w:tcPr>
            <w:tcW w:w="7280" w:type="dxa"/>
            <w:vAlign w:val="bottom"/>
          </w:tcPr>
          <w:p>
            <w:pPr>
              <w:ind w:left="1480"/>
              <w:spacing w:after="0"/>
              <w:rPr>
                <w:sz w:val="20"/>
                <w:szCs w:val="20"/>
                <w:color w:val="auto"/>
              </w:rPr>
            </w:pPr>
            <w:r>
              <w:rPr>
                <w:rFonts w:ascii="Arial" w:cs="Arial" w:eastAsia="Arial" w:hAnsi="Arial"/>
                <w:sz w:val="18"/>
                <w:szCs w:val="18"/>
                <w:color w:val="auto"/>
              </w:rPr>
              <w:t>7</w:t>
            </w:r>
          </w:p>
        </w:tc>
      </w:tr>
      <w:tr>
        <w:trPr>
          <w:trHeight w:val="132"/>
        </w:trPr>
        <w:tc>
          <w:tcPr>
            <w:tcW w:w="418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conversions with a related Conversion Date occurring during the Final Conversion</w:t>
            </w:r>
          </w:p>
        </w:tc>
      </w:tr>
      <w:tr>
        <w:trPr>
          <w:trHeight w:val="230"/>
        </w:trPr>
        <w:tc>
          <w:tcPr>
            <w:tcW w:w="434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Period.</w:t>
            </w:r>
          </w:p>
        </w:tc>
      </w:tr>
      <w:tr>
        <w:trPr>
          <w:trHeight w:val="418"/>
        </w:trPr>
        <w:tc>
          <w:tcPr>
            <w:tcW w:w="4340" w:type="dxa"/>
            <w:vAlign w:val="bottom"/>
          </w:tcPr>
          <w:p>
            <w:pPr>
              <w:ind w:left="660"/>
              <w:spacing w:after="0"/>
              <w:rPr>
                <w:sz w:val="20"/>
                <w:szCs w:val="20"/>
                <w:color w:val="auto"/>
              </w:rPr>
            </w:pPr>
            <w:r>
              <w:rPr>
                <w:rFonts w:ascii="Arial" w:cs="Arial" w:eastAsia="Arial" w:hAnsi="Arial"/>
                <w:sz w:val="18"/>
                <w:szCs w:val="18"/>
                <w:color w:val="auto"/>
              </w:rPr>
              <w:t>Settlement Method Election Provisions:</w:t>
            </w:r>
          </w:p>
        </w:tc>
        <w:tc>
          <w:tcPr>
            <w:tcW w:w="7120" w:type="dxa"/>
            <w:vAlign w:val="bottom"/>
          </w:tcPr>
          <w:p>
            <w:pPr>
              <w:ind w:left="820"/>
              <w:spacing w:after="0"/>
              <w:rPr>
                <w:sz w:val="20"/>
                <w:szCs w:val="20"/>
                <w:color w:val="auto"/>
              </w:rPr>
            </w:pPr>
            <w:r>
              <w:rPr>
                <w:rFonts w:ascii="Arial" w:cs="Arial" w:eastAsia="Arial" w:hAnsi="Arial"/>
                <w:sz w:val="18"/>
                <w:szCs w:val="18"/>
                <w:color w:val="auto"/>
              </w:rPr>
              <w:t>In order for the Applicable Settlement Method to be the Convertible Securities</w:t>
            </w:r>
          </w:p>
        </w:tc>
      </w:tr>
      <w:tr>
        <w:trPr>
          <w:trHeight w:val="216"/>
        </w:trPr>
        <w:tc>
          <w:tcPr>
            <w:tcW w:w="434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Settlement Method in accordance with “Applicable Settlement Method” above, the</w:t>
            </w:r>
          </w:p>
        </w:tc>
      </w:tr>
      <w:tr>
        <w:trPr>
          <w:trHeight w:val="216"/>
        </w:trPr>
        <w:tc>
          <w:tcPr>
            <w:tcW w:w="434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related Notice of Exercise (or Notice of Final Convertible Security Settlement</w:t>
            </w:r>
          </w:p>
        </w:tc>
      </w:tr>
      <w:tr>
        <w:trPr>
          <w:trHeight w:val="216"/>
        </w:trPr>
        <w:tc>
          <w:tcPr>
            <w:tcW w:w="434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1"/>
              </w:rPr>
              <w:t>Method, as the case may be) must contain in writing the following representations and</w:t>
            </w:r>
          </w:p>
        </w:tc>
      </w:tr>
      <w:tr>
        <w:trPr>
          <w:trHeight w:val="230"/>
        </w:trPr>
        <w:tc>
          <w:tcPr>
            <w:tcW w:w="434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warranties from Counterparty to Dealer as of such notice delivery date:</w:t>
            </w:r>
          </w:p>
        </w:tc>
      </w:tr>
      <w:tr>
        <w:trPr>
          <w:trHeight w:val="418"/>
        </w:trPr>
        <w:tc>
          <w:tcPr>
            <w:tcW w:w="4340" w:type="dxa"/>
            <w:vAlign w:val="bottom"/>
          </w:tcPr>
          <w:p>
            <w:pPr>
              <w:spacing w:after="0"/>
              <w:rPr>
                <w:sz w:val="24"/>
                <w:szCs w:val="24"/>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3"/>
              </w:rPr>
              <w:t>(i) none of Counterparty and its officers or directors, or any person that controls,</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rPr>
              <w:t>potentially controls, or otherwise exercises influence over, Counterparty’s</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8"/>
              </w:rPr>
              <w:t>decision to elect the Convertible Security Settlement Method is aware of any</w:t>
            </w:r>
          </w:p>
        </w:tc>
      </w:tr>
      <w:tr>
        <w:trPr>
          <w:trHeight w:val="230"/>
        </w:trPr>
        <w:tc>
          <w:tcPr>
            <w:tcW w:w="4340" w:type="dxa"/>
            <w:vAlign w:val="bottom"/>
          </w:tcPr>
          <w:p>
            <w:pPr>
              <w:spacing w:after="0"/>
              <w:rPr>
                <w:sz w:val="20"/>
                <w:szCs w:val="20"/>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rPr>
              <w:t>material nonpublic information regarding Counterparty or the Shares;</w:t>
            </w:r>
          </w:p>
        </w:tc>
      </w:tr>
      <w:tr>
        <w:trPr>
          <w:trHeight w:val="418"/>
        </w:trPr>
        <w:tc>
          <w:tcPr>
            <w:tcW w:w="4340" w:type="dxa"/>
            <w:vAlign w:val="bottom"/>
          </w:tcPr>
          <w:p>
            <w:pPr>
              <w:spacing w:after="0"/>
              <w:rPr>
                <w:sz w:val="24"/>
                <w:szCs w:val="24"/>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4"/>
              </w:rPr>
              <w:t>(ii) Counterparty is electing the Convertible Security Settlement Method in good</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9"/>
              </w:rPr>
              <w:t>faith and not as part of a plan or scheme to evade compliance with the U.S.</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8"/>
              </w:rPr>
              <w:t>federal securities laws; Counterparty is not electing the Convertible Security</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3"/>
              </w:rPr>
              <w:t>Settlement Method to create actual or apparent trading activity in the Shares (or</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1"/>
              </w:rPr>
              <w:t>any security convertible into or exchangeable for Shares) or to raise or depress or</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4"/>
              </w:rPr>
              <w:t>otherwise manipulate the price of the Shares (or any security convertible into or</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8"/>
              </w:rPr>
              <w:t>exchangeable for Shares) or otherwise in violation of the Exchange Act; and</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4"/>
              </w:rPr>
              <w:t>Counterparty has not entered into or altered any hedging transaction relating to</w:t>
            </w:r>
          </w:p>
        </w:tc>
      </w:tr>
      <w:tr>
        <w:trPr>
          <w:trHeight w:val="230"/>
        </w:trPr>
        <w:tc>
          <w:tcPr>
            <w:tcW w:w="4340" w:type="dxa"/>
            <w:vAlign w:val="bottom"/>
          </w:tcPr>
          <w:p>
            <w:pPr>
              <w:spacing w:after="0"/>
              <w:rPr>
                <w:sz w:val="20"/>
                <w:szCs w:val="20"/>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rPr>
              <w:t>the Shares corresponding to or offsetting the Transaction;</w:t>
            </w:r>
          </w:p>
        </w:tc>
      </w:tr>
      <w:tr>
        <w:trPr>
          <w:trHeight w:val="418"/>
        </w:trPr>
        <w:tc>
          <w:tcPr>
            <w:tcW w:w="4340" w:type="dxa"/>
            <w:vAlign w:val="bottom"/>
          </w:tcPr>
          <w:p>
            <w:pPr>
              <w:spacing w:after="0"/>
              <w:rPr>
                <w:sz w:val="24"/>
                <w:szCs w:val="24"/>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2"/>
              </w:rPr>
              <w:t>(iii) Counterparty has the power to make such election and to execute and deliver</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rPr>
              <w:t>any documentation relating to such election that it is required by this</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8"/>
              </w:rPr>
              <w:t>Confirmation to deliver and to perform its obligations under this Confirmation</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2"/>
              </w:rPr>
              <w:t>and has taken all necessary action to authorize such election, execution, delivery</w:t>
            </w:r>
          </w:p>
        </w:tc>
      </w:tr>
      <w:tr>
        <w:trPr>
          <w:trHeight w:val="230"/>
        </w:trPr>
        <w:tc>
          <w:tcPr>
            <w:tcW w:w="4340" w:type="dxa"/>
            <w:vAlign w:val="bottom"/>
          </w:tcPr>
          <w:p>
            <w:pPr>
              <w:spacing w:after="0"/>
              <w:rPr>
                <w:sz w:val="20"/>
                <w:szCs w:val="20"/>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rPr>
              <w:t>and performance;</w:t>
            </w:r>
          </w:p>
        </w:tc>
      </w:tr>
      <w:tr>
        <w:trPr>
          <w:trHeight w:val="418"/>
        </w:trPr>
        <w:tc>
          <w:tcPr>
            <w:tcW w:w="4340" w:type="dxa"/>
            <w:vAlign w:val="bottom"/>
          </w:tcPr>
          <w:p>
            <w:pPr>
              <w:spacing w:after="0"/>
              <w:rPr>
                <w:sz w:val="24"/>
                <w:szCs w:val="24"/>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5"/>
              </w:rPr>
              <w:t>(iv) such election and performance of its obligations under this Confirmation do</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rPr>
              <w:t>not violate or conflict with any law applicable to it, any provision of its</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4"/>
              </w:rPr>
              <w:t>constitutional documents, any order or judgment of any court or other agency of</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9"/>
              </w:rPr>
              <w:t>government applicable to it or any of its assets or any contractual restriction</w:t>
            </w:r>
          </w:p>
        </w:tc>
      </w:tr>
      <w:tr>
        <w:trPr>
          <w:trHeight w:val="230"/>
        </w:trPr>
        <w:tc>
          <w:tcPr>
            <w:tcW w:w="4340" w:type="dxa"/>
            <w:vAlign w:val="bottom"/>
          </w:tcPr>
          <w:p>
            <w:pPr>
              <w:spacing w:after="0"/>
              <w:rPr>
                <w:sz w:val="20"/>
                <w:szCs w:val="20"/>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rPr>
              <w:t>binding on or affecting it or any of its assets; and</w:t>
            </w:r>
          </w:p>
        </w:tc>
      </w:tr>
      <w:tr>
        <w:trPr>
          <w:trHeight w:val="418"/>
        </w:trPr>
        <w:tc>
          <w:tcPr>
            <w:tcW w:w="4340" w:type="dxa"/>
            <w:vAlign w:val="bottom"/>
          </w:tcPr>
          <w:p>
            <w:pPr>
              <w:spacing w:after="0"/>
              <w:rPr>
                <w:sz w:val="24"/>
                <w:szCs w:val="24"/>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1"/>
              </w:rPr>
              <w:t>(v) any transaction that Dealer makes with respect to the Shares during the period</w:t>
            </w:r>
          </w:p>
        </w:tc>
      </w:tr>
      <w:tr>
        <w:trPr>
          <w:trHeight w:val="216"/>
        </w:trPr>
        <w:tc>
          <w:tcPr>
            <w:tcW w:w="4340" w:type="dxa"/>
            <w:vAlign w:val="bottom"/>
          </w:tcPr>
          <w:p>
            <w:pPr>
              <w:spacing w:after="0"/>
              <w:rPr>
                <w:sz w:val="18"/>
                <w:szCs w:val="18"/>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w w:val="96"/>
              </w:rPr>
              <w:t>beginning at the time that Counterparty delivers such notice and ending at the</w:t>
            </w:r>
          </w:p>
        </w:tc>
      </w:tr>
      <w:tr>
        <w:trPr>
          <w:trHeight w:val="230"/>
        </w:trPr>
        <w:tc>
          <w:tcPr>
            <w:tcW w:w="4340" w:type="dxa"/>
            <w:vAlign w:val="bottom"/>
          </w:tcPr>
          <w:p>
            <w:pPr>
              <w:spacing w:after="0"/>
              <w:rPr>
                <w:sz w:val="20"/>
                <w:szCs w:val="20"/>
                <w:color w:val="auto"/>
              </w:rPr>
            </w:pPr>
          </w:p>
        </w:tc>
        <w:tc>
          <w:tcPr>
            <w:tcW w:w="7120" w:type="dxa"/>
            <w:vAlign w:val="bottom"/>
          </w:tcPr>
          <w:p>
            <w:pPr>
              <w:ind w:left="1140"/>
              <w:spacing w:after="0"/>
              <w:rPr>
                <w:sz w:val="20"/>
                <w:szCs w:val="20"/>
                <w:color w:val="auto"/>
              </w:rPr>
            </w:pPr>
            <w:r>
              <w:rPr>
                <w:rFonts w:ascii="Arial" w:cs="Arial" w:eastAsia="Arial" w:hAnsi="Arial"/>
                <w:sz w:val="18"/>
                <w:szCs w:val="18"/>
                <w:color w:val="auto"/>
              </w:rPr>
              <w:t>close of business on the final</w:t>
            </w:r>
          </w:p>
        </w:tc>
      </w:tr>
      <w:tr>
        <w:trPr>
          <w:trHeight w:val="432"/>
        </w:trPr>
        <w:tc>
          <w:tcPr>
            <w:tcW w:w="4340" w:type="dxa"/>
            <w:vAlign w:val="bottom"/>
          </w:tcPr>
          <w:p>
            <w:pPr>
              <w:spacing w:after="0"/>
              <w:rPr>
                <w:sz w:val="24"/>
                <w:szCs w:val="24"/>
                <w:color w:val="auto"/>
              </w:rPr>
            </w:pPr>
          </w:p>
        </w:tc>
        <w:tc>
          <w:tcPr>
            <w:tcW w:w="7120" w:type="dxa"/>
            <w:vAlign w:val="bottom"/>
          </w:tcPr>
          <w:p>
            <w:pPr>
              <w:ind w:left="1320"/>
              <w:spacing w:after="0"/>
              <w:rPr>
                <w:sz w:val="20"/>
                <w:szCs w:val="20"/>
                <w:color w:val="auto"/>
              </w:rPr>
            </w:pPr>
            <w:r>
              <w:rPr>
                <w:rFonts w:ascii="Arial" w:cs="Arial" w:eastAsia="Arial" w:hAnsi="Arial"/>
                <w:sz w:val="18"/>
                <w:szCs w:val="18"/>
                <w:color w:val="auto"/>
              </w:rPr>
              <w:t>8</w:t>
            </w:r>
          </w:p>
        </w:tc>
      </w:tr>
      <w:tr>
        <w:trPr>
          <w:trHeight w:val="132"/>
        </w:trPr>
        <w:tc>
          <w:tcPr>
            <w:tcW w:w="4340" w:type="dxa"/>
            <w:vAlign w:val="bottom"/>
            <w:tcBorders>
              <w:bottom w:val="single" w:sz="8" w:color="808080"/>
            </w:tcBorders>
          </w:tcPr>
          <w:p>
            <w:pPr>
              <w:spacing w:after="0"/>
              <w:rPr>
                <w:sz w:val="11"/>
                <w:szCs w:val="11"/>
                <w:color w:val="auto"/>
              </w:rPr>
            </w:pPr>
          </w:p>
        </w:tc>
        <w:tc>
          <w:tcPr>
            <w:tcW w:w="7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w w:val="91"/>
              </w:rPr>
              <w:t>day of the Cash Settlement Averaging Period shall be made by Dealer at Dealer’s</w:t>
            </w:r>
          </w:p>
        </w:tc>
      </w:tr>
      <w:tr>
        <w:trPr>
          <w:trHeight w:val="216"/>
        </w:trPr>
        <w:tc>
          <w:tcPr>
            <w:tcW w:w="4420" w:type="dxa"/>
            <w:vAlign w:val="bottom"/>
          </w:tcPr>
          <w:p>
            <w:pPr>
              <w:spacing w:after="0"/>
              <w:rPr>
                <w:sz w:val="18"/>
                <w:szCs w:val="18"/>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w w:val="96"/>
              </w:rPr>
              <w:t>sole discretion for Dealer’s own account and Counterparty shall not have, and</w:t>
            </w:r>
          </w:p>
        </w:tc>
      </w:tr>
      <w:tr>
        <w:trPr>
          <w:trHeight w:val="216"/>
        </w:trPr>
        <w:tc>
          <w:tcPr>
            <w:tcW w:w="4420" w:type="dxa"/>
            <w:vAlign w:val="bottom"/>
          </w:tcPr>
          <w:p>
            <w:pPr>
              <w:spacing w:after="0"/>
              <w:rPr>
                <w:sz w:val="18"/>
                <w:szCs w:val="18"/>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w w:val="94"/>
              </w:rPr>
              <w:t>shall not attempt to exercise, any influence over how, when, whether or at what</w:t>
            </w:r>
          </w:p>
        </w:tc>
      </w:tr>
      <w:tr>
        <w:trPr>
          <w:trHeight w:val="216"/>
        </w:trPr>
        <w:tc>
          <w:tcPr>
            <w:tcW w:w="4420" w:type="dxa"/>
            <w:vAlign w:val="bottom"/>
          </w:tcPr>
          <w:p>
            <w:pPr>
              <w:spacing w:after="0"/>
              <w:rPr>
                <w:sz w:val="18"/>
                <w:szCs w:val="18"/>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w w:val="97"/>
              </w:rPr>
              <w:t>price Dealer effects such transactions, including, without limitation, the prices</w:t>
            </w:r>
          </w:p>
        </w:tc>
      </w:tr>
      <w:tr>
        <w:trPr>
          <w:trHeight w:val="216"/>
        </w:trPr>
        <w:tc>
          <w:tcPr>
            <w:tcW w:w="4420" w:type="dxa"/>
            <w:vAlign w:val="bottom"/>
          </w:tcPr>
          <w:p>
            <w:pPr>
              <w:spacing w:after="0"/>
              <w:rPr>
                <w:sz w:val="18"/>
                <w:szCs w:val="18"/>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w w:val="94"/>
              </w:rPr>
              <w:t>paid or received by Dealer per Share pursuant to such transactions, or whether</w:t>
            </w:r>
          </w:p>
        </w:tc>
      </w:tr>
      <w:tr>
        <w:trPr>
          <w:trHeight w:val="230"/>
        </w:trPr>
        <w:tc>
          <w:tcPr>
            <w:tcW w:w="4420" w:type="dxa"/>
            <w:vAlign w:val="bottom"/>
          </w:tcPr>
          <w:p>
            <w:pPr>
              <w:spacing w:after="0"/>
              <w:rPr>
                <w:sz w:val="20"/>
                <w:szCs w:val="20"/>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rPr>
              <w:t>such transactions are made on any securities exchange or privately.</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Notice of Delivery Obligation:</w:t>
            </w: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No later than the Exchange Business Day immediately following the last day of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3"/>
              </w:rPr>
              <w:t>relevant Cash Settlement Averaging Period, Counterparty shall give Dealer notice of</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the final number of Shares and/or amount of cash included in the Total Convertible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 xml:space="preserve">Share Obligation Value (as defined below);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with respect to any Exercise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3"/>
              </w:rPr>
              <w:t>Date occurring during the Final Conversion Period, Counterparty may provide Dealer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0"/>
              </w:rPr>
              <w:t>with a single notice of the aggregate number of Shares and/or amount of cash included</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9"/>
              </w:rPr>
              <w:t>in the Total Convertible Share Obligation Value for all Exercise Dates occurring</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during such period (it being understood, for the avoidance of doubt, that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9"/>
              </w:rPr>
              <w:t>requirement of Counterparty to deliver such notice shall not limit Counterparty’s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obligations with respect to a Notice of Exercise or Notice of Final Convertible</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Security Settlement Method, as the case may be, as set forth above, in any way).</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Net Convertible Share Obligation Value:</w:t>
            </w:r>
          </w:p>
        </w:tc>
        <w:tc>
          <w:tcPr>
            <w:tcW w:w="7040" w:type="dxa"/>
            <w:vAlign w:val="bottom"/>
          </w:tcPr>
          <w:p>
            <w:pPr>
              <w:ind w:left="740"/>
              <w:spacing w:after="0"/>
              <w:rPr>
                <w:sz w:val="20"/>
                <w:szCs w:val="20"/>
                <w:color w:val="auto"/>
              </w:rPr>
            </w:pPr>
            <w:r>
              <w:rPr>
                <w:rFonts w:ascii="Arial" w:cs="Arial" w:eastAsia="Arial" w:hAnsi="Arial"/>
                <w:sz w:val="18"/>
                <w:szCs w:val="18"/>
                <w:color w:val="auto"/>
                <w:w w:val="93"/>
              </w:rPr>
              <w:t>With respect to Relevant Convertible Securities as to a Conversion Date, the product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of (i) the Applicable Percentage and (ii)(A) the Total Convertible Share Obligation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 xml:space="preserve">Value of such Relevant Convertible Securities for such Conversion Date </w:t>
            </w:r>
            <w:r>
              <w:rPr>
                <w:rFonts w:ascii="Arial" w:cs="Arial" w:eastAsia="Arial" w:hAnsi="Arial"/>
                <w:sz w:val="18"/>
                <w:szCs w:val="18"/>
                <w:i w:val="1"/>
                <w:iCs w:val="1"/>
                <w:color w:val="auto"/>
                <w:w w:val="91"/>
              </w:rPr>
              <w:t>minus</w:t>
            </w:r>
            <w:r>
              <w:rPr>
                <w:rFonts w:ascii="Arial" w:cs="Arial" w:eastAsia="Arial" w:hAnsi="Arial"/>
                <w:sz w:val="18"/>
                <w:szCs w:val="18"/>
                <w:color w:val="auto"/>
                <w:w w:val="91"/>
              </w:rPr>
              <w:t xml:space="preserve"> (B)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aggregate principal amount of such Relevant Convertible Securities for such</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Conversion Date.</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Total Convertible Share Obligation Value:</w:t>
            </w: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With respect to Relevant Convertible Securities with respect to a Conversion Date,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(i) (A) the number of Shares equal to the aggregate number of Shares that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Counterparty is obligated to deliver to the holder(s) of Relevant Convertible Securities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for such Conversion Date pursuant to the Indenture (it being understood that such</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number of Shares shall be determined taking into consideration any rounding pursuant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 xml:space="preserve">to Section 5.03(B)(ii) of the Indenture) </w:t>
            </w:r>
            <w:r>
              <w:rPr>
                <w:rFonts w:ascii="Arial" w:cs="Arial" w:eastAsia="Arial" w:hAnsi="Arial"/>
                <w:sz w:val="18"/>
                <w:szCs w:val="18"/>
                <w:i w:val="1"/>
                <w:iCs w:val="1"/>
                <w:color w:val="auto"/>
                <w:w w:val="95"/>
              </w:rPr>
              <w:t>multiplied by</w:t>
            </w:r>
            <w:r>
              <w:rPr>
                <w:rFonts w:ascii="Arial" w:cs="Arial" w:eastAsia="Arial" w:hAnsi="Arial"/>
                <w:sz w:val="18"/>
                <w:szCs w:val="18"/>
                <w:color w:val="auto"/>
                <w:w w:val="95"/>
              </w:rPr>
              <w:t xml:space="preserve"> (B) the Share Obligation Value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 xml:space="preserve">Price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an amount of cash equal to the aggregate amount of cash that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Counterparty is obligated to deliver to the holder(s) of Relevant Convertible Securities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for such Conversion Date pursuant to the Indenture (including, for the avoidance of</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doubt, any cash payable by Counterparty in lieu of fractional</w:t>
            </w:r>
          </w:p>
        </w:tc>
      </w:tr>
      <w:tr>
        <w:trPr>
          <w:trHeight w:val="432"/>
        </w:trPr>
        <w:tc>
          <w:tcPr>
            <w:tcW w:w="4420" w:type="dxa"/>
            <w:vAlign w:val="bottom"/>
          </w:tcPr>
          <w:p>
            <w:pPr>
              <w:spacing w:after="0"/>
              <w:rPr>
                <w:sz w:val="24"/>
                <w:szCs w:val="24"/>
                <w:color w:val="auto"/>
              </w:rPr>
            </w:pPr>
          </w:p>
        </w:tc>
        <w:tc>
          <w:tcPr>
            <w:tcW w:w="7040" w:type="dxa"/>
            <w:vAlign w:val="bottom"/>
          </w:tcPr>
          <w:p>
            <w:pPr>
              <w:ind w:left="1240"/>
              <w:spacing w:after="0"/>
              <w:rPr>
                <w:sz w:val="20"/>
                <w:szCs w:val="20"/>
                <w:color w:val="auto"/>
              </w:rPr>
            </w:pPr>
            <w:r>
              <w:rPr>
                <w:rFonts w:ascii="Arial" w:cs="Arial" w:eastAsia="Arial" w:hAnsi="Arial"/>
                <w:sz w:val="18"/>
                <w:szCs w:val="18"/>
                <w:color w:val="auto"/>
              </w:rPr>
              <w:t>9</w:t>
            </w:r>
          </w:p>
        </w:tc>
      </w:tr>
      <w:tr>
        <w:trPr>
          <w:trHeight w:val="132"/>
        </w:trPr>
        <w:tc>
          <w:tcPr>
            <w:tcW w:w="442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Convertible Share Obligation Value shall be</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1"/>
              </w:rPr>
              <w:t>determined excluding any Shares and/or cash that Counterparty is obligated to deliver</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3"/>
              </w:rPr>
              <w:t>to holder(s) of the Relevant Convertible Securities as a direct or indirect result of any</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0"/>
              </w:rPr>
              <w:t>adjustments to the Conversion Rate pursuant to a Fundamental Change Adjustment or</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4"/>
              </w:rPr>
              <w:t>a Discretionary Adjustment and any interest payment that Counterparty is (or would</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3"/>
              </w:rPr>
              <w:t>have been) obligated to deliver to holder(s) of the Relevant Convertible Securities for</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such Conversion Date.</w:t>
            </w: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color w:val="auto"/>
              </w:rPr>
              <w:t>Share Obligation Value Price:</w:t>
            </w:r>
          </w:p>
        </w:tc>
        <w:tc>
          <w:tcPr>
            <w:tcW w:w="7460" w:type="dxa"/>
            <w:vAlign w:val="bottom"/>
          </w:tcPr>
          <w:p>
            <w:pPr>
              <w:ind w:left="1160"/>
              <w:spacing w:after="0"/>
              <w:rPr>
                <w:sz w:val="20"/>
                <w:szCs w:val="20"/>
                <w:color w:val="auto"/>
              </w:rPr>
            </w:pPr>
            <w:r>
              <w:rPr>
                <w:rFonts w:ascii="Arial" w:cs="Arial" w:eastAsia="Arial" w:hAnsi="Arial"/>
                <w:sz w:val="18"/>
                <w:szCs w:val="18"/>
                <w:color w:val="auto"/>
                <w:w w:val="92"/>
              </w:rPr>
              <w:t>The opening price as displayed under the heading “Op” on Bloomberg page “WGO.N</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3"/>
              </w:rPr>
              <w:t>&lt;Equity&gt;” (or any successor thereto) on the applicable Settlement Date or other date</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of delivery.</w:t>
            </w: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color w:val="auto"/>
              </w:rPr>
              <w:t>Other Applicable Provisions:</w:t>
            </w:r>
          </w:p>
        </w:tc>
        <w:tc>
          <w:tcPr>
            <w:tcW w:w="7460" w:type="dxa"/>
            <w:vAlign w:val="bottom"/>
          </w:tcPr>
          <w:p>
            <w:pPr>
              <w:ind w:left="1160"/>
              <w:spacing w:after="0"/>
              <w:rPr>
                <w:sz w:val="20"/>
                <w:szCs w:val="20"/>
                <w:color w:val="auto"/>
              </w:rPr>
            </w:pPr>
            <w:r>
              <w:rPr>
                <w:rFonts w:ascii="Arial" w:cs="Arial" w:eastAsia="Arial" w:hAnsi="Arial"/>
                <w:sz w:val="18"/>
                <w:szCs w:val="18"/>
                <w:color w:val="auto"/>
              </w:rPr>
              <w:t>To the extent Dealer is obligated to deliver Shares hereunder, the provisions of</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5"/>
              </w:rPr>
              <w:t>Sections 9.8, 9.9 and 9.11 of the Equity Definitions will be applicable as if “Physical</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 xml:space="preserve">Settlement” applied to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Representation and</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6"/>
              </w:rPr>
              <w:t>Agreement contained in Section 9.11 of the Equity Definitions shall be modified by</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2"/>
              </w:rPr>
              <w:t>excluding any representations therein relating to restrictions, obligations, limitations or</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6"/>
              </w:rPr>
              <w:t>requirements under applicable securities laws that exist as a result of the fact that</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Counterparty is the issuer of the Shares.</w:t>
            </w: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color w:val="auto"/>
              </w:rPr>
              <w:t>Restricted Certificated Shares:</w:t>
            </w:r>
          </w:p>
        </w:tc>
        <w:tc>
          <w:tcPr>
            <w:tcW w:w="7460" w:type="dxa"/>
            <w:vAlign w:val="bottom"/>
          </w:tcPr>
          <w:p>
            <w:pPr>
              <w:ind w:left="1160"/>
              <w:spacing w:after="0"/>
              <w:rPr>
                <w:sz w:val="20"/>
                <w:szCs w:val="20"/>
                <w:color w:val="auto"/>
              </w:rPr>
            </w:pPr>
            <w:r>
              <w:rPr>
                <w:rFonts w:ascii="Arial" w:cs="Arial" w:eastAsia="Arial" w:hAnsi="Arial"/>
                <w:sz w:val="18"/>
                <w:szCs w:val="18"/>
                <w:color w:val="auto"/>
                <w:w w:val="98"/>
              </w:rPr>
              <w:t>Notwithstanding anything to the contrary in the Equity Definitions, Dealer may, in</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2"/>
              </w:rPr>
              <w:t>whole or in part, deliver Shares required to be delivered to Counterparty hereunder in</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7"/>
              </w:rPr>
              <w:t>certificated form in lieu of delivery through the Clearance System. With respect to</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1"/>
              </w:rPr>
              <w:t>such certificated Shares, the Representation and Agreement contained in Section 9.11</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4"/>
              </w:rPr>
              <w:t>of the Equity Definitions shall be modified by deleting the remainder of the provision</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after the word “encumbrance” in the fourth line thereof.</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Adjustments:</w:t>
            </w:r>
          </w:p>
        </w:tc>
        <w:tc>
          <w:tcPr>
            <w:tcW w:w="7460" w:type="dxa"/>
            <w:vAlign w:val="bottom"/>
          </w:tcPr>
          <w:p>
            <w:pPr>
              <w:spacing w:after="0"/>
              <w:rPr>
                <w:sz w:val="24"/>
                <w:szCs w:val="24"/>
                <w:color w:val="auto"/>
              </w:rPr>
            </w:pP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color w:val="auto"/>
              </w:rPr>
              <w:t>Method of Adjustment:</w:t>
            </w:r>
          </w:p>
        </w:tc>
        <w:tc>
          <w:tcPr>
            <w:tcW w:w="7460" w:type="dxa"/>
            <w:vAlign w:val="bottom"/>
          </w:tcPr>
          <w:p>
            <w:pPr>
              <w:ind w:left="1160"/>
              <w:spacing w:after="0"/>
              <w:rPr>
                <w:sz w:val="20"/>
                <w:szCs w:val="20"/>
                <w:color w:val="auto"/>
              </w:rPr>
            </w:pPr>
            <w:r>
              <w:rPr>
                <w:rFonts w:ascii="Arial" w:cs="Arial" w:eastAsia="Arial" w:hAnsi="Arial"/>
                <w:sz w:val="18"/>
                <w:szCs w:val="18"/>
                <w:color w:val="auto"/>
                <w:w w:val="95"/>
              </w:rPr>
              <w:t>Notwithstanding Section 11.2 of the Equity Definitions, upon the occurrence of any</w:t>
            </w:r>
          </w:p>
        </w:tc>
      </w:tr>
      <w:tr>
        <w:trPr>
          <w:trHeight w:val="212"/>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event or condition set forth in Sections 5.05(A)(i), (ii), (iii), (iv) and (v), and</w:t>
            </w:r>
          </w:p>
        </w:tc>
      </w:tr>
      <w:tr>
        <w:trPr>
          <w:trHeight w:val="220"/>
        </w:trPr>
        <w:tc>
          <w:tcPr>
            <w:tcW w:w="4000" w:type="dxa"/>
            <w:vAlign w:val="bottom"/>
          </w:tcPr>
          <w:p>
            <w:pPr>
              <w:spacing w:after="0"/>
              <w:rPr>
                <w:sz w:val="19"/>
                <w:szCs w:val="19"/>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Section 5.05(H) of the Indenture (a “</w:t>
            </w:r>
            <w:r>
              <w:rPr>
                <w:rFonts w:ascii="Arial" w:cs="Arial" w:eastAsia="Arial" w:hAnsi="Arial"/>
                <w:sz w:val="18"/>
                <w:szCs w:val="18"/>
                <w:b w:val="1"/>
                <w:bCs w:val="1"/>
                <w:color w:val="auto"/>
              </w:rPr>
              <w:t>Potential Adjustment Event</w:t>
            </w:r>
            <w:r>
              <w:rPr>
                <w:rFonts w:ascii="Arial" w:cs="Arial" w:eastAsia="Arial" w:hAnsi="Arial"/>
                <w:sz w:val="18"/>
                <w:szCs w:val="18"/>
                <w:color w:val="auto"/>
              </w:rPr>
              <w:t>”) that the</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Calculation Agent determines (by reference to such Section) would result in an</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5"/>
              </w:rPr>
              <w:t>adjustment under the Indenture, the Calculation Agent shall make a corresponding</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3"/>
              </w:rPr>
              <w:t>adjustment in respect of any one or more of the Strike Price, the Number of Options,</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8"/>
              </w:rPr>
              <w:t>the Option Entitlement and any other term relevant to the exercise, settlement or</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rPr>
              <w:t>payment of the Transaction, subject to “Discretionary Adjustments” below.</w:t>
            </w:r>
          </w:p>
        </w:tc>
      </w:tr>
      <w:tr>
        <w:trPr>
          <w:trHeight w:val="216"/>
        </w:trPr>
        <w:tc>
          <w:tcPr>
            <w:tcW w:w="4000" w:type="dxa"/>
            <w:vAlign w:val="bottom"/>
          </w:tcPr>
          <w:p>
            <w:pPr>
              <w:spacing w:after="0"/>
              <w:rPr>
                <w:sz w:val="18"/>
                <w:szCs w:val="18"/>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5"/>
              </w:rPr>
              <w:t>Immediately upon the occurrence of any Potential Adjustment Event, Counterparty</w:t>
            </w:r>
          </w:p>
        </w:tc>
      </w:tr>
      <w:tr>
        <w:trPr>
          <w:trHeight w:val="230"/>
        </w:trPr>
        <w:tc>
          <w:tcPr>
            <w:tcW w:w="4000" w:type="dxa"/>
            <w:vAlign w:val="bottom"/>
          </w:tcPr>
          <w:p>
            <w:pPr>
              <w:spacing w:after="0"/>
              <w:rPr>
                <w:sz w:val="20"/>
                <w:szCs w:val="20"/>
                <w:color w:val="auto"/>
              </w:rPr>
            </w:pPr>
          </w:p>
        </w:tc>
        <w:tc>
          <w:tcPr>
            <w:tcW w:w="7460" w:type="dxa"/>
            <w:vAlign w:val="bottom"/>
          </w:tcPr>
          <w:p>
            <w:pPr>
              <w:ind w:left="1160"/>
              <w:spacing w:after="0"/>
              <w:rPr>
                <w:sz w:val="20"/>
                <w:szCs w:val="20"/>
                <w:color w:val="auto"/>
              </w:rPr>
            </w:pPr>
            <w:r>
              <w:rPr>
                <w:rFonts w:ascii="Arial" w:cs="Arial" w:eastAsia="Arial" w:hAnsi="Arial"/>
                <w:sz w:val="18"/>
                <w:szCs w:val="18"/>
                <w:color w:val="auto"/>
                <w:w w:val="99"/>
              </w:rPr>
              <w:t>shall notify the Calculation Agent of such Potential Adjustment Event; and once</w:t>
            </w:r>
          </w:p>
        </w:tc>
      </w:tr>
      <w:tr>
        <w:trPr>
          <w:trHeight w:val="432"/>
        </w:trPr>
        <w:tc>
          <w:tcPr>
            <w:tcW w:w="4000" w:type="dxa"/>
            <w:vAlign w:val="bottom"/>
          </w:tcPr>
          <w:p>
            <w:pPr>
              <w:spacing w:after="0"/>
              <w:rPr>
                <w:sz w:val="24"/>
                <w:szCs w:val="24"/>
                <w:color w:val="auto"/>
              </w:rPr>
            </w:pPr>
          </w:p>
        </w:tc>
        <w:tc>
          <w:tcPr>
            <w:tcW w:w="7460" w:type="dxa"/>
            <w:vAlign w:val="bottom"/>
          </w:tcPr>
          <w:p>
            <w:pPr>
              <w:ind w:left="1620"/>
              <w:spacing w:after="0"/>
              <w:rPr>
                <w:sz w:val="20"/>
                <w:szCs w:val="20"/>
                <w:color w:val="auto"/>
              </w:rPr>
            </w:pPr>
            <w:r>
              <w:rPr>
                <w:rFonts w:ascii="Arial" w:cs="Arial" w:eastAsia="Arial" w:hAnsi="Arial"/>
                <w:sz w:val="18"/>
                <w:szCs w:val="18"/>
                <w:color w:val="auto"/>
              </w:rPr>
              <w:t>10</w:t>
            </w:r>
          </w:p>
        </w:tc>
      </w:tr>
      <w:tr>
        <w:trPr>
          <w:trHeight w:val="132"/>
        </w:trPr>
        <w:tc>
          <w:tcPr>
            <w:tcW w:w="4000" w:type="dxa"/>
            <w:vAlign w:val="bottom"/>
            <w:tcBorders>
              <w:bottom w:val="single" w:sz="8" w:color="808080"/>
            </w:tcBorders>
          </w:tcPr>
          <w:p>
            <w:pPr>
              <w:spacing w:after="0"/>
              <w:rPr>
                <w:sz w:val="11"/>
                <w:szCs w:val="11"/>
                <w:color w:val="auto"/>
              </w:rPr>
            </w:pPr>
          </w:p>
        </w:tc>
        <w:tc>
          <w:tcPr>
            <w:tcW w:w="7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80" w:name="page181"/>
    <w:bookmarkEnd w:id="180"/>
    <w:p>
      <w:pPr>
        <w:ind w:left="3960" w:right="140"/>
        <w:spacing w:after="0" w:line="259" w:lineRule="auto"/>
        <w:rPr>
          <w:sz w:val="20"/>
          <w:szCs w:val="20"/>
          <w:color w:val="auto"/>
        </w:rPr>
      </w:pPr>
      <w:r>
        <w:rPr>
          <w:rFonts w:ascii="Arial" w:cs="Arial" w:eastAsia="Arial" w:hAnsi="Arial"/>
          <w:sz w:val="18"/>
          <w:szCs w:val="18"/>
          <w:color w:val="auto"/>
        </w:rPr>
        <w:t>the adjustments to be made to the terms of the Indenture and the Convertible Securities in respect of such Potential Adjustment Event have been determined, Counterparty shall immediately notify the Calculation Agent in writing of the details of such adjustments.</w:t>
      </w:r>
    </w:p>
    <w:p>
      <w:pPr>
        <w:spacing w:after="0" w:line="18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Notwithstanding anything to the contrary herein or in the Equity Definitions:</w:t>
      </w:r>
    </w:p>
    <w:p>
      <w:pPr>
        <w:spacing w:after="0" w:line="225" w:lineRule="exact"/>
        <w:rPr>
          <w:sz w:val="20"/>
          <w:szCs w:val="20"/>
          <w:color w:val="auto"/>
        </w:rPr>
      </w:pPr>
    </w:p>
    <w:p>
      <w:pPr>
        <w:jc w:val="both"/>
        <w:ind w:left="4280" w:right="140" w:hanging="2"/>
        <w:spacing w:after="0" w:line="291" w:lineRule="auto"/>
        <w:tabs>
          <w:tab w:leader="none" w:pos="4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 connection with any Potential Adjustment Event as a result of an event or condition set forth in Section 5.05(A)(ii) of the Indenture or Section 5.05(A)(iii)</w:t>
      </w:r>
    </w:p>
    <w:p>
      <w:pPr>
        <w:ind w:left="4280" w:right="40"/>
        <w:spacing w:after="0" w:line="268" w:lineRule="auto"/>
        <w:rPr>
          <w:rFonts w:ascii="Arial" w:cs="Arial" w:eastAsia="Arial" w:hAnsi="Arial"/>
          <w:sz w:val="16"/>
          <w:szCs w:val="16"/>
          <w:color w:val="auto"/>
        </w:rPr>
      </w:pPr>
      <w:r>
        <w:rPr>
          <w:rFonts w:ascii="Arial" w:cs="Arial" w:eastAsia="Arial" w:hAnsi="Arial"/>
          <w:sz w:val="17"/>
          <w:szCs w:val="17"/>
          <w:color w:val="auto"/>
        </w:rPr>
        <w:t>(1)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 Event, then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event or condition not having been publicly announced prior to the beginning of such period; and</w:t>
      </w:r>
    </w:p>
    <w:p>
      <w:pPr>
        <w:spacing w:after="0" w:line="179" w:lineRule="exact"/>
        <w:rPr>
          <w:rFonts w:ascii="Arial" w:cs="Arial" w:eastAsia="Arial" w:hAnsi="Arial"/>
          <w:sz w:val="16"/>
          <w:szCs w:val="16"/>
          <w:color w:val="auto"/>
        </w:rPr>
      </w:pPr>
    </w:p>
    <w:p>
      <w:pPr>
        <w:ind w:left="4280" w:hanging="2"/>
        <w:spacing w:after="0" w:line="269" w:lineRule="auto"/>
        <w:tabs>
          <w:tab w:leader="none" w:pos="454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any Potential Adjustment Event is declared and (a) the event or condition giving rise to such Potential Adjustment Event is subsequently amended, modified, cancelled or abandoned, (b) the Conversion Rate is otherwise not adjusted at the time or in the manner contemplated by the Indenture based on such declaration or (c) the Conversion Rate is adjusted as a result of such Potential Adjustment Event and subsequently re-adjusted (each of clauses (a), (b) and (c), a “</w:t>
      </w:r>
      <w:r>
        <w:rPr>
          <w:rFonts w:ascii="Arial" w:cs="Arial" w:eastAsia="Arial" w:hAnsi="Arial"/>
          <w:sz w:val="17"/>
          <w:szCs w:val="17"/>
          <w:b w:val="1"/>
          <w:bCs w:val="1"/>
          <w:color w:val="auto"/>
        </w:rPr>
        <w:t>Potential Adjustment Event Change</w:t>
      </w:r>
      <w:r>
        <w:rPr>
          <w:rFonts w:ascii="Arial" w:cs="Arial" w:eastAsia="Arial" w:hAnsi="Arial"/>
          <w:sz w:val="17"/>
          <w:szCs w:val="17"/>
          <w:color w:val="auto"/>
        </w:rPr>
        <w:t>”),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Potential Adjustment Event Change.</w:t>
      </w:r>
    </w:p>
    <w:p>
      <w:pPr>
        <w:spacing w:after="0" w:line="180" w:lineRule="exact"/>
        <w:rPr>
          <w:sz w:val="20"/>
          <w:szCs w:val="20"/>
          <w:color w:val="auto"/>
        </w:rPr>
      </w:pPr>
    </w:p>
    <w:p>
      <w:pPr>
        <w:jc w:val="both"/>
        <w:ind w:left="3960" w:right="200"/>
        <w:spacing w:after="0" w:line="264" w:lineRule="auto"/>
        <w:rPr>
          <w:sz w:val="20"/>
          <w:szCs w:val="20"/>
          <w:color w:val="auto"/>
        </w:rPr>
      </w:pPr>
      <w:r>
        <w:rPr>
          <w:rFonts w:ascii="Arial" w:cs="Arial" w:eastAsia="Arial" w:hAnsi="Arial"/>
          <w:sz w:val="18"/>
          <w:szCs w:val="18"/>
          <w:color w:val="auto"/>
        </w:rPr>
        <w:t>Upon the occurrence of any Potential Adjustment Event Change, Counterparty shall immediately notify the Calculation Agent in writing of the details of such Potential Adjustment Event Change.</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For the avoidance of doubt, Dealer shall not have any</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5"/>
              </w:rPr>
              <w:t>payment or delivery obligation hereunder in respect of, and no adjustment shall be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9"/>
              </w:rPr>
              <w:t>made to the terms of the Transaction on account of, (x) any distribution of cash,</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property or securities by Counterparty to the holders of Convertible Securities (upon</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conversion or otherwise) or (y) any other transaction in which holders of Convertible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3"/>
              </w:rPr>
              <w:t>Securities are entitled to participate, in each case, in lieu of an adjustment under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7"/>
              </w:rPr>
              <w:t>Indenture in respect of a Potential Adjustment Event (including, without limitation,</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under the proviso to the first sentence of Section 5.05(A)(iii)(1) of the Indenture or the</w:t>
            </w:r>
          </w:p>
        </w:tc>
      </w:tr>
      <w:tr>
        <w:trPr>
          <w:trHeight w:val="230"/>
        </w:trPr>
        <w:tc>
          <w:tcPr>
            <w:tcW w:w="3900" w:type="dxa"/>
            <w:vAlign w:val="bottom"/>
          </w:tcPr>
          <w:p>
            <w:pPr>
              <w:spacing w:after="0"/>
              <w:rPr>
                <w:sz w:val="20"/>
                <w:szCs w:val="20"/>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proviso to the first sentence of Section 5.05(A)(iv) of the Indenture).</w:t>
            </w:r>
          </w:p>
        </w:tc>
      </w:tr>
      <w:tr>
        <w:trPr>
          <w:trHeight w:val="418"/>
        </w:trPr>
        <w:tc>
          <w:tcPr>
            <w:tcW w:w="3900" w:type="dxa"/>
            <w:vAlign w:val="bottom"/>
          </w:tcPr>
          <w:p>
            <w:pPr>
              <w:ind w:left="660"/>
              <w:spacing w:after="0"/>
              <w:rPr>
                <w:sz w:val="20"/>
                <w:szCs w:val="20"/>
                <w:color w:val="auto"/>
              </w:rPr>
            </w:pPr>
            <w:r>
              <w:rPr>
                <w:rFonts w:ascii="Arial" w:cs="Arial" w:eastAsia="Arial" w:hAnsi="Arial"/>
                <w:sz w:val="18"/>
                <w:szCs w:val="18"/>
                <w:color w:val="auto"/>
              </w:rPr>
              <w:t>Discretionary Adjustments:</w:t>
            </w:r>
          </w:p>
        </w:tc>
        <w:tc>
          <w:tcPr>
            <w:tcW w:w="7560" w:type="dxa"/>
            <w:vAlign w:val="bottom"/>
          </w:tcPr>
          <w:p>
            <w:pPr>
              <w:ind w:left="1260"/>
              <w:spacing w:after="0"/>
              <w:rPr>
                <w:sz w:val="20"/>
                <w:szCs w:val="20"/>
                <w:color w:val="auto"/>
              </w:rPr>
            </w:pPr>
            <w:r>
              <w:rPr>
                <w:rFonts w:ascii="Arial" w:cs="Arial" w:eastAsia="Arial" w:hAnsi="Arial"/>
                <w:sz w:val="18"/>
                <w:szCs w:val="18"/>
                <w:color w:val="auto"/>
                <w:w w:val="98"/>
              </w:rPr>
              <w:t>Notwithstanding anything to the contrary herein or in the Equity Definitions, if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6"/>
              </w:rPr>
              <w:t>Calculation Agent in good faith disagrees with any adjustment under the Indenture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that involves an exercise of discretion by Counterparty or its board of directors</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(including, without limitation, pursuant to Section 5.05(H) of the Indenture or</w:t>
            </w:r>
          </w:p>
        </w:tc>
      </w:tr>
      <w:tr>
        <w:trPr>
          <w:trHeight w:val="212"/>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pursuant to Section 5.08(A) of the Indenture or any supplemental indenture entered</w:t>
            </w:r>
          </w:p>
        </w:tc>
      </w:tr>
      <w:tr>
        <w:trPr>
          <w:trHeight w:val="220"/>
        </w:trPr>
        <w:tc>
          <w:tcPr>
            <w:tcW w:w="3900" w:type="dxa"/>
            <w:vAlign w:val="bottom"/>
          </w:tcPr>
          <w:p>
            <w:pPr>
              <w:spacing w:after="0"/>
              <w:rPr>
                <w:sz w:val="19"/>
                <w:szCs w:val="19"/>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9"/>
              </w:rPr>
              <w:t>into thereunder (a “</w:t>
            </w:r>
            <w:r>
              <w:rPr>
                <w:rFonts w:ascii="Arial" w:cs="Arial" w:eastAsia="Arial" w:hAnsi="Arial"/>
                <w:sz w:val="18"/>
                <w:szCs w:val="18"/>
                <w:b w:val="1"/>
                <w:bCs w:val="1"/>
                <w:color w:val="auto"/>
                <w:w w:val="99"/>
              </w:rPr>
              <w:t>Merger Supplemental Indenture</w:t>
            </w:r>
            <w:r>
              <w:rPr>
                <w:rFonts w:ascii="Arial" w:cs="Arial" w:eastAsia="Arial" w:hAnsi="Arial"/>
                <w:sz w:val="18"/>
                <w:szCs w:val="18"/>
                <w:color w:val="auto"/>
                <w:w w:val="99"/>
              </w:rPr>
              <w:t>”) or in connection with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determination of the fair value of any securities, property, rights or other assets), then</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the Calculation Agent will determine the adjustment to be made to any one or more of</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the Strike Price, Number of Options, Option Entitlement and any other variable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9"/>
              </w:rPr>
              <w:t>relevant to the exercise, settlement or payment of or under the Transaction in a</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commercially reasonable manner and, for the avoidance of doubt, the Delivery</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6"/>
              </w:rPr>
              <w:t>Obligation shall be calculated on the basis of such adjustments by the Calculation</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8"/>
              </w:rPr>
              <w:t xml:space="preserve">Agent; </w:t>
            </w:r>
            <w:r>
              <w:rPr>
                <w:rFonts w:ascii="Arial" w:cs="Arial" w:eastAsia="Arial" w:hAnsi="Arial"/>
                <w:sz w:val="18"/>
                <w:szCs w:val="18"/>
                <w:i w:val="1"/>
                <w:iCs w:val="1"/>
                <w:color w:val="auto"/>
                <w:w w:val="98"/>
              </w:rPr>
              <w:t>provided</w:t>
            </w:r>
            <w:r>
              <w:rPr>
                <w:rFonts w:ascii="Arial" w:cs="Arial" w:eastAsia="Arial" w:hAnsi="Arial"/>
                <w:sz w:val="18"/>
                <w:szCs w:val="18"/>
                <w:color w:val="auto"/>
                <w:w w:val="98"/>
              </w:rPr>
              <w:t xml:space="preserve"> that, notwithstanding the foregoing, in any Potential Adjustment</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5"/>
              </w:rPr>
              <w:t>Event occurs during the Cash Settlement Averaging Period but no adjustment was</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5"/>
              </w:rPr>
              <w:t>made to any Convertible Note under the Indenture because the relevant Holder (as</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such term is defined in the Indenture) was deemed to be a record holder of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underlying Shares on the related Conversion Date, then the Calculation Agent shall</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4"/>
              </w:rPr>
              <w:t>made an adjustment, as determined by it, to the terms hereof in order to account for</w:t>
            </w:r>
          </w:p>
        </w:tc>
      </w:tr>
      <w:tr>
        <w:trPr>
          <w:trHeight w:val="230"/>
        </w:trPr>
        <w:tc>
          <w:tcPr>
            <w:tcW w:w="3900" w:type="dxa"/>
            <w:vAlign w:val="bottom"/>
          </w:tcPr>
          <w:p>
            <w:pPr>
              <w:spacing w:after="0"/>
              <w:rPr>
                <w:sz w:val="20"/>
                <w:szCs w:val="20"/>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such Potential Adjustment Event.</w:t>
            </w:r>
          </w:p>
        </w:tc>
      </w:tr>
      <w:tr>
        <w:trPr>
          <w:trHeight w:val="418"/>
        </w:trPr>
        <w:tc>
          <w:tcPr>
            <w:tcW w:w="3900" w:type="dxa"/>
            <w:vAlign w:val="bottom"/>
          </w:tcPr>
          <w:p>
            <w:pPr>
              <w:ind w:left="660"/>
              <w:spacing w:after="0"/>
              <w:rPr>
                <w:sz w:val="20"/>
                <w:szCs w:val="20"/>
                <w:color w:val="auto"/>
              </w:rPr>
            </w:pPr>
            <w:r>
              <w:rPr>
                <w:rFonts w:ascii="Arial" w:cs="Arial" w:eastAsia="Arial" w:hAnsi="Arial"/>
                <w:sz w:val="18"/>
                <w:szCs w:val="18"/>
                <w:color w:val="auto"/>
              </w:rPr>
              <w:t>Dividends:</w:t>
            </w: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If (i) at any time during the period from and including the Trade Date, to but excluding</w:t>
            </w:r>
          </w:p>
        </w:tc>
      </w:tr>
      <w:tr>
        <w:trPr>
          <w:trHeight w:val="212"/>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3"/>
              </w:rPr>
              <w:t>the Expiration Date, an ex-dividend date for a regular quarterly cash dividend occurs</w:t>
            </w:r>
          </w:p>
        </w:tc>
      </w:tr>
      <w:tr>
        <w:trPr>
          <w:trHeight w:val="220"/>
        </w:trPr>
        <w:tc>
          <w:tcPr>
            <w:tcW w:w="3900" w:type="dxa"/>
            <w:vAlign w:val="bottom"/>
          </w:tcPr>
          <w:p>
            <w:pPr>
              <w:spacing w:after="0"/>
              <w:rPr>
                <w:sz w:val="19"/>
                <w:szCs w:val="19"/>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2"/>
              </w:rPr>
              <w:t>with respect to the Shares (an “</w:t>
            </w:r>
            <w:r>
              <w:rPr>
                <w:rFonts w:ascii="Arial" w:cs="Arial" w:eastAsia="Arial" w:hAnsi="Arial"/>
                <w:sz w:val="18"/>
                <w:szCs w:val="18"/>
                <w:b w:val="1"/>
                <w:bCs w:val="1"/>
                <w:color w:val="auto"/>
                <w:w w:val="92"/>
              </w:rPr>
              <w:t>Ex-Dividend Date</w:t>
            </w:r>
            <w:r>
              <w:rPr>
                <w:rFonts w:ascii="Arial" w:cs="Arial" w:eastAsia="Arial" w:hAnsi="Arial"/>
                <w:sz w:val="18"/>
                <w:szCs w:val="18"/>
                <w:color w:val="auto"/>
                <w:w w:val="92"/>
              </w:rPr>
              <w:t>”) and that dividend is less than the</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Regular Dividend on a per Share basis or (ii) no Ex-Dividend Date for a regular</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w w:val="95"/>
              </w:rPr>
              <w:t>quarterly cash dividend occurs with respect to the Shares in any quarterly dividend</w:t>
            </w:r>
          </w:p>
        </w:tc>
      </w:tr>
      <w:tr>
        <w:trPr>
          <w:trHeight w:val="216"/>
        </w:trPr>
        <w:tc>
          <w:tcPr>
            <w:tcW w:w="3900" w:type="dxa"/>
            <w:vAlign w:val="bottom"/>
          </w:tcPr>
          <w:p>
            <w:pPr>
              <w:spacing w:after="0"/>
              <w:rPr>
                <w:sz w:val="18"/>
                <w:szCs w:val="18"/>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period of Counterparty, then the Calculation Agent will make a corresponding</w:t>
            </w:r>
          </w:p>
        </w:tc>
      </w:tr>
      <w:tr>
        <w:trPr>
          <w:trHeight w:val="230"/>
        </w:trPr>
        <w:tc>
          <w:tcPr>
            <w:tcW w:w="3900" w:type="dxa"/>
            <w:vAlign w:val="bottom"/>
          </w:tcPr>
          <w:p>
            <w:pPr>
              <w:spacing w:after="0"/>
              <w:rPr>
                <w:sz w:val="20"/>
                <w:szCs w:val="20"/>
                <w:color w:val="auto"/>
              </w:rPr>
            </w:pPr>
          </w:p>
        </w:tc>
        <w:tc>
          <w:tcPr>
            <w:tcW w:w="7560" w:type="dxa"/>
            <w:vAlign w:val="bottom"/>
          </w:tcPr>
          <w:p>
            <w:pPr>
              <w:ind w:left="1260"/>
              <w:spacing w:after="0"/>
              <w:rPr>
                <w:sz w:val="20"/>
                <w:szCs w:val="20"/>
                <w:color w:val="auto"/>
              </w:rPr>
            </w:pPr>
            <w:r>
              <w:rPr>
                <w:rFonts w:ascii="Arial" w:cs="Arial" w:eastAsia="Arial" w:hAnsi="Arial"/>
                <w:sz w:val="18"/>
                <w:szCs w:val="18"/>
                <w:color w:val="auto"/>
              </w:rPr>
              <w:t>adjustment in respect of any one or more of the Strike</w:t>
            </w:r>
          </w:p>
        </w:tc>
      </w:tr>
      <w:tr>
        <w:trPr>
          <w:trHeight w:val="432"/>
        </w:trPr>
        <w:tc>
          <w:tcPr>
            <w:tcW w:w="3900" w:type="dxa"/>
            <w:vAlign w:val="bottom"/>
          </w:tcPr>
          <w:p>
            <w:pPr>
              <w:spacing w:after="0"/>
              <w:rPr>
                <w:sz w:val="24"/>
                <w:szCs w:val="24"/>
                <w:color w:val="auto"/>
              </w:rPr>
            </w:pPr>
          </w:p>
        </w:tc>
        <w:tc>
          <w:tcPr>
            <w:tcW w:w="7560" w:type="dxa"/>
            <w:vAlign w:val="bottom"/>
          </w:tcPr>
          <w:p>
            <w:pPr>
              <w:ind w:left="1720"/>
              <w:spacing w:after="0"/>
              <w:rPr>
                <w:sz w:val="20"/>
                <w:szCs w:val="20"/>
                <w:color w:val="auto"/>
              </w:rPr>
            </w:pPr>
            <w:r>
              <w:rPr>
                <w:rFonts w:ascii="Arial" w:cs="Arial" w:eastAsia="Arial" w:hAnsi="Arial"/>
                <w:sz w:val="18"/>
                <w:szCs w:val="18"/>
                <w:color w:val="auto"/>
              </w:rPr>
              <w:t>12</w:t>
            </w:r>
          </w:p>
        </w:tc>
      </w:tr>
      <w:tr>
        <w:trPr>
          <w:trHeight w:val="132"/>
        </w:trPr>
        <w:tc>
          <w:tcPr>
            <w:tcW w:w="3900" w:type="dxa"/>
            <w:vAlign w:val="bottom"/>
            <w:tcBorders>
              <w:bottom w:val="single" w:sz="8" w:color="808080"/>
            </w:tcBorders>
          </w:tcPr>
          <w:p>
            <w:pPr>
              <w:spacing w:after="0"/>
              <w:rPr>
                <w:sz w:val="11"/>
                <w:szCs w:val="11"/>
                <w:color w:val="auto"/>
              </w:rPr>
            </w:pPr>
          </w:p>
        </w:tc>
        <w:tc>
          <w:tcPr>
            <w:tcW w:w="7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Price, the Number of Options, the Option Entitlement and any other term relevant to</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the exercise, settlement or payment of the Transaction to account for the economic</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effect on the Transaction of such dividend or lack thereof, and, for the avoidance of</w:t>
            </w:r>
          </w:p>
        </w:tc>
      </w:tr>
      <w:tr>
        <w:trPr>
          <w:trHeight w:val="212"/>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doubt, any such adjustments shall be taken into account in calculating the Delivery</w:t>
            </w:r>
          </w:p>
        </w:tc>
      </w:tr>
      <w:tr>
        <w:trPr>
          <w:trHeight w:val="234"/>
        </w:trPr>
        <w:tc>
          <w:tcPr>
            <w:tcW w:w="410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Obligation. “</w:t>
            </w:r>
            <w:r>
              <w:rPr>
                <w:rFonts w:ascii="Arial" w:cs="Arial" w:eastAsia="Arial" w:hAnsi="Arial"/>
                <w:sz w:val="18"/>
                <w:szCs w:val="18"/>
                <w:b w:val="1"/>
                <w:bCs w:val="1"/>
                <w:color w:val="auto"/>
              </w:rPr>
              <w:t>Regular Dividend</w:t>
            </w:r>
            <w:r>
              <w:rPr>
                <w:rFonts w:ascii="Arial" w:cs="Arial" w:eastAsia="Arial" w:hAnsi="Arial"/>
                <w:sz w:val="18"/>
                <w:szCs w:val="18"/>
                <w:color w:val="auto"/>
              </w:rPr>
              <w:t>” shall mean USD0.11 per Share.</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Notice of Certain Other Events:</w:t>
            </w: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Counterparty shall give Dealer commercially reasonable advance (but in no event less</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than one Exchange Business Day) written notice of the section or sections of the</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Indenture and, if applicable, the formula therein, pursuant to which any adjustment</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will be made to the Convertible Securities in connection with any Potential</w:t>
            </w:r>
          </w:p>
        </w:tc>
      </w:tr>
      <w:tr>
        <w:trPr>
          <w:trHeight w:val="230"/>
        </w:trPr>
        <w:tc>
          <w:tcPr>
            <w:tcW w:w="410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Adjustment Event, Merger Event or Tender Offer.</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Extraordinary Events:</w:t>
            </w:r>
          </w:p>
        </w:tc>
        <w:tc>
          <w:tcPr>
            <w:tcW w:w="7360" w:type="dxa"/>
            <w:vAlign w:val="bottom"/>
          </w:tcPr>
          <w:p>
            <w:pPr>
              <w:spacing w:after="0"/>
              <w:rPr>
                <w:sz w:val="24"/>
                <w:szCs w:val="24"/>
                <w:color w:val="auto"/>
              </w:rPr>
            </w:pP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Merger Events:</w:t>
            </w: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Notwithstanding Section 12.1(b) of the Equity Definitions, “Merger Event” shall mean</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the occurrence of any event or condition set forth in the definition of “Common Stock</w:t>
            </w:r>
          </w:p>
        </w:tc>
      </w:tr>
      <w:tr>
        <w:trPr>
          <w:trHeight w:val="230"/>
        </w:trPr>
        <w:tc>
          <w:tcPr>
            <w:tcW w:w="410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Change Event” as set forth in Section 5.08(A) of the Indenture.</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Consequences of Merger Events:</w:t>
            </w: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Notwithstanding Section 12.2 of the Equity Definitions, upon the occurrence of a</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Merger Event, the Calculation Agent shall make an adjustment to the terms relevant to</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0"/>
              </w:rPr>
              <w:t>the exercise, settlement or payment of the Transaction corresponding to the adjustment</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required under Section 5.08 of the Indenture in respect of such Merger Event, as</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determined by the Calculation Agent (by reference to such Section), subject to</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 xml:space="preserve">“Discretionary Adjustments” above;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such adjustment shall be made</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without regard to any adjustment to the Conversion Rate pursuant to a Fundamental</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 xml:space="preserve">Change Adjustment or a Discretionary Adjustment; and </w:t>
            </w:r>
            <w:r>
              <w:rPr>
                <w:rFonts w:ascii="Arial" w:cs="Arial" w:eastAsia="Arial" w:hAnsi="Arial"/>
                <w:sz w:val="18"/>
                <w:szCs w:val="18"/>
                <w:i w:val="1"/>
                <w:iCs w:val="1"/>
                <w:color w:val="auto"/>
                <w:w w:val="98"/>
              </w:rPr>
              <w:t>provided further</w:t>
            </w:r>
            <w:r>
              <w:rPr>
                <w:rFonts w:ascii="Arial" w:cs="Arial" w:eastAsia="Arial" w:hAnsi="Arial"/>
                <w:sz w:val="18"/>
                <w:szCs w:val="18"/>
                <w:color w:val="auto"/>
                <w:w w:val="98"/>
              </w:rPr>
              <w:t xml:space="preserve"> that the</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Calculation Agent may make such further adjustments to the terms of the Transaction</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as may be necessary to ensure that the fair value of the Transaction to Dealer is not</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adversely affected as a result of any adjustment referenced in this paragraph and, for</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the avoidance of doubt, any such further adjustments shall be taken into account in</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9"/>
              </w:rPr>
              <w:t xml:space="preserve">calculating the Delivery Obligation; and </w:t>
            </w:r>
            <w:r>
              <w:rPr>
                <w:rFonts w:ascii="Arial" w:cs="Arial" w:eastAsia="Arial" w:hAnsi="Arial"/>
                <w:sz w:val="18"/>
                <w:szCs w:val="18"/>
                <w:i w:val="1"/>
                <w:iCs w:val="1"/>
                <w:color w:val="auto"/>
                <w:w w:val="99"/>
              </w:rPr>
              <w:t>provided further</w:t>
            </w:r>
            <w:r>
              <w:rPr>
                <w:rFonts w:ascii="Arial" w:cs="Arial" w:eastAsia="Arial" w:hAnsi="Arial"/>
                <w:sz w:val="18"/>
                <w:szCs w:val="18"/>
                <w:color w:val="auto"/>
                <w:w w:val="99"/>
              </w:rPr>
              <w:t xml:space="preserve"> that if, with respect to a</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Merger Event, (i) the consideration for the Shares includes (or, at the option of a</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holder of Shares, may include) shares of an entity or person that is not a corporation</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organized under the laws of the United States, any state thereof or the District of</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6"/>
              </w:rPr>
              <w:t>Columbia or (ii) the Counterparty to the Transaction, following such Merger Event,</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will not be a corporation organized under the laws of the United States, any state</w:t>
            </w:r>
          </w:p>
        </w:tc>
      </w:tr>
      <w:tr>
        <w:trPr>
          <w:trHeight w:val="216"/>
        </w:trPr>
        <w:tc>
          <w:tcPr>
            <w:tcW w:w="410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thereof or the District of Columbia and/or will not be the Issuer, Dealer may elect in its</w:t>
            </w:r>
          </w:p>
        </w:tc>
      </w:tr>
      <w:tr>
        <w:trPr>
          <w:trHeight w:val="230"/>
        </w:trPr>
        <w:tc>
          <w:tcPr>
            <w:tcW w:w="410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sole discretion that</w:t>
            </w:r>
          </w:p>
        </w:tc>
      </w:tr>
      <w:tr>
        <w:trPr>
          <w:trHeight w:val="432"/>
        </w:trPr>
        <w:tc>
          <w:tcPr>
            <w:tcW w:w="4100" w:type="dxa"/>
            <w:vAlign w:val="bottom"/>
          </w:tcPr>
          <w:p>
            <w:pPr>
              <w:spacing w:after="0"/>
              <w:rPr>
                <w:sz w:val="24"/>
                <w:szCs w:val="24"/>
                <w:color w:val="auto"/>
              </w:rPr>
            </w:pPr>
          </w:p>
        </w:tc>
        <w:tc>
          <w:tcPr>
            <w:tcW w:w="7360" w:type="dxa"/>
            <w:vAlign w:val="bottom"/>
          </w:tcPr>
          <w:p>
            <w:pPr>
              <w:ind w:left="1520"/>
              <w:spacing w:after="0"/>
              <w:rPr>
                <w:sz w:val="20"/>
                <w:szCs w:val="20"/>
                <w:color w:val="auto"/>
              </w:rPr>
            </w:pPr>
            <w:r>
              <w:rPr>
                <w:rFonts w:ascii="Arial" w:cs="Arial" w:eastAsia="Arial" w:hAnsi="Arial"/>
                <w:sz w:val="18"/>
                <w:szCs w:val="18"/>
                <w:color w:val="auto"/>
              </w:rPr>
              <w:t>13</w:t>
            </w:r>
          </w:p>
        </w:tc>
      </w:tr>
      <w:tr>
        <w:trPr>
          <w:trHeight w:val="132"/>
        </w:trPr>
        <w:tc>
          <w:tcPr>
            <w:tcW w:w="4100" w:type="dxa"/>
            <w:vAlign w:val="bottom"/>
            <w:tcBorders>
              <w:bottom w:val="single" w:sz="8" w:color="808080"/>
            </w:tcBorders>
          </w:tcPr>
          <w:p>
            <w:pPr>
              <w:spacing w:after="0"/>
              <w:rPr>
                <w:sz w:val="11"/>
                <w:szCs w:val="11"/>
                <w:color w:val="auto"/>
              </w:rPr>
            </w:pPr>
          </w:p>
        </w:tc>
        <w:tc>
          <w:tcPr>
            <w:tcW w:w="7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Cancellation and Payment (Calculation Agent Determination) shall apply.</w:t>
            </w:r>
          </w:p>
        </w:tc>
      </w:tr>
      <w:tr>
        <w:trPr>
          <w:trHeight w:val="418"/>
        </w:trPr>
        <w:tc>
          <w:tcPr>
            <w:tcW w:w="4780" w:type="dxa"/>
            <w:vAlign w:val="bottom"/>
          </w:tcPr>
          <w:p>
            <w:pPr>
              <w:ind w:left="660"/>
              <w:spacing w:after="0"/>
              <w:rPr>
                <w:sz w:val="20"/>
                <w:szCs w:val="20"/>
                <w:color w:val="auto"/>
              </w:rPr>
            </w:pPr>
            <w:r>
              <w:rPr>
                <w:rFonts w:ascii="Arial" w:cs="Arial" w:eastAsia="Arial" w:hAnsi="Arial"/>
                <w:sz w:val="18"/>
                <w:szCs w:val="18"/>
                <w:color w:val="auto"/>
                <w:w w:val="98"/>
              </w:rPr>
              <w:t>Notice of Merger Consideration and Consequences:</w:t>
            </w: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Upon the occurrence of a Merger Event, Counterparty shall reasonably promptly (but</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2"/>
              </w:rPr>
              <w:t>in any event prior to the relevant merger date) notify the Calculation Agent of (i) in the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0"/>
              </w:rPr>
              <w:t>case of a Merger Event that causes the Shares to be converted into the right to receive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more than a single type of consideration (determined based in part upon any form of</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1"/>
              </w:rPr>
              <w:t>stockholder election), the types and amount of consideration actually received by such</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0"/>
              </w:rPr>
              <w:t>holders, and (ii) the details of the adjustment to be made under the Indenture in respect</w:t>
            </w:r>
          </w:p>
        </w:tc>
      </w:t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of such Merger Event.</w:t>
            </w:r>
          </w:p>
        </w:tc>
      </w:tr>
      <w:tr>
        <w:trPr>
          <w:trHeight w:val="418"/>
        </w:trPr>
        <w:tc>
          <w:tcPr>
            <w:tcW w:w="4780" w:type="dxa"/>
            <w:vAlign w:val="bottom"/>
          </w:tcPr>
          <w:p>
            <w:pPr>
              <w:ind w:left="660"/>
              <w:spacing w:after="0"/>
              <w:rPr>
                <w:sz w:val="20"/>
                <w:szCs w:val="20"/>
                <w:color w:val="auto"/>
              </w:rPr>
            </w:pPr>
            <w:r>
              <w:rPr>
                <w:rFonts w:ascii="Arial" w:cs="Arial" w:eastAsia="Arial" w:hAnsi="Arial"/>
                <w:sz w:val="18"/>
                <w:szCs w:val="18"/>
                <w:color w:val="auto"/>
              </w:rPr>
              <w:t>Nationalization, Insolvency or Delisting:</w:t>
            </w:r>
          </w:p>
        </w:tc>
        <w:tc>
          <w:tcPr>
            <w:tcW w:w="6680" w:type="dxa"/>
            <w:vAlign w:val="bottom"/>
          </w:tcPr>
          <w:p>
            <w:pPr>
              <w:ind w:left="38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6"/>
              </w:rPr>
              <w:t>addition to the provisions of Section 12.6(a)(iii) of the Equity Definitions, it will also</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1"/>
              </w:rPr>
              <w:t>constitute a Delisting if the Shares are not immediately re-listed, re-traded or re-quoted</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on any of the New York Stock Exchange, The NASDAQ Global Select Market or The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NASDAQ Global Market (or their respective successors); if the Shares are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8"/>
              </w:rPr>
              <w:t>immediately re-listed, re-traded or re-quoted on any such exchange or quotation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7"/>
              </w:rPr>
              <w:t>system, such exchange or quotation system shall thereafter be deemed to be the</w:t>
            </w:r>
          </w:p>
        </w:tc>
      </w:t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Exchange.</w:t>
            </w:r>
          </w:p>
        </w:tc>
      </w:tr>
      <w:tr>
        <w:trPr>
          <w:trHeight w:val="418"/>
        </w:trPr>
        <w:tc>
          <w:tcPr>
            <w:tcW w:w="4780" w:type="dxa"/>
            <w:vAlign w:val="bottom"/>
          </w:tcPr>
          <w:p>
            <w:pPr>
              <w:ind w:left="660"/>
              <w:spacing w:after="0"/>
              <w:rPr>
                <w:sz w:val="20"/>
                <w:szCs w:val="20"/>
                <w:color w:val="auto"/>
              </w:rPr>
            </w:pPr>
            <w:r>
              <w:rPr>
                <w:rFonts w:ascii="Arial" w:cs="Arial" w:eastAsia="Arial" w:hAnsi="Arial"/>
                <w:sz w:val="18"/>
                <w:szCs w:val="18"/>
                <w:color w:val="auto"/>
              </w:rPr>
              <w:t>Additional Termination Event(s):</w:t>
            </w: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Notwithstanding anything to the contrary in the Equity Definitions, if, as a result of an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5"/>
              </w:rPr>
              <w:t>Extraordinary Event, the Transaction would be cancelled or terminated (whether in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whole or in part) pursuant to Article 12 of the Equity Definitions, an Additional</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Termination Event (with the Transaction (or the cancelled or terminated portion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7"/>
              </w:rPr>
              <w:t>thereof) being the Affected Transaction and Counterparty being the sole Affected</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5"/>
              </w:rPr>
              <w:t>Party) shall be deemed to occur, and, in lieu of Sections 12.7, 12.8 and 12.9 of the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Equity Definitions, Section 6 of the Agreement shall apply to such Affected</w:t>
            </w:r>
          </w:p>
        </w:tc>
      </w:t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Transaction.</w:t>
            </w:r>
          </w:p>
        </w:tc>
      </w:tr>
      <w:tr>
        <w:trPr>
          <w:trHeight w:val="432"/>
        </w:trPr>
        <w:tc>
          <w:tcPr>
            <w:tcW w:w="4780" w:type="dxa"/>
            <w:vAlign w:val="bottom"/>
          </w:tcPr>
          <w:p>
            <w:pPr>
              <w:ind w:left="660"/>
              <w:spacing w:after="0"/>
              <w:rPr>
                <w:sz w:val="20"/>
                <w:szCs w:val="20"/>
                <w:color w:val="auto"/>
              </w:rPr>
            </w:pPr>
            <w:r>
              <w:rPr>
                <w:rFonts w:ascii="Arial" w:cs="Arial" w:eastAsia="Arial" w:hAnsi="Arial"/>
                <w:sz w:val="18"/>
                <w:szCs w:val="18"/>
                <w:color w:val="auto"/>
              </w:rPr>
              <w:t>Additional Disruption Events:</w:t>
            </w:r>
          </w:p>
        </w:tc>
        <w:tc>
          <w:tcPr>
            <w:tcW w:w="6680" w:type="dxa"/>
            <w:vAlign w:val="bottom"/>
          </w:tcPr>
          <w:p>
            <w:pPr>
              <w:spacing w:after="0"/>
              <w:rPr>
                <w:sz w:val="24"/>
                <w:szCs w:val="24"/>
                <w:color w:val="auto"/>
              </w:rPr>
            </w:pPr>
          </w:p>
        </w:tc>
      </w:tr>
      <w:tr>
        <w:trPr>
          <w:trHeight w:val="418"/>
        </w:trPr>
        <w:tc>
          <w:tcPr>
            <w:tcW w:w="4780" w:type="dxa"/>
            <w:vAlign w:val="bottom"/>
          </w:tcPr>
          <w:p>
            <w:pPr>
              <w:ind w:left="980"/>
              <w:spacing w:after="0"/>
              <w:rPr>
                <w:sz w:val="20"/>
                <w:szCs w:val="20"/>
                <w:color w:val="auto"/>
              </w:rPr>
            </w:pPr>
            <w:r>
              <w:rPr>
                <w:rFonts w:ascii="Arial" w:cs="Arial" w:eastAsia="Arial" w:hAnsi="Arial"/>
                <w:sz w:val="18"/>
                <w:szCs w:val="18"/>
                <w:color w:val="auto"/>
              </w:rPr>
              <w:t>(a) Change in Law:</w:t>
            </w:r>
          </w:p>
        </w:tc>
        <w:tc>
          <w:tcPr>
            <w:tcW w:w="6680" w:type="dxa"/>
            <w:vAlign w:val="bottom"/>
          </w:tcPr>
          <w:p>
            <w:pPr>
              <w:ind w:left="3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is hereby</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5"/>
              </w:rPr>
              <w:t>amended by (i) replacing the phrase “the interpretation” in the third line thereof with</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the phrase “, or public announcement of, the formal or informal interpretation”, (ii) by</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adding the phrase “and/or Hedge Position” after the word “Shares” in clause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(X) thereof and (iii) by immediately following the word “Transaction” in clause</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(X) thereof, adding the phrase “in the manner contemplated by the Hedging Party on</w:t>
            </w:r>
          </w:p>
        </w:tc>
      </w:tr>
      <w:tr>
        <w:trPr>
          <w:trHeight w:val="216"/>
        </w:trPr>
        <w:tc>
          <w:tcPr>
            <w:tcW w:w="4780" w:type="dxa"/>
            <w:vAlign w:val="bottom"/>
          </w:tcPr>
          <w:p>
            <w:pPr>
              <w:spacing w:after="0"/>
              <w:rPr>
                <w:sz w:val="18"/>
                <w:szCs w:val="18"/>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w w:val="93"/>
              </w:rPr>
              <w:t xml:space="preserve">the Trade Date”; and </w:t>
            </w:r>
            <w:r>
              <w:rPr>
                <w:rFonts w:ascii="Arial" w:cs="Arial" w:eastAsia="Arial" w:hAnsi="Arial"/>
                <w:sz w:val="18"/>
                <w:szCs w:val="18"/>
                <w:i w:val="1"/>
                <w:iCs w:val="1"/>
                <w:color w:val="auto"/>
                <w:w w:val="93"/>
              </w:rPr>
              <w:t>provided further</w:t>
            </w:r>
            <w:r>
              <w:rPr>
                <w:rFonts w:ascii="Arial" w:cs="Arial" w:eastAsia="Arial" w:hAnsi="Arial"/>
                <w:sz w:val="18"/>
                <w:szCs w:val="18"/>
                <w:color w:val="auto"/>
                <w:w w:val="93"/>
              </w:rPr>
              <w:t xml:space="preserve"> that Section 12.9(a)(ii) of the Equity Definitions</w:t>
            </w:r>
          </w:p>
        </w:tc>
      </w:tr>
      <w:tr>
        <w:trPr>
          <w:trHeight w:val="230"/>
        </w:trPr>
        <w:tc>
          <w:tcPr>
            <w:tcW w:w="4780" w:type="dxa"/>
            <w:vAlign w:val="bottom"/>
          </w:tcPr>
          <w:p>
            <w:pPr>
              <w:spacing w:after="0"/>
              <w:rPr>
                <w:sz w:val="20"/>
                <w:szCs w:val="20"/>
                <w:color w:val="auto"/>
              </w:rPr>
            </w:pPr>
          </w:p>
        </w:tc>
        <w:tc>
          <w:tcPr>
            <w:tcW w:w="6680" w:type="dxa"/>
            <w:vAlign w:val="bottom"/>
          </w:tcPr>
          <w:p>
            <w:pPr>
              <w:ind w:left="380"/>
              <w:spacing w:after="0"/>
              <w:rPr>
                <w:sz w:val="20"/>
                <w:szCs w:val="20"/>
                <w:color w:val="auto"/>
              </w:rPr>
            </w:pPr>
            <w:r>
              <w:rPr>
                <w:rFonts w:ascii="Arial" w:cs="Arial" w:eastAsia="Arial" w:hAnsi="Arial"/>
                <w:sz w:val="18"/>
                <w:szCs w:val="18"/>
                <w:color w:val="auto"/>
              </w:rPr>
              <w:t>is hereby amended by (i) replacing the parenthetical beginning after the word</w:t>
            </w:r>
          </w:p>
        </w:tc>
      </w:tr>
      <w:tr>
        <w:trPr>
          <w:trHeight w:val="432"/>
        </w:trPr>
        <w:tc>
          <w:tcPr>
            <w:tcW w:w="4780" w:type="dxa"/>
            <w:vAlign w:val="bottom"/>
          </w:tcPr>
          <w:p>
            <w:pPr>
              <w:spacing w:after="0"/>
              <w:rPr>
                <w:sz w:val="24"/>
                <w:szCs w:val="24"/>
                <w:color w:val="auto"/>
              </w:rPr>
            </w:pPr>
          </w:p>
        </w:tc>
        <w:tc>
          <w:tcPr>
            <w:tcW w:w="6680" w:type="dxa"/>
            <w:vAlign w:val="bottom"/>
          </w:tcPr>
          <w:p>
            <w:pPr>
              <w:ind w:left="840"/>
              <w:spacing w:after="0"/>
              <w:rPr>
                <w:sz w:val="20"/>
                <w:szCs w:val="20"/>
                <w:color w:val="auto"/>
              </w:rPr>
            </w:pPr>
            <w:r>
              <w:rPr>
                <w:rFonts w:ascii="Arial" w:cs="Arial" w:eastAsia="Arial" w:hAnsi="Arial"/>
                <w:sz w:val="18"/>
                <w:szCs w:val="18"/>
                <w:color w:val="auto"/>
              </w:rPr>
              <w:t>14</w:t>
            </w:r>
          </w:p>
        </w:tc>
      </w:tr>
      <w:tr>
        <w:trPr>
          <w:trHeight w:val="132"/>
        </w:trPr>
        <w:tc>
          <w:tcPr>
            <w:tcW w:w="4780" w:type="dxa"/>
            <w:vAlign w:val="bottom"/>
            <w:tcBorders>
              <w:bottom w:val="single" w:sz="8" w:color="808080"/>
            </w:tcBorders>
          </w:tcPr>
          <w:p>
            <w:pPr>
              <w:spacing w:after="0"/>
              <w:rPr>
                <w:sz w:val="11"/>
                <w:szCs w:val="11"/>
                <w:color w:val="auto"/>
              </w:rPr>
            </w:pPr>
          </w:p>
        </w:tc>
        <w:tc>
          <w:tcPr>
            <w:tcW w:w="6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84" w:name="page185"/>
    <w:bookmarkEnd w:id="184"/>
    <w:p>
      <w:pPr>
        <w:ind w:left="4500"/>
        <w:spacing w:after="0" w:line="257" w:lineRule="auto"/>
        <w:rPr>
          <w:sz w:val="20"/>
          <w:szCs w:val="20"/>
          <w:color w:val="auto"/>
        </w:rPr>
      </w:pPr>
      <w:r>
        <w:rPr>
          <w:rFonts w:ascii="Arial" w:cs="Arial" w:eastAsia="Arial" w:hAnsi="Arial"/>
          <w:sz w:val="18"/>
          <w:szCs w:val="18"/>
          <w:color w:val="auto"/>
        </w:rPr>
        <w:t>“regulation” in the second line thereof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(b)</w:t>
            </w:r>
          </w:p>
        </w:tc>
        <w:tc>
          <w:tcPr>
            <w:tcW w:w="2720" w:type="dxa"/>
            <w:vAlign w:val="bottom"/>
          </w:tcPr>
          <w:p>
            <w:pPr>
              <w:ind w:left="40"/>
              <w:spacing w:after="0"/>
              <w:rPr>
                <w:sz w:val="20"/>
                <w:szCs w:val="20"/>
                <w:color w:val="auto"/>
              </w:rPr>
            </w:pPr>
            <w:r>
              <w:rPr>
                <w:rFonts w:ascii="Arial" w:cs="Arial" w:eastAsia="Arial" w:hAnsi="Arial"/>
                <w:sz w:val="18"/>
                <w:szCs w:val="18"/>
                <w:color w:val="auto"/>
              </w:rPr>
              <w:t>Failure to Deliver:</w:t>
            </w:r>
          </w:p>
        </w:tc>
        <w:tc>
          <w:tcPr>
            <w:tcW w:w="3080" w:type="dxa"/>
            <w:vAlign w:val="bottom"/>
          </w:tcPr>
          <w:p>
            <w:pPr>
              <w:ind w:left="1200"/>
              <w:spacing w:after="0"/>
              <w:rPr>
                <w:sz w:val="20"/>
                <w:szCs w:val="20"/>
                <w:color w:val="auto"/>
              </w:rPr>
            </w:pPr>
            <w:r>
              <w:rPr>
                <w:rFonts w:ascii="Arial" w:cs="Arial" w:eastAsia="Arial" w:hAnsi="Arial"/>
                <w:sz w:val="18"/>
                <w:szCs w:val="18"/>
                <w:color w:val="auto"/>
              </w:rPr>
              <w:t>Applicable</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(c)</w:t>
            </w:r>
          </w:p>
        </w:tc>
        <w:tc>
          <w:tcPr>
            <w:tcW w:w="2720" w:type="dxa"/>
            <w:vAlign w:val="bottom"/>
          </w:tcPr>
          <w:p>
            <w:pPr>
              <w:ind w:left="40"/>
              <w:spacing w:after="0"/>
              <w:rPr>
                <w:sz w:val="20"/>
                <w:szCs w:val="20"/>
                <w:color w:val="auto"/>
              </w:rPr>
            </w:pPr>
            <w:r>
              <w:rPr>
                <w:rFonts w:ascii="Arial" w:cs="Arial" w:eastAsia="Arial" w:hAnsi="Arial"/>
                <w:sz w:val="18"/>
                <w:szCs w:val="18"/>
                <w:color w:val="auto"/>
              </w:rPr>
              <w:t>Insolvency Filing:</w:t>
            </w:r>
          </w:p>
        </w:tc>
        <w:tc>
          <w:tcPr>
            <w:tcW w:w="3080" w:type="dxa"/>
            <w:vAlign w:val="bottom"/>
          </w:tcPr>
          <w:p>
            <w:pPr>
              <w:ind w:left="1200"/>
              <w:spacing w:after="0"/>
              <w:rPr>
                <w:sz w:val="20"/>
                <w:szCs w:val="20"/>
                <w:color w:val="auto"/>
              </w:rPr>
            </w:pPr>
            <w:r>
              <w:rPr>
                <w:rFonts w:ascii="Arial" w:cs="Arial" w:eastAsia="Arial" w:hAnsi="Arial"/>
                <w:sz w:val="18"/>
                <w:szCs w:val="18"/>
                <w:color w:val="auto"/>
              </w:rPr>
              <w:t>Applicable</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(d)</w:t>
            </w:r>
          </w:p>
        </w:tc>
        <w:tc>
          <w:tcPr>
            <w:tcW w:w="2720" w:type="dxa"/>
            <w:vAlign w:val="bottom"/>
          </w:tcPr>
          <w:p>
            <w:pPr>
              <w:ind w:left="40"/>
              <w:spacing w:after="0"/>
              <w:rPr>
                <w:sz w:val="20"/>
                <w:szCs w:val="20"/>
                <w:color w:val="auto"/>
              </w:rPr>
            </w:pPr>
            <w:r>
              <w:rPr>
                <w:rFonts w:ascii="Arial" w:cs="Arial" w:eastAsia="Arial" w:hAnsi="Arial"/>
                <w:sz w:val="18"/>
                <w:szCs w:val="18"/>
                <w:color w:val="auto"/>
              </w:rPr>
              <w:t>Hedging Disruption:</w:t>
            </w:r>
          </w:p>
        </w:tc>
        <w:tc>
          <w:tcPr>
            <w:tcW w:w="3080" w:type="dxa"/>
            <w:vAlign w:val="bottom"/>
          </w:tcPr>
          <w:p>
            <w:pPr>
              <w:ind w:left="1200"/>
              <w:spacing w:after="0"/>
              <w:rPr>
                <w:sz w:val="20"/>
                <w:szCs w:val="20"/>
                <w:color w:val="auto"/>
              </w:rPr>
            </w:pPr>
            <w:r>
              <w:rPr>
                <w:rFonts w:ascii="Arial" w:cs="Arial" w:eastAsia="Arial" w:hAnsi="Arial"/>
                <w:sz w:val="18"/>
                <w:szCs w:val="18"/>
                <w:color w:val="auto"/>
                <w:w w:val="92"/>
              </w:rPr>
              <w:t xml:space="preserve">Applicable;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(i)</w:t>
            </w: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Section 12.9(a)(v) of the Equity Definitions is hereby amended by:</w:t>
            </w:r>
          </w:p>
        </w:tc>
      </w:tr>
      <w:tr>
        <w:trPr>
          <w:trHeight w:val="418"/>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(a)</w:t>
            </w:r>
          </w:p>
        </w:tc>
        <w:tc>
          <w:tcPr>
            <w:tcW w:w="5680" w:type="dxa"/>
            <w:vAlign w:val="bottom"/>
          </w:tcPr>
          <w:p>
            <w:pPr>
              <w:ind w:left="40"/>
              <w:spacing w:after="0"/>
              <w:rPr>
                <w:sz w:val="20"/>
                <w:szCs w:val="20"/>
                <w:color w:val="auto"/>
              </w:rPr>
            </w:pPr>
            <w:r>
              <w:rPr>
                <w:rFonts w:ascii="Arial" w:cs="Arial" w:eastAsia="Arial" w:hAnsi="Arial"/>
                <w:sz w:val="18"/>
                <w:szCs w:val="18"/>
                <w:color w:val="auto"/>
                <w:w w:val="92"/>
              </w:rPr>
              <w:t>inserting the following words at the end of clause (A) thereof: “in the manner</w:t>
            </w:r>
          </w:p>
        </w:tc>
      </w:tr>
      <w:tr>
        <w:trPr>
          <w:trHeight w:val="230"/>
        </w:trPr>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contemplated by the Hedging Party on the Trade Date” and</w:t>
            </w:r>
          </w:p>
        </w:tc>
      </w:tr>
      <w:tr>
        <w:trPr>
          <w:trHeight w:val="432"/>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5680" w:type="dxa"/>
            <w:vAlign w:val="bottom"/>
          </w:tcPr>
          <w:p>
            <w:pPr>
              <w:ind w:left="60"/>
              <w:spacing w:after="0"/>
              <w:rPr>
                <w:sz w:val="20"/>
                <w:szCs w:val="20"/>
                <w:color w:val="auto"/>
              </w:rPr>
            </w:pPr>
            <w:r>
              <w:rPr>
                <w:rFonts w:ascii="Arial" w:cs="Arial" w:eastAsia="Arial" w:hAnsi="Arial"/>
                <w:sz w:val="18"/>
                <w:szCs w:val="18"/>
                <w:color w:val="auto"/>
              </w:rPr>
              <w:t>inserting the following sentence at the end of such Section:</w:t>
            </w:r>
          </w:p>
        </w:tc>
      </w:tr>
      <w:tr>
        <w:trPr>
          <w:trHeight w:val="418"/>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tcPr>
          <w:p>
            <w:pPr>
              <w:ind w:left="80"/>
              <w:spacing w:after="0"/>
              <w:rPr>
                <w:sz w:val="20"/>
                <w:szCs w:val="20"/>
                <w:color w:val="auto"/>
              </w:rPr>
            </w:pPr>
            <w:r>
              <w:rPr>
                <w:rFonts w:ascii="Arial" w:cs="Arial" w:eastAsia="Arial" w:hAnsi="Arial"/>
                <w:sz w:val="18"/>
                <w:szCs w:val="18"/>
                <w:color w:val="auto"/>
                <w:w w:val="93"/>
              </w:rPr>
              <w:t>“For the avoidance of doubt, (i) the term “equity price risk” shall be deemed</w:t>
            </w:r>
          </w:p>
        </w:tc>
      </w:t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Pr>
          <w:p>
            <w:pPr>
              <w:ind w:left="80"/>
              <w:spacing w:after="0"/>
              <w:rPr>
                <w:sz w:val="20"/>
                <w:szCs w:val="20"/>
                <w:color w:val="auto"/>
              </w:rPr>
            </w:pPr>
            <w:r>
              <w:rPr>
                <w:rFonts w:ascii="Arial" w:cs="Arial" w:eastAsia="Arial" w:hAnsi="Arial"/>
                <w:sz w:val="18"/>
                <w:szCs w:val="18"/>
                <w:color w:val="auto"/>
                <w:w w:val="99"/>
              </w:rPr>
              <w:t>to include, but shall not be limited to, stock price and volatility risk, and</w:t>
            </w:r>
          </w:p>
        </w:tc>
      </w:t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Pr>
          <w:p>
            <w:pPr>
              <w:ind w:left="80"/>
              <w:spacing w:after="0"/>
              <w:rPr>
                <w:sz w:val="20"/>
                <w:szCs w:val="20"/>
                <w:color w:val="auto"/>
              </w:rPr>
            </w:pPr>
            <w:r>
              <w:rPr>
                <w:rFonts w:ascii="Arial" w:cs="Arial" w:eastAsia="Arial" w:hAnsi="Arial"/>
                <w:sz w:val="18"/>
                <w:szCs w:val="18"/>
                <w:color w:val="auto"/>
                <w:w w:val="91"/>
              </w:rPr>
              <w:t>(ii) the transactions or assets referred to in phrases (A) or (B) above must be</w:t>
            </w:r>
          </w:p>
        </w:tc>
      </w:tr>
      <w:tr>
        <w:trPr>
          <w:trHeight w:val="230"/>
        </w:trPr>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80"/>
              <w:spacing w:after="0"/>
              <w:rPr>
                <w:sz w:val="20"/>
                <w:szCs w:val="20"/>
                <w:color w:val="auto"/>
              </w:rPr>
            </w:pPr>
            <w:r>
              <w:rPr>
                <w:rFonts w:ascii="Arial" w:cs="Arial" w:eastAsia="Arial" w:hAnsi="Arial"/>
                <w:sz w:val="18"/>
                <w:szCs w:val="18"/>
                <w:color w:val="auto"/>
              </w:rPr>
              <w:t>available on commercially reasonable pricing and other terms.”; and</w:t>
            </w:r>
          </w:p>
        </w:tc>
      </w:tr>
      <w:tr>
        <w:trPr>
          <w:trHeight w:val="418"/>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(ii)</w:t>
            </w:r>
          </w:p>
        </w:tc>
        <w:tc>
          <w:tcPr>
            <w:tcW w:w="6000" w:type="dxa"/>
            <w:vAlign w:val="bottom"/>
            <w:gridSpan w:val="2"/>
          </w:tcPr>
          <w:p>
            <w:pPr>
              <w:ind w:left="60"/>
              <w:spacing w:after="0"/>
              <w:rPr>
                <w:sz w:val="20"/>
                <w:szCs w:val="20"/>
                <w:color w:val="auto"/>
              </w:rPr>
            </w:pPr>
            <w:r>
              <w:rPr>
                <w:rFonts w:ascii="Arial" w:cs="Arial" w:eastAsia="Arial" w:hAnsi="Arial"/>
                <w:sz w:val="18"/>
                <w:szCs w:val="18"/>
                <w:color w:val="auto"/>
                <w:w w:val="96"/>
              </w:rPr>
              <w:t>Section 12.9(b)(iii) of the Equity Definitions is hereby amended by inserting in</w:t>
            </w:r>
          </w:p>
        </w:tc>
      </w:t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gridSpan w:val="2"/>
          </w:tcPr>
          <w:p>
            <w:pPr>
              <w:ind w:left="60"/>
              <w:spacing w:after="0"/>
              <w:rPr>
                <w:sz w:val="20"/>
                <w:szCs w:val="20"/>
                <w:color w:val="auto"/>
              </w:rPr>
            </w:pPr>
            <w:r>
              <w:rPr>
                <w:rFonts w:ascii="Arial" w:cs="Arial" w:eastAsia="Arial" w:hAnsi="Arial"/>
                <w:sz w:val="18"/>
                <w:szCs w:val="18"/>
                <w:color w:val="auto"/>
                <w:w w:val="91"/>
              </w:rPr>
              <w:t>the third line thereof, after the words “to terminate the Transaction”, the words “or</w:t>
            </w:r>
          </w:p>
        </w:tc>
      </w:tr>
      <w:tr>
        <w:trPr>
          <w:trHeight w:val="230"/>
        </w:trPr>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0" w:type="dxa"/>
            <w:vAlign w:val="bottom"/>
            <w:gridSpan w:val="2"/>
          </w:tcPr>
          <w:p>
            <w:pPr>
              <w:ind w:left="60"/>
              <w:spacing w:after="0"/>
              <w:rPr>
                <w:sz w:val="20"/>
                <w:szCs w:val="20"/>
                <w:color w:val="auto"/>
              </w:rPr>
            </w:pPr>
            <w:r>
              <w:rPr>
                <w:rFonts w:ascii="Arial" w:cs="Arial" w:eastAsia="Arial" w:hAnsi="Arial"/>
                <w:sz w:val="18"/>
                <w:szCs w:val="18"/>
                <w:color w:val="auto"/>
              </w:rPr>
              <w:t>a portion of the Transaction affected by such Hedging Disruption”.</w:t>
            </w:r>
          </w:p>
        </w:tc>
      </w:tr>
      <w:tr>
        <w:trPr>
          <w:trHeight w:val="432"/>
        </w:trPr>
        <w:tc>
          <w:tcPr>
            <w:tcW w:w="220" w:type="dxa"/>
            <w:vAlign w:val="bottom"/>
          </w:tcPr>
          <w:p>
            <w:pPr>
              <w:spacing w:after="0"/>
              <w:rPr>
                <w:sz w:val="24"/>
                <w:szCs w:val="24"/>
                <w:color w:val="auto"/>
              </w:rPr>
            </w:pP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(e) Increased Cost of Hedging:</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Applicable</w:t>
            </w:r>
          </w:p>
        </w:tc>
      </w:tr>
      <w:tr>
        <w:trPr>
          <w:trHeight w:val="432"/>
        </w:trPr>
        <w:tc>
          <w:tcPr>
            <w:tcW w:w="4260" w:type="dxa"/>
            <w:vAlign w:val="bottom"/>
            <w:gridSpan w:val="4"/>
          </w:tcPr>
          <w:p>
            <w:pPr>
              <w:spacing w:after="0"/>
              <w:rPr>
                <w:sz w:val="20"/>
                <w:szCs w:val="20"/>
                <w:color w:val="auto"/>
              </w:rPr>
            </w:pPr>
            <w:r>
              <w:rPr>
                <w:rFonts w:ascii="Arial" w:cs="Arial" w:eastAsia="Arial" w:hAnsi="Arial"/>
                <w:sz w:val="18"/>
                <w:szCs w:val="18"/>
                <w:color w:val="auto"/>
              </w:rPr>
              <w:t>Hedging Party:</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Dealer</w:t>
            </w:r>
          </w:p>
        </w:tc>
        <w:tc>
          <w:tcPr>
            <w:tcW w:w="5680" w:type="dxa"/>
            <w:vAlign w:val="bottom"/>
          </w:tcPr>
          <w:p>
            <w:pPr>
              <w:spacing w:after="0"/>
              <w:rPr>
                <w:sz w:val="24"/>
                <w:szCs w:val="24"/>
                <w:color w:val="auto"/>
              </w:rPr>
            </w:pPr>
          </w:p>
        </w:tc>
      </w:tr>
      <w:tr>
        <w:trPr>
          <w:trHeight w:val="432"/>
        </w:trPr>
        <w:tc>
          <w:tcPr>
            <w:tcW w:w="4260" w:type="dxa"/>
            <w:vAlign w:val="bottom"/>
            <w:gridSpan w:val="4"/>
          </w:tcPr>
          <w:p>
            <w:pPr>
              <w:spacing w:after="0"/>
              <w:rPr>
                <w:sz w:val="20"/>
                <w:szCs w:val="20"/>
                <w:color w:val="auto"/>
              </w:rPr>
            </w:pPr>
            <w:r>
              <w:rPr>
                <w:rFonts w:ascii="Arial" w:cs="Arial" w:eastAsia="Arial" w:hAnsi="Arial"/>
                <w:sz w:val="18"/>
                <w:szCs w:val="18"/>
                <w:color w:val="auto"/>
              </w:rPr>
              <w:t>Determining Party:</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Dealer</w:t>
            </w:r>
          </w:p>
        </w:tc>
        <w:tc>
          <w:tcPr>
            <w:tcW w:w="5680" w:type="dxa"/>
            <w:vAlign w:val="bottom"/>
          </w:tcPr>
          <w:p>
            <w:pPr>
              <w:spacing w:after="0"/>
              <w:rPr>
                <w:sz w:val="24"/>
                <w:szCs w:val="24"/>
                <w:color w:val="auto"/>
              </w:rPr>
            </w:pPr>
          </w:p>
        </w:tc>
      </w:tr>
      <w:tr>
        <w:trPr>
          <w:trHeight w:val="432"/>
        </w:trPr>
        <w:tc>
          <w:tcPr>
            <w:tcW w:w="4260" w:type="dxa"/>
            <w:vAlign w:val="bottom"/>
            <w:gridSpan w:val="4"/>
          </w:tcPr>
          <w:p>
            <w:pPr>
              <w:spacing w:after="0"/>
              <w:rPr>
                <w:sz w:val="20"/>
                <w:szCs w:val="20"/>
                <w:color w:val="auto"/>
              </w:rPr>
            </w:pPr>
            <w:r>
              <w:rPr>
                <w:rFonts w:ascii="Arial" w:cs="Arial" w:eastAsia="Arial" w:hAnsi="Arial"/>
                <w:sz w:val="18"/>
                <w:szCs w:val="18"/>
                <w:color w:val="auto"/>
              </w:rPr>
              <w:t>Non-Reliance:</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Applicable</w:t>
            </w:r>
          </w:p>
        </w:tc>
      </w:tr>
      <w:tr>
        <w:trPr>
          <w:trHeight w:val="418"/>
        </w:trPr>
        <w:tc>
          <w:tcPr>
            <w:tcW w:w="4260" w:type="dxa"/>
            <w:vAlign w:val="bottom"/>
            <w:gridSpan w:val="4"/>
          </w:tcPr>
          <w:p>
            <w:pPr>
              <w:spacing w:after="0"/>
              <w:rPr>
                <w:sz w:val="20"/>
                <w:szCs w:val="20"/>
                <w:color w:val="auto"/>
              </w:rPr>
            </w:pPr>
            <w:r>
              <w:rPr>
                <w:rFonts w:ascii="Arial" w:cs="Arial" w:eastAsia="Arial" w:hAnsi="Arial"/>
                <w:sz w:val="18"/>
                <w:szCs w:val="18"/>
                <w:color w:val="auto"/>
                <w:w w:val="95"/>
              </w:rPr>
              <w:t>Agreements and Acknowledgments Regarding Hedging</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Applicable</w:t>
            </w:r>
          </w:p>
        </w:tc>
      </w:tr>
      <w:tr>
        <w:trPr>
          <w:trHeight w:val="230"/>
        </w:trPr>
        <w:tc>
          <w:tcPr>
            <w:tcW w:w="4260" w:type="dxa"/>
            <w:vAlign w:val="bottom"/>
            <w:gridSpan w:val="4"/>
          </w:tcPr>
          <w:p>
            <w:pPr>
              <w:spacing w:after="0"/>
              <w:rPr>
                <w:sz w:val="20"/>
                <w:szCs w:val="20"/>
                <w:color w:val="auto"/>
              </w:rPr>
            </w:pPr>
            <w:r>
              <w:rPr>
                <w:rFonts w:ascii="Arial" w:cs="Arial" w:eastAsia="Arial" w:hAnsi="Arial"/>
                <w:sz w:val="18"/>
                <w:szCs w:val="18"/>
                <w:color w:val="auto"/>
              </w:rPr>
              <w:t>Activities: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spacing w:after="0"/>
              <w:rPr>
                <w:sz w:val="20"/>
                <w:szCs w:val="20"/>
                <w:color w:val="auto"/>
              </w:rPr>
            </w:pPr>
          </w:p>
        </w:tc>
      </w:tr>
      <w:tr>
        <w:trPr>
          <w:trHeight w:val="432"/>
        </w:trPr>
        <w:tc>
          <w:tcPr>
            <w:tcW w:w="4260" w:type="dxa"/>
            <w:vAlign w:val="bottom"/>
            <w:gridSpan w:val="4"/>
          </w:tcPr>
          <w:p>
            <w:pPr>
              <w:spacing w:after="0"/>
              <w:rPr>
                <w:sz w:val="20"/>
                <w:szCs w:val="20"/>
                <w:color w:val="auto"/>
              </w:rPr>
            </w:pPr>
            <w:r>
              <w:rPr>
                <w:rFonts w:ascii="Arial" w:cs="Arial" w:eastAsia="Arial" w:hAnsi="Arial"/>
                <w:sz w:val="18"/>
                <w:szCs w:val="18"/>
                <w:color w:val="auto"/>
              </w:rPr>
              <w:t>Additional Acknowledgments:</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Applicable</w:t>
            </w:r>
          </w:p>
        </w:tc>
      </w:tr>
      <w:tr>
        <w:trPr>
          <w:trHeight w:val="392"/>
        </w:trPr>
        <w:tc>
          <w:tcPr>
            <w:tcW w:w="220" w:type="dxa"/>
            <w:vAlign w:val="bottom"/>
          </w:tcPr>
          <w:p>
            <w:pPr>
              <w:spacing w:after="0"/>
              <w:rPr>
                <w:sz w:val="20"/>
                <w:szCs w:val="20"/>
                <w:color w:val="auto"/>
              </w:rPr>
            </w:pPr>
            <w:r>
              <w:rPr>
                <w:rFonts w:ascii="Arial" w:cs="Arial" w:eastAsia="Arial" w:hAnsi="Arial"/>
                <w:sz w:val="18"/>
                <w:szCs w:val="18"/>
                <w:color w:val="auto"/>
              </w:rPr>
              <w:t>3.</w:t>
            </w:r>
          </w:p>
        </w:tc>
        <w:tc>
          <w:tcPr>
            <w:tcW w:w="4040" w:type="dxa"/>
            <w:vAlign w:val="bottom"/>
            <w:gridSpan w:val="3"/>
          </w:tcPr>
          <w:p>
            <w:pPr>
              <w:spacing w:after="0"/>
              <w:rPr>
                <w:sz w:val="20"/>
                <w:szCs w:val="20"/>
                <w:color w:val="auto"/>
              </w:rPr>
            </w:pPr>
            <w:r>
              <w:rPr>
                <w:rFonts w:ascii="Arial" w:cs="Arial" w:eastAsia="Arial" w:hAnsi="Arial"/>
                <w:sz w:val="18"/>
                <w:szCs w:val="18"/>
                <w:color w:val="auto"/>
              </w:rPr>
              <w:t>Calculation Agent: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2"/>
              </w:rPr>
              <w:t>Dealer.</w:t>
            </w:r>
          </w:p>
        </w:tc>
        <w:tc>
          <w:tcPr>
            <w:tcW w:w="5680" w:type="dxa"/>
            <w:vAlign w:val="bottom"/>
          </w:tcPr>
          <w:p>
            <w:pPr>
              <w:spacing w:after="0"/>
              <w:rPr>
                <w:sz w:val="24"/>
                <w:szCs w:val="24"/>
                <w:color w:val="auto"/>
              </w:rPr>
            </w:pPr>
          </w:p>
        </w:tc>
      </w:tr>
      <w:tr>
        <w:trPr>
          <w:trHeight w:val="412"/>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Account Details:</w:t>
            </w: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Dealer Payment Instructions: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Bank: Bank of New York ABA#: 021000018</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85" w:name="page186"/>
    <w:bookmarkEnd w:id="185"/>
    <w:p>
      <w:pPr>
        <w:ind w:left="800"/>
        <w:spacing w:after="0"/>
        <w:rPr>
          <w:sz w:val="20"/>
          <w:szCs w:val="20"/>
          <w:color w:val="auto"/>
        </w:rPr>
      </w:pPr>
      <w:r>
        <w:rPr>
          <w:rFonts w:ascii="Arial" w:cs="Arial" w:eastAsia="Arial" w:hAnsi="Arial"/>
          <w:sz w:val="18"/>
          <w:szCs w:val="18"/>
          <w:color w:val="auto"/>
        </w:rPr>
        <w:t>A/C#: 8661062712</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Acct Name — BMO Nesbitt Burns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Counterparty Payment Instructions: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 be provided by Counterparty.</w:t>
      </w:r>
    </w:p>
    <w:p>
      <w:pPr>
        <w:spacing w:after="0" w:line="225" w:lineRule="exact"/>
        <w:rPr>
          <w:sz w:val="20"/>
          <w:szCs w:val="20"/>
          <w:color w:val="auto"/>
        </w:rPr>
      </w:pPr>
    </w:p>
    <w:p>
      <w:pPr>
        <w:ind w:left="480" w:hanging="324"/>
        <w:spacing w:after="0"/>
        <w:tabs>
          <w:tab w:leader="none" w:pos="4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80"/>
        <w:spacing w:after="0" w:line="277" w:lineRule="auto"/>
        <w:rPr>
          <w:rFonts w:ascii="Arial" w:cs="Arial" w:eastAsia="Arial" w:hAnsi="Arial"/>
          <w:sz w:val="18"/>
          <w:szCs w:val="18"/>
          <w:color w:val="auto"/>
        </w:rPr>
      </w:pPr>
      <w:r>
        <w:rPr>
          <w:rFonts w:ascii="Arial" w:cs="Arial" w:eastAsia="Arial" w:hAnsi="Arial"/>
          <w:sz w:val="18"/>
          <w:szCs w:val="18"/>
          <w:color w:val="auto"/>
        </w:rPr>
        <w:t>Dealer is a Multibranch Party and for purposes of this Confirmation and each Transaction, may act through its London, Chicago and Toronto Offices.</w:t>
      </w:r>
    </w:p>
    <w:p>
      <w:pPr>
        <w:spacing w:after="0" w:line="170"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The Office of Counterparty for the Transaction is: Inapplicable, Counterparty is not a Multibranch Party.</w:t>
      </w:r>
    </w:p>
    <w:p>
      <w:pPr>
        <w:spacing w:after="0" w:line="225" w:lineRule="exact"/>
        <w:rPr>
          <w:rFonts w:ascii="Arial" w:cs="Arial" w:eastAsia="Arial" w:hAnsi="Arial"/>
          <w:sz w:val="18"/>
          <w:szCs w:val="18"/>
          <w:color w:val="auto"/>
        </w:rPr>
      </w:pPr>
    </w:p>
    <w:p>
      <w:pPr>
        <w:ind w:left="480" w:hanging="324"/>
        <w:spacing w:after="0"/>
        <w:tabs>
          <w:tab w:leader="none" w:pos="4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sz w:val="20"/>
          <w:szCs w:val="20"/>
          <w:color w:val="auto"/>
        </w:rPr>
      </w:pPr>
    </w:p>
    <w:p>
      <w:pPr>
        <w:ind w:left="800" w:hanging="644"/>
        <w:spacing w:after="0"/>
        <w:tabs>
          <w:tab w:leader="none" w:pos="8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3" w:lineRule="exact"/>
        <w:rPr>
          <w:rFonts w:ascii="Arial" w:cs="Arial" w:eastAsia="Arial" w:hAnsi="Arial"/>
          <w:sz w:val="18"/>
          <w:szCs w:val="18"/>
          <w:color w:val="auto"/>
        </w:rPr>
      </w:pPr>
    </w:p>
    <w:p>
      <w:pPr>
        <w:ind w:left="800" w:right="7300"/>
        <w:spacing w:after="0" w:line="302" w:lineRule="auto"/>
        <w:rPr>
          <w:rFonts w:ascii="Arial" w:cs="Arial" w:eastAsia="Arial" w:hAnsi="Arial"/>
          <w:sz w:val="18"/>
          <w:szCs w:val="18"/>
          <w:color w:val="auto"/>
        </w:rPr>
      </w:pPr>
      <w:r>
        <w:rPr>
          <w:rFonts w:ascii="Arial" w:cs="Arial" w:eastAsia="Arial" w:hAnsi="Arial"/>
          <w:sz w:val="16"/>
          <w:szCs w:val="16"/>
          <w:color w:val="auto"/>
        </w:rPr>
        <w:t>13200 Pioneer Trail, Suite 150 Eden Prarie, MN 55347 Attention: Bert Jameson, Treasurer</w:t>
      </w:r>
    </w:p>
    <w:p>
      <w:pPr>
        <w:spacing w:after="0" w:line="155" w:lineRule="exact"/>
        <w:rPr>
          <w:rFonts w:ascii="Arial" w:cs="Arial" w:eastAsia="Arial" w:hAnsi="Arial"/>
          <w:sz w:val="18"/>
          <w:szCs w:val="18"/>
          <w:color w:val="auto"/>
        </w:rPr>
      </w:pPr>
    </w:p>
    <w:p>
      <w:pPr>
        <w:ind w:left="820" w:hanging="664"/>
        <w:spacing w:after="0"/>
        <w:tabs>
          <w:tab w:leader="none" w:pos="8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ectPr>
          <w:pgSz w:w="11900" w:h="16838" w:orient="portrait"/>
          <w:cols w:equalWidth="0" w:num="1">
            <w:col w:w="10620"/>
          </w:cols>
          <w:pgMar w:left="740" w:top="341" w:right="539" w:bottom="1440" w:gutter="0" w:footer="0" w:header="0"/>
        </w:sectPr>
      </w:pP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55 Bloor Street West, 18</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Toronto, Ontario M4W 1A5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Manager, Derivatives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(416) 552-7904</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(416) 552-4177</w:t>
      </w:r>
    </w:p>
    <w:p>
      <w:pPr>
        <w:spacing w:after="0" w:line="200" w:lineRule="exact"/>
        <w:rPr>
          <w:sz w:val="20"/>
          <w:szCs w:val="20"/>
          <w:color w:val="auto"/>
        </w:rPr>
      </w:pPr>
    </w:p>
    <w:p>
      <w:pPr>
        <w:sectPr>
          <w:pgSz w:w="11900" w:h="16838" w:orient="portrait"/>
          <w:cols w:equalWidth="0" w:num="2">
            <w:col w:w="1600" w:space="480"/>
            <w:col w:w="8540"/>
          </w:cols>
          <w:pgMar w:left="740" w:top="341" w:right="539" w:bottom="1440" w:gutter="0" w:footer="0" w:header="0"/>
          <w:type w:val="continuous"/>
        </w:sectPr>
      </w:pPr>
    </w:p>
    <w:p>
      <w:pPr>
        <w:spacing w:after="0" w:line="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0620"/>
          </w:cols>
          <w:pgMar w:left="740" w:top="341" w:right="539" w:bottom="1440" w:gutter="0" w:footer="0" w:header="0"/>
          <w:type w:val="continuous"/>
        </w:sectPr>
      </w:pP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King Street West, 20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Toronto, Ontario M5X 1A1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Associate General Counsel &amp; Managing Director, Derivatives Legal Group</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(416) 956-2318</w:t>
      </w:r>
    </w:p>
    <w:p>
      <w:pPr>
        <w:spacing w:after="0" w:line="200" w:lineRule="exact"/>
        <w:rPr>
          <w:sz w:val="20"/>
          <w:szCs w:val="20"/>
          <w:color w:val="auto"/>
        </w:rPr>
      </w:pPr>
    </w:p>
    <w:p>
      <w:pPr>
        <w:sectPr>
          <w:pgSz w:w="11900" w:h="16838" w:orient="portrait"/>
          <w:cols w:equalWidth="0" w:num="2">
            <w:col w:w="1560" w:space="520"/>
            <w:col w:w="8540"/>
          </w:cols>
          <w:pgMar w:left="740" w:top="341" w:right="539" w:bottom="1440" w:gutter="0" w:footer="0" w:header="0"/>
          <w:type w:val="continuous"/>
        </w:sectPr>
      </w:pPr>
    </w:p>
    <w:p>
      <w:pPr>
        <w:spacing w:after="0" w:line="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And a copy to:</w:t>
      </w:r>
    </w:p>
    <w:p>
      <w:pPr>
        <w:sectPr>
          <w:pgSz w:w="11900" w:h="16838" w:orient="portrait"/>
          <w:cols w:equalWidth="0" w:num="1">
            <w:col w:w="10620"/>
          </w:cols>
          <w:pgMar w:left="740" w:top="341" w:right="539" w:bottom="1440" w:gutter="0" w:footer="0" w:header="0"/>
          <w:type w:val="continuous"/>
        </w:sectPr>
      </w:pP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BMO Capital Markets Corp.</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 Times Square 25</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Riley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605-1414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 885-4165</w:t>
      </w:r>
    </w:p>
    <w:p>
      <w:pPr>
        <w:spacing w:after="0" w:line="200" w:lineRule="exact"/>
        <w:rPr>
          <w:sz w:val="20"/>
          <w:szCs w:val="20"/>
          <w:color w:val="auto"/>
        </w:rPr>
      </w:pPr>
    </w:p>
    <w:p>
      <w:pPr>
        <w:sectPr>
          <w:pgSz w:w="11900" w:h="16838" w:orient="portrait"/>
          <w:cols w:equalWidth="0" w:num="2">
            <w:col w:w="1600" w:space="480"/>
            <w:col w:w="8540"/>
          </w:cols>
          <w:pgMar w:left="740" w:top="341" w:right="539" w:bottom="1440" w:gutter="0" w:footer="0" w:header="0"/>
          <w:type w:val="continuous"/>
        </w:sectPr>
      </w:pPr>
    </w:p>
    <w:p>
      <w:pPr>
        <w:spacing w:after="0" w:line="11" w:lineRule="exact"/>
        <w:rPr>
          <w:sz w:val="20"/>
          <w:szCs w:val="20"/>
          <w:color w:val="auto"/>
        </w:rPr>
      </w:pPr>
    </w:p>
    <w:p>
      <w:pPr>
        <w:ind w:left="480" w:hanging="324"/>
        <w:spacing w:after="0"/>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left="-500" w:right="200" w:firstLine="656"/>
        <w:spacing w:after="0" w:line="277" w:lineRule="auto"/>
        <w:tabs>
          <w:tab w:leader="none" w:pos="79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20"/>
          </w:cols>
          <w:pgMar w:left="740" w:top="341" w:right="539" w:bottom="1440" w:gutter="0" w:footer="0" w:header="0"/>
          <w:type w:val="continuous"/>
        </w:sectPr>
      </w:pPr>
    </w:p>
    <w:bookmarkStart w:id="186" w:name="page187"/>
    <w:bookmarkEnd w:id="186"/>
    <w:p>
      <w:pPr>
        <w:ind w:right="40" w:firstLine="645"/>
        <w:spacing w:after="0" w:line="255" w:lineRule="auto"/>
        <w:tabs>
          <w:tab w:leader="none" w:pos="131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jc w:val="both"/>
        <w:ind w:right="20" w:firstLine="645"/>
        <w:spacing w:after="0" w:line="279" w:lineRule="auto"/>
        <w:tabs>
          <w:tab w:leader="none" w:pos="132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On the Trade Date, the Shares or securities that are convertible into, or exchangeable or exercisable for Shares, are not subject to a “restricted period,” as such term is defined in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spacing w:after="0" w:line="171" w:lineRule="exact"/>
        <w:rPr>
          <w:rFonts w:ascii="Arial" w:cs="Arial" w:eastAsia="Arial" w:hAnsi="Arial"/>
          <w:sz w:val="17"/>
          <w:szCs w:val="17"/>
          <w:color w:val="auto"/>
        </w:rPr>
      </w:pPr>
    </w:p>
    <w:p>
      <w:pPr>
        <w:ind w:firstLine="645"/>
        <w:spacing w:after="0" w:line="257" w:lineRule="auto"/>
        <w:tabs>
          <w:tab w:leader="none" w:pos="133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188" w:lineRule="exact"/>
        <w:rPr>
          <w:rFonts w:ascii="Arial" w:cs="Arial" w:eastAsia="Arial" w:hAnsi="Arial"/>
          <w:sz w:val="18"/>
          <w:szCs w:val="18"/>
          <w:color w:val="auto"/>
        </w:rPr>
      </w:pPr>
    </w:p>
    <w:p>
      <w:pPr>
        <w:ind w:right="320" w:firstLine="645"/>
        <w:spacing w:after="0" w:line="277" w:lineRule="auto"/>
        <w:tabs>
          <w:tab w:leader="none" w:pos="131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right="240" w:firstLine="645"/>
        <w:spacing w:after="0" w:line="297" w:lineRule="auto"/>
        <w:tabs>
          <w:tab w:leader="none" w:pos="130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490.1110 of the Iowa Business Corporation Act as an “interested stockholder”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spacing w:after="0" w:line="158" w:lineRule="exact"/>
        <w:rPr>
          <w:rFonts w:ascii="Arial" w:cs="Arial" w:eastAsia="Arial" w:hAnsi="Arial"/>
          <w:sz w:val="16"/>
          <w:szCs w:val="16"/>
          <w:color w:val="auto"/>
        </w:rPr>
      </w:pPr>
    </w:p>
    <w:p>
      <w:pPr>
        <w:ind w:right="40" w:firstLine="645"/>
        <w:spacing w:after="0" w:line="264" w:lineRule="auto"/>
        <w:tabs>
          <w:tab w:leader="none" w:pos="131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right="740" w:firstLine="645"/>
        <w:spacing w:after="0" w:line="277" w:lineRule="auto"/>
        <w:tabs>
          <w:tab w:leader="none" w:pos="132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On each of the Trade Date and the Premium Payment Date, Counterparty is not “insolvent” (as such term is defined under</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Section 101(32) of the U.S.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Counterparty would be able to purchase the Number of Shares in compliance with the laws of the jurisdiction of Counterparty’s incorporation.</w:t>
      </w:r>
    </w:p>
    <w:p>
      <w:pPr>
        <w:spacing w:after="0" w:line="184" w:lineRule="exact"/>
        <w:rPr>
          <w:sz w:val="20"/>
          <w:szCs w:val="20"/>
          <w:color w:val="auto"/>
        </w:rPr>
      </w:pPr>
    </w:p>
    <w:p>
      <w:pPr>
        <w:jc w:val="both"/>
        <w:ind w:right="80" w:firstLine="645"/>
        <w:spacing w:after="0" w:line="259" w:lineRule="auto"/>
        <w:tabs>
          <w:tab w:leader="none" w:pos="131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representations and warranties of Counterparty set forth in Section 3 of the Agreement and Section 1 of the Purchase Agreement, dated as of October 29, 2019, between Goldman Sachs &amp; Co. LLC and BMO Capital Markets Corp. as the Representatives and Counterparty (the “</w:t>
      </w:r>
      <w:r>
        <w:rPr>
          <w:rFonts w:ascii="Arial" w:cs="Arial" w:eastAsia="Arial" w:hAnsi="Arial"/>
          <w:sz w:val="18"/>
          <w:szCs w:val="18"/>
          <w:b w:val="1"/>
          <w:bCs w:val="1"/>
          <w:color w:val="auto"/>
        </w:rPr>
        <w:t>Purchase Agreement</w:t>
      </w:r>
      <w:r>
        <w:rPr>
          <w:rFonts w:ascii="Arial" w:cs="Arial" w:eastAsia="Arial" w:hAnsi="Arial"/>
          <w:sz w:val="18"/>
          <w:szCs w:val="18"/>
          <w:color w:val="auto"/>
        </w:rPr>
        <w:t>”) are true and correct as of the Trade Date and the Effective Date and are hereby deemed to be repeated to Dealer as if set forth herein.</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87" w:name="page188"/>
    <w:bookmarkEnd w:id="187"/>
    <w:p>
      <w:pPr>
        <w:ind w:left="640" w:right="100" w:firstLine="645"/>
        <w:spacing w:after="0" w:line="264" w:lineRule="auto"/>
        <w:tabs>
          <w:tab w:leader="none" w:pos="194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81" w:lineRule="exact"/>
        <w:rPr>
          <w:rFonts w:ascii="Arial" w:cs="Arial" w:eastAsia="Arial" w:hAnsi="Arial"/>
          <w:sz w:val="18"/>
          <w:szCs w:val="18"/>
          <w:color w:val="auto"/>
        </w:rPr>
      </w:pPr>
    </w:p>
    <w:p>
      <w:pPr>
        <w:jc w:val="both"/>
        <w:ind w:left="640" w:right="180" w:firstLine="645"/>
        <w:spacing w:after="0" w:line="286" w:lineRule="auto"/>
        <w:tabs>
          <w:tab w:leader="none" w:pos="1953" w:val="left"/>
        </w:tabs>
        <w:numPr>
          <w:ilvl w:val="1"/>
          <w:numId w:val="209"/>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w:t>
      </w:r>
    </w:p>
    <w:p>
      <w:pPr>
        <w:spacing w:after="0" w:line="1" w:lineRule="exact"/>
        <w:rPr>
          <w:rFonts w:ascii="Arial" w:cs="Arial" w:eastAsia="Arial" w:hAnsi="Arial"/>
          <w:sz w:val="16"/>
          <w:szCs w:val="16"/>
          <w:color w:val="auto"/>
        </w:rPr>
      </w:pPr>
    </w:p>
    <w:p>
      <w:pPr>
        <w:ind w:left="640" w:right="420" w:hanging="4"/>
        <w:spacing w:after="0" w:line="261" w:lineRule="auto"/>
        <w:tabs>
          <w:tab w:leader="none" w:pos="92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has total assets of at least $50 million. Counterparty will notify Dealer if the immediately preceding statement contained in this Section 7(a) (xi) ceases to be true.</w:t>
      </w:r>
    </w:p>
    <w:p>
      <w:pPr>
        <w:spacing w:after="0" w:line="183" w:lineRule="exact"/>
        <w:rPr>
          <w:rFonts w:ascii="Arial" w:cs="Arial" w:eastAsia="Arial" w:hAnsi="Arial"/>
          <w:sz w:val="18"/>
          <w:szCs w:val="18"/>
          <w:color w:val="auto"/>
        </w:rPr>
      </w:pPr>
    </w:p>
    <w:p>
      <w:pPr>
        <w:ind w:left="640" w:right="40" w:firstLine="645"/>
        <w:spacing w:after="0" w:line="272" w:lineRule="auto"/>
        <w:tabs>
          <w:tab w:leader="none" w:pos="1963" w:val="left"/>
        </w:tabs>
        <w:numPr>
          <w:ilvl w:val="1"/>
          <w:numId w:val="210"/>
        </w:numPr>
        <w:rPr>
          <w:rFonts w:ascii="Arial" w:cs="Arial" w:eastAsia="Arial" w:hAnsi="Arial"/>
          <w:sz w:val="17"/>
          <w:szCs w:val="17"/>
          <w:color w:val="auto"/>
        </w:rPr>
      </w:pPr>
      <w:r>
        <w:rPr>
          <w:rFonts w:ascii="Arial" w:cs="Arial" w:eastAsia="Arial" w:hAnsi="Arial"/>
          <w:sz w:val="17"/>
          <w:szCs w:val="17"/>
          <w:color w:val="auto"/>
        </w:rPr>
        <w:t>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31, 2019,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78" w:lineRule="exact"/>
        <w:rPr>
          <w:sz w:val="20"/>
          <w:szCs w:val="20"/>
          <w:color w:val="auto"/>
        </w:rPr>
      </w:pPr>
    </w:p>
    <w:p>
      <w:pPr>
        <w:ind w:left="-20" w:firstLine="656"/>
        <w:spacing w:after="0" w:line="264" w:lineRule="auto"/>
        <w:tabs>
          <w:tab w:leader="none" w:pos="12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left="-20" w:right="20" w:firstLine="656"/>
        <w:spacing w:after="0" w:line="287" w:lineRule="auto"/>
        <w:tabs>
          <w:tab w:leader="none" w:pos="128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72" w:lineRule="exact"/>
        <w:rPr>
          <w:rFonts w:ascii="Arial" w:cs="Arial" w:eastAsia="Arial" w:hAnsi="Arial"/>
          <w:sz w:val="16"/>
          <w:szCs w:val="16"/>
          <w:color w:val="auto"/>
        </w:rPr>
      </w:pPr>
    </w:p>
    <w:p>
      <w:pPr>
        <w:ind w:left="-20" w:right="160" w:firstLine="656"/>
        <w:spacing w:after="0" w:line="273" w:lineRule="auto"/>
        <w:tabs>
          <w:tab w:leader="none" w:pos="128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178" w:lineRule="exact"/>
        <w:rPr>
          <w:rFonts w:ascii="Arial" w:cs="Arial" w:eastAsia="Arial" w:hAnsi="Arial"/>
          <w:sz w:val="17"/>
          <w:szCs w:val="17"/>
          <w:color w:val="auto"/>
        </w:rPr>
      </w:pPr>
    </w:p>
    <w:p>
      <w:pPr>
        <w:ind w:left="-20" w:right="340" w:firstLine="656"/>
        <w:spacing w:after="0" w:line="277" w:lineRule="auto"/>
        <w:tabs>
          <w:tab w:leader="none" w:pos="12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a condition to the effectiveness of the Transaction, Counterparty shall deliver to Dealer (i) an incumbency certificate, dated as of the Premium Payment Date, of Counterparty in customary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88" w:name="page189"/>
    <w:bookmarkEnd w:id="188"/>
    <w:p>
      <w:pPr>
        <w:ind w:right="280"/>
        <w:spacing w:after="0" w:line="342" w:lineRule="auto"/>
        <w:rPr>
          <w:sz w:val="20"/>
          <w:szCs w:val="20"/>
          <w:color w:val="auto"/>
        </w:rPr>
      </w:pPr>
      <w:r>
        <w:rPr>
          <w:rFonts w:ascii="Arial" w:cs="Arial" w:eastAsia="Arial" w:hAnsi="Arial"/>
          <w:sz w:val="16"/>
          <w:szCs w:val="16"/>
          <w:color w:val="auto"/>
        </w:rPr>
        <w:t>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spacing w:after="0" w:line="124" w:lineRule="exact"/>
        <w:rPr>
          <w:sz w:val="20"/>
          <w:szCs w:val="20"/>
          <w:color w:val="auto"/>
        </w:rPr>
      </w:pPr>
    </w:p>
    <w:p>
      <w:pPr>
        <w:ind w:right="20" w:firstLine="656"/>
        <w:spacing w:after="0" w:line="312" w:lineRule="auto"/>
        <w:tabs>
          <w:tab w:leader="none" w:pos="130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142" w:lineRule="exact"/>
        <w:rPr>
          <w:rFonts w:ascii="Arial" w:cs="Arial" w:eastAsia="Arial" w:hAnsi="Arial"/>
          <w:sz w:val="16"/>
          <w:szCs w:val="16"/>
          <w:color w:val="auto"/>
        </w:rPr>
      </w:pPr>
    </w:p>
    <w:p>
      <w:pPr>
        <w:ind w:right="140" w:firstLine="656"/>
        <w:spacing w:after="0" w:line="347" w:lineRule="auto"/>
        <w:tabs>
          <w:tab w:leader="none" w:pos="131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Counterparty represents and warrants that 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220" w:firstLine="656"/>
        <w:spacing w:after="0" w:line="277" w:lineRule="auto"/>
        <w:tabs>
          <w:tab w:leader="none" w:pos="130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rFonts w:ascii="Arial" w:cs="Arial" w:eastAsia="Arial" w:hAnsi="Arial"/>
          <w:sz w:val="18"/>
          <w:szCs w:val="18"/>
          <w:color w:val="auto"/>
        </w:rPr>
      </w:pPr>
    </w:p>
    <w:p>
      <w:pPr>
        <w:ind w:right="20" w:firstLine="656"/>
        <w:spacing w:after="0" w:line="279" w:lineRule="auto"/>
        <w:tabs>
          <w:tab w:leader="none" w:pos="131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Counterparty represents and warrants that the assets used in the Transaction (i) are not assets of any “plan” (as such term is defined in Section 4975 of the U.S. Internal Revenue Code (the “</w:t>
      </w:r>
      <w:r>
        <w:rPr>
          <w:rFonts w:ascii="Arial" w:cs="Arial" w:eastAsia="Arial" w:hAnsi="Arial"/>
          <w:sz w:val="17"/>
          <w:szCs w:val="17"/>
          <w:b w:val="1"/>
          <w:bCs w:val="1"/>
          <w:color w:val="auto"/>
        </w:rPr>
        <w:t>Code</w:t>
      </w:r>
      <w:r>
        <w:rPr>
          <w:rFonts w:ascii="Arial" w:cs="Arial" w:eastAsia="Arial" w:hAnsi="Arial"/>
          <w:sz w:val="17"/>
          <w:szCs w:val="17"/>
          <w:color w:val="auto"/>
        </w:rPr>
        <w:t>”)) subject to Section 4975 of the Code or any “employee benefit plan” (as such term is defined in Section 3(3) of the U.S.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subject to Title I of ERISA, and (ii) do not constitute “plan assets” within the meaning of Department of Labor Regulation 2510.3-101, 29 CFR Section 2510-3-101.</w:t>
      </w:r>
    </w:p>
    <w:p>
      <w:pPr>
        <w:spacing w:after="0" w:line="171" w:lineRule="exact"/>
        <w:rPr>
          <w:rFonts w:ascii="Arial" w:cs="Arial" w:eastAsia="Arial" w:hAnsi="Arial"/>
          <w:sz w:val="17"/>
          <w:szCs w:val="17"/>
          <w:color w:val="auto"/>
        </w:rPr>
      </w:pPr>
    </w:p>
    <w:p>
      <w:pPr>
        <w:ind w:right="20" w:firstLine="656"/>
        <w:spacing w:after="0" w:line="257" w:lineRule="auto"/>
        <w:tabs>
          <w:tab w:leader="none" w:pos="130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On the Trade Date, neither Counterparty nor any “affiliate” or “affiliated purchaser” (each as defined in Rule 10b-18 under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8" w:lineRule="exact"/>
        <w:rPr>
          <w:sz w:val="20"/>
          <w:szCs w:val="20"/>
          <w:color w:val="auto"/>
        </w:rPr>
      </w:pPr>
    </w:p>
    <w:p>
      <w:pPr>
        <w:ind w:left="880" w:hanging="224"/>
        <w:spacing w:after="0"/>
        <w:tabs>
          <w:tab w:leader="none" w:pos="88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90" w:lineRule="auto"/>
        <w:tabs>
          <w:tab w:leader="none" w:pos="1294"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Right to Extend</w:t>
      </w:r>
      <w:r>
        <w:rPr>
          <w:rFonts w:ascii="Arial" w:cs="Arial" w:eastAsia="Arial" w:hAnsi="Arial"/>
          <w:sz w:val="16"/>
          <w:szCs w:val="16"/>
          <w:color w:val="auto"/>
        </w:rPr>
        <w:t>. Dealer may postpone or add, in whole or in part, any Exercise Date or Settlement Date or any other date of valuation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w:t>
      </w:r>
    </w:p>
    <w:p>
      <w:pPr>
        <w:spacing w:after="0" w:line="166" w:lineRule="exact"/>
        <w:rPr>
          <w:rFonts w:ascii="Arial" w:cs="Arial" w:eastAsia="Arial" w:hAnsi="Arial"/>
          <w:sz w:val="16"/>
          <w:szCs w:val="16"/>
          <w:color w:val="auto"/>
        </w:rPr>
      </w:pPr>
    </w:p>
    <w:p>
      <w:pPr>
        <w:ind w:right="140" w:firstLine="656"/>
        <w:spacing w:after="0" w:line="257" w:lineRule="auto"/>
        <w:tabs>
          <w:tab w:leader="none" w:pos="1304"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Additional Termination Events</w:t>
      </w:r>
      <w:r>
        <w:rPr>
          <w:rFonts w:ascii="Arial" w:cs="Arial" w:eastAsia="Arial" w:hAnsi="Arial"/>
          <w:sz w:val="18"/>
          <w:szCs w:val="18"/>
          <w:color w:val="auto"/>
        </w:rPr>
        <w:t>. The occurrence of (A) an event of default with respect to Counterparty under the terms of the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set forth in Section 7.01 of the Indenture,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w:t>
      </w:r>
    </w:p>
    <w:p>
      <w:pPr>
        <w:spacing w:after="0" w:line="184"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Event</w:t>
      </w:r>
      <w:r>
        <w:rPr>
          <w:rFonts w:ascii="Arial" w:cs="Arial" w:eastAsia="Arial" w:hAnsi="Arial"/>
          <w:sz w:val="18"/>
          <w:szCs w:val="18"/>
          <w:color w:val="auto"/>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89" w:name="page190"/>
    <w:bookmarkEnd w:id="189"/>
    <w:p>
      <w:pPr>
        <w:jc w:val="both"/>
        <w:ind w:left="660" w:right="140"/>
        <w:spacing w:after="0" w:line="259" w:lineRule="auto"/>
        <w:rPr>
          <w:sz w:val="20"/>
          <w:szCs w:val="20"/>
          <w:color w:val="auto"/>
        </w:rPr>
      </w:pPr>
      <w:r>
        <w:rPr>
          <w:rFonts w:ascii="Arial" w:cs="Arial" w:eastAsia="Arial" w:hAnsi="Arial"/>
          <w:sz w:val="18"/>
          <w:szCs w:val="18"/>
          <w:color w:val="auto"/>
        </w:rPr>
        <w:t>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spacing w:after="0" w:line="187" w:lineRule="exact"/>
        <w:rPr>
          <w:sz w:val="20"/>
          <w:szCs w:val="20"/>
          <w:color w:val="auto"/>
        </w:rPr>
      </w:pPr>
    </w:p>
    <w:p>
      <w:pPr>
        <w:ind w:right="60" w:firstLine="697"/>
        <w:spacing w:after="0" w:line="286" w:lineRule="auto"/>
        <w:tabs>
          <w:tab w:leader="none" w:pos="1307"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Dealer shall owe Counterparty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pursuant to Section 6(d)(ii) of the Agreement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8140" w:type="dxa"/>
            <w:vAlign w:val="bottom"/>
          </w:tcPr>
          <w:p>
            <w:pPr>
              <w:ind w:left="600"/>
              <w:spacing w:after="0"/>
              <w:rPr>
                <w:sz w:val="20"/>
                <w:szCs w:val="20"/>
                <w:color w:val="auto"/>
              </w:rPr>
            </w:pPr>
            <w:r>
              <w:rPr>
                <w:rFonts w:ascii="Arial" w:cs="Arial" w:eastAsia="Arial" w:hAnsi="Arial"/>
                <w:sz w:val="18"/>
                <w:szCs w:val="18"/>
                <w:color w:val="auto"/>
                <w:w w:val="93"/>
              </w:rPr>
              <w:t>If applicable, means that Dealer shall deliver to Counterparty the Share Termination Delivery Property</w:t>
            </w:r>
          </w:p>
        </w:tc>
      </w:tr>
      <w:tr>
        <w:trPr>
          <w:trHeight w:val="212"/>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1"/>
              </w:rPr>
              <w:t>on the date on which the Payment Obligation would otherwise be due pursuant to Section 6(d)(ii) of the</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3"/>
              </w:rPr>
              <w:t>Agreement or such later date or dates as Dealer may commercially reasonably determine (the “</w:t>
            </w:r>
            <w:r>
              <w:rPr>
                <w:rFonts w:ascii="Arial" w:cs="Arial" w:eastAsia="Arial" w:hAnsi="Arial"/>
                <w:sz w:val="18"/>
                <w:szCs w:val="18"/>
                <w:b w:val="1"/>
                <w:bCs w:val="1"/>
                <w:color w:val="auto"/>
                <w:w w:val="93"/>
              </w:rPr>
              <w:t>Share</w:t>
            </w:r>
          </w:p>
        </w:tc>
      </w:tr>
      <w:tr>
        <w:trPr>
          <w:trHeight w:val="220"/>
        </w:trPr>
        <w:tc>
          <w:tcPr>
            <w:tcW w:w="3320" w:type="dxa"/>
            <w:vAlign w:val="bottom"/>
          </w:tcPr>
          <w:p>
            <w:pPr>
              <w:spacing w:after="0"/>
              <w:rPr>
                <w:sz w:val="19"/>
                <w:szCs w:val="19"/>
                <w:color w:val="auto"/>
              </w:rPr>
            </w:pPr>
          </w:p>
        </w:tc>
        <w:tc>
          <w:tcPr>
            <w:tcW w:w="8140" w:type="dxa"/>
            <w:vAlign w:val="bottom"/>
          </w:tcPr>
          <w:p>
            <w:pPr>
              <w:ind w:left="600"/>
              <w:spacing w:after="0"/>
              <w:rPr>
                <w:sz w:val="20"/>
                <w:szCs w:val="20"/>
                <w:color w:val="auto"/>
              </w:rPr>
            </w:pPr>
            <w:r>
              <w:rPr>
                <w:rFonts w:ascii="Arial" w:cs="Arial" w:eastAsia="Arial" w:hAnsi="Arial"/>
                <w:sz w:val="18"/>
                <w:szCs w:val="18"/>
                <w:b w:val="1"/>
                <w:bCs w:val="1"/>
                <w:color w:val="auto"/>
                <w:w w:val="93"/>
              </w:rPr>
              <w:t>Termination Payment Date</w:t>
            </w:r>
            <w:r>
              <w:rPr>
                <w:rFonts w:ascii="Arial" w:cs="Arial" w:eastAsia="Arial" w:hAnsi="Arial"/>
                <w:sz w:val="18"/>
                <w:szCs w:val="18"/>
                <w:color w:val="auto"/>
                <w:w w:val="93"/>
              </w:rPr>
              <w:t>”) taking into account commercially reasonable hedging or hedge unwind</w:t>
            </w:r>
          </w:p>
        </w:tc>
      </w:tr>
      <w:tr>
        <w:trPr>
          <w:trHeight w:val="230"/>
        </w:trPr>
        <w:tc>
          <w:tcPr>
            <w:tcW w:w="3320" w:type="dxa"/>
            <w:vAlign w:val="bottom"/>
          </w:tcPr>
          <w:p>
            <w:pPr>
              <w:spacing w:after="0"/>
              <w:rPr>
                <w:sz w:val="20"/>
                <w:szCs w:val="20"/>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activity, in satisfaction of the Payment Obligation.</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Share Termination Delivery Property:</w:t>
            </w:r>
          </w:p>
        </w:tc>
        <w:tc>
          <w:tcPr>
            <w:tcW w:w="8140" w:type="dxa"/>
            <w:vAlign w:val="bottom"/>
          </w:tcPr>
          <w:p>
            <w:pPr>
              <w:ind w:left="600"/>
              <w:spacing w:after="0"/>
              <w:rPr>
                <w:sz w:val="20"/>
                <w:szCs w:val="20"/>
                <w:color w:val="auto"/>
              </w:rPr>
            </w:pPr>
            <w:r>
              <w:rPr>
                <w:rFonts w:ascii="Arial" w:cs="Arial" w:eastAsia="Arial" w:hAnsi="Arial"/>
                <w:sz w:val="18"/>
                <w:szCs w:val="18"/>
                <w:color w:val="auto"/>
                <w:w w:val="95"/>
              </w:rPr>
              <w:t>A number of Share Termination Delivery Units, as calculated by the Calculation Agent, equal to the</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5"/>
              </w:rPr>
              <w:t>Payment Obligation divided by the Share Termination Unit Price. The Calculation Agent shall adjust</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2"/>
              </w:rPr>
              <w:t>the Share Termination Delivery Property by replacing any fractional portion of the aggregate amount of</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5"/>
              </w:rPr>
              <w:t>a security therein with an amount of cash equal to the value of such fractional security based on the</w:t>
            </w:r>
          </w:p>
        </w:tc>
      </w:tr>
      <w:tr>
        <w:trPr>
          <w:trHeight w:val="230"/>
        </w:trPr>
        <w:tc>
          <w:tcPr>
            <w:tcW w:w="3320" w:type="dxa"/>
            <w:vAlign w:val="bottom"/>
          </w:tcPr>
          <w:p>
            <w:pPr>
              <w:spacing w:after="0"/>
              <w:rPr>
                <w:sz w:val="20"/>
                <w:szCs w:val="20"/>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values used to calculate the Share Termination Unit Price.</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Share Termination Unit Price:</w:t>
            </w:r>
          </w:p>
        </w:tc>
        <w:tc>
          <w:tcPr>
            <w:tcW w:w="8140" w:type="dxa"/>
            <w:vAlign w:val="bottom"/>
          </w:tcPr>
          <w:p>
            <w:pPr>
              <w:ind w:left="600"/>
              <w:spacing w:after="0"/>
              <w:rPr>
                <w:sz w:val="20"/>
                <w:szCs w:val="20"/>
                <w:color w:val="auto"/>
              </w:rPr>
            </w:pPr>
            <w:r>
              <w:rPr>
                <w:rFonts w:ascii="Arial" w:cs="Arial" w:eastAsia="Arial" w:hAnsi="Arial"/>
                <w:sz w:val="18"/>
                <w:szCs w:val="18"/>
                <w:color w:val="auto"/>
                <w:w w:val="99"/>
              </w:rPr>
              <w:t>The value of property contained in one Share Termination Delivery Unit on the date such Share</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2"/>
              </w:rPr>
              <w:t>Termination Delivery Units are to be delivered as Share Termination Delivery Property, as determined</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5"/>
              </w:rPr>
              <w:t>by the Calculation Agent and notified by the Calculation Agent to Dealer at the time of notification of</w:t>
            </w:r>
          </w:p>
        </w:tc>
      </w:tr>
      <w:tr>
        <w:trPr>
          <w:trHeight w:val="230"/>
        </w:trPr>
        <w:tc>
          <w:tcPr>
            <w:tcW w:w="3320" w:type="dxa"/>
            <w:vAlign w:val="bottom"/>
          </w:tcPr>
          <w:p>
            <w:pPr>
              <w:spacing w:after="0"/>
              <w:rPr>
                <w:sz w:val="20"/>
                <w:szCs w:val="20"/>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the Payment Obligation.</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Share Termination Delivery Unit:</w:t>
            </w:r>
          </w:p>
        </w:tc>
        <w:tc>
          <w:tcPr>
            <w:tcW w:w="8140" w:type="dxa"/>
            <w:vAlign w:val="bottom"/>
          </w:tcPr>
          <w:p>
            <w:pPr>
              <w:ind w:left="600"/>
              <w:spacing w:after="0"/>
              <w:rPr>
                <w:sz w:val="20"/>
                <w:szCs w:val="20"/>
                <w:color w:val="auto"/>
              </w:rPr>
            </w:pPr>
            <w:r>
              <w:rPr>
                <w:rFonts w:ascii="Arial" w:cs="Arial" w:eastAsia="Arial" w:hAnsi="Arial"/>
                <w:sz w:val="18"/>
                <w:szCs w:val="18"/>
                <w:color w:val="auto"/>
                <w:w w:val="93"/>
              </w:rPr>
              <w:t>In the case of a Termination Event (other than on account of an Insolvency, Nationalization or Merger</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7"/>
              </w:rPr>
              <w:t>Event), Event of Default, Delisting or Additional Disruption Event, one Share or, in the case of an</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1"/>
              </w:rPr>
              <w:t>Insolvency, Nationalization or Merger Event, one Share or a unit consisting of the number or amount of</w:t>
            </w:r>
          </w:p>
        </w:tc>
      </w:tr>
      <w:tr>
        <w:trPr>
          <w:trHeight w:val="216"/>
        </w:trPr>
        <w:tc>
          <w:tcPr>
            <w:tcW w:w="33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w w:val="94"/>
              </w:rPr>
              <w:t>each type of property received by a holder of one Share (without consideration of any requirement to</w:t>
            </w:r>
          </w:p>
        </w:tc>
      </w:tr>
      <w:tr>
        <w:trPr>
          <w:trHeight w:val="230"/>
        </w:trPr>
        <w:tc>
          <w:tcPr>
            <w:tcW w:w="3320" w:type="dxa"/>
            <w:vAlign w:val="bottom"/>
          </w:tcPr>
          <w:p>
            <w:pPr>
              <w:spacing w:after="0"/>
              <w:rPr>
                <w:sz w:val="20"/>
                <w:szCs w:val="20"/>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pay cash or other consideration in lieu of fractional amounts of any</w:t>
            </w:r>
          </w:p>
        </w:tc>
      </w:tr>
      <w:tr>
        <w:trPr>
          <w:trHeight w:val="432"/>
        </w:trPr>
        <w:tc>
          <w:tcPr>
            <w:tcW w:w="3320" w:type="dxa"/>
            <w:vAlign w:val="bottom"/>
          </w:tcPr>
          <w:p>
            <w:pPr>
              <w:spacing w:after="0"/>
              <w:rPr>
                <w:sz w:val="24"/>
                <w:szCs w:val="24"/>
                <w:color w:val="auto"/>
              </w:rPr>
            </w:pPr>
          </w:p>
        </w:tc>
        <w:tc>
          <w:tcPr>
            <w:tcW w:w="8140" w:type="dxa"/>
            <w:vAlign w:val="bottom"/>
          </w:tcPr>
          <w:p>
            <w:pPr>
              <w:ind w:left="2300"/>
              <w:spacing w:after="0"/>
              <w:rPr>
                <w:sz w:val="20"/>
                <w:szCs w:val="20"/>
                <w:color w:val="auto"/>
              </w:rPr>
            </w:pPr>
            <w:r>
              <w:rPr>
                <w:rFonts w:ascii="Arial" w:cs="Arial" w:eastAsia="Arial" w:hAnsi="Arial"/>
                <w:sz w:val="18"/>
                <w:szCs w:val="18"/>
                <w:color w:val="auto"/>
              </w:rPr>
              <w:t>20</w:t>
            </w:r>
          </w:p>
        </w:tc>
      </w:tr>
      <w:tr>
        <w:trPr>
          <w:trHeight w:val="132"/>
        </w:trPr>
        <w:tc>
          <w:tcPr>
            <w:tcW w:w="3320" w:type="dxa"/>
            <w:vAlign w:val="bottom"/>
            <w:tcBorders>
              <w:bottom w:val="single" w:sz="8" w:color="808080"/>
            </w:tcBorders>
          </w:tcPr>
          <w:p>
            <w:pPr>
              <w:spacing w:after="0"/>
              <w:rPr>
                <w:sz w:val="11"/>
                <w:szCs w:val="11"/>
                <w:color w:val="auto"/>
              </w:rPr>
            </w:pPr>
          </w:p>
        </w:tc>
        <w:tc>
          <w:tcPr>
            <w:tcW w:w="8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90" w:name="page191"/>
    <w:bookmarkEnd w:id="190"/>
    <w:p>
      <w:pPr>
        <w:jc w:val="both"/>
        <w:ind w:left="3920" w:right="360"/>
        <w:spacing w:after="0" w:line="312" w:lineRule="auto"/>
        <w:rPr>
          <w:sz w:val="20"/>
          <w:szCs w:val="20"/>
          <w:color w:val="auto"/>
        </w:rPr>
      </w:pPr>
      <w:r>
        <w:rPr>
          <w:rFonts w:ascii="Arial" w:cs="Arial" w:eastAsia="Arial" w:hAnsi="Arial"/>
          <w:sz w:val="16"/>
          <w:szCs w:val="16"/>
          <w:color w:val="auto"/>
        </w:rPr>
        <w:t>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p>
      <w:pPr>
        <w:sectPr>
          <w:pgSz w:w="11900" w:h="16838" w:orient="portrait"/>
          <w:cols w:equalWidth="0" w:num="1">
            <w:col w:w="11400"/>
          </w:cols>
          <w:pgMar w:left="240" w:top="341" w:right="25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211" w:lineRule="exact"/>
        <w:rPr>
          <w:sz w:val="20"/>
          <w:szCs w:val="20"/>
          <w:color w:val="auto"/>
        </w:rPr>
      </w:pPr>
    </w:p>
    <w:p>
      <w:pPr>
        <w:sectPr>
          <w:pgSz w:w="11900" w:h="16838" w:orient="portrait"/>
          <w:cols w:equalWidth="0" w:num="2">
            <w:col w:w="3200" w:space="720"/>
            <w:col w:w="7480"/>
          </w:cols>
          <w:pgMar w:left="240" w:top="341"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p>
      <w:pPr>
        <w:spacing w:after="0" w:line="174" w:lineRule="exact"/>
        <w:rPr>
          <w:sz w:val="20"/>
          <w:szCs w:val="20"/>
          <w:color w:val="auto"/>
        </w:rPr>
      </w:pPr>
    </w:p>
    <w:p>
      <w:pPr>
        <w:sectPr>
          <w:pgSz w:w="11900" w:h="16838" w:orient="portrait"/>
          <w:cols w:equalWidth="0" w:num="2">
            <w:col w:w="3200" w:space="720"/>
            <w:col w:w="7480"/>
          </w:cols>
          <w:pgMar w:left="240" w:top="341" w:right="259" w:bottom="1440" w:gutter="0" w:footer="0" w:header="0"/>
          <w:type w:val="continuous"/>
        </w:sectPr>
      </w:pPr>
    </w:p>
    <w:p>
      <w:pPr>
        <w:ind w:right="20" w:firstLine="656"/>
        <w:spacing w:after="0" w:line="286" w:lineRule="auto"/>
        <w:tabs>
          <w:tab w:leader="none" w:pos="1304" w:val="left"/>
        </w:tabs>
        <w:numPr>
          <w:ilvl w:val="1"/>
          <w:numId w:val="216"/>
        </w:numPr>
        <w:rPr>
          <w:rFonts w:ascii="Arial" w:cs="Arial" w:eastAsia="Arial" w:hAnsi="Arial"/>
          <w:sz w:val="16"/>
          <w:szCs w:val="16"/>
          <w:color w:val="auto"/>
        </w:rPr>
      </w:pPr>
      <w:r>
        <w:rPr>
          <w:rFonts w:ascii="Arial" w:cs="Arial" w:eastAsia="Arial" w:hAnsi="Arial"/>
          <w:sz w:val="16"/>
          <w:szCs w:val="16"/>
          <w:i w:val="1"/>
          <w:iCs w:val="1"/>
          <w:color w:val="auto"/>
        </w:rPr>
        <w:t>Disposition of Hedge Shares</w:t>
      </w:r>
      <w:r>
        <w:rPr>
          <w:rFonts w:ascii="Arial" w:cs="Arial" w:eastAsia="Arial" w:hAnsi="Arial"/>
          <w:sz w:val="16"/>
          <w:szCs w:val="16"/>
          <w:color w:val="auto"/>
        </w:rPr>
        <w:t>. Counterparty hereby agrees that if, in the good faith reasonable judgment of Dealer, the Shares (the “</w:t>
      </w:r>
      <w:r>
        <w:rPr>
          <w:rFonts w:ascii="Arial" w:cs="Arial" w:eastAsia="Arial" w:hAnsi="Arial"/>
          <w:sz w:val="16"/>
          <w:szCs w:val="16"/>
          <w:b w:val="1"/>
          <w:bCs w:val="1"/>
          <w:color w:val="auto"/>
        </w:rPr>
        <w:t>Hedge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acquired by Dealer for the purpose of hedging its obligations pursuant to the Transaction in a commercially reasonable manner cannot be sold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satisfactory to Dealer, substantially in the form of an underwriting agreement for a registered offering,</w:t>
      </w:r>
    </w:p>
    <w:p>
      <w:pPr>
        <w:spacing w:after="0" w:line="2" w:lineRule="exact"/>
        <w:rPr>
          <w:rFonts w:ascii="Arial" w:cs="Arial" w:eastAsia="Arial" w:hAnsi="Arial"/>
          <w:sz w:val="16"/>
          <w:szCs w:val="16"/>
          <w:color w:val="auto"/>
        </w:rPr>
      </w:pPr>
    </w:p>
    <w:p>
      <w:pPr>
        <w:ind w:firstLine="8"/>
        <w:spacing w:after="0" w:line="284" w:lineRule="auto"/>
        <w:tabs>
          <w:tab w:leader="none" w:pos="28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spacing w:after="0" w:line="177" w:lineRule="exact"/>
        <w:rPr>
          <w:rFonts w:ascii="Arial" w:cs="Arial" w:eastAsia="Arial" w:hAnsi="Arial"/>
          <w:sz w:val="16"/>
          <w:szCs w:val="16"/>
          <w:color w:val="auto"/>
        </w:rPr>
      </w:pPr>
    </w:p>
    <w:p>
      <w:pPr>
        <w:ind w:right="100" w:firstLine="656"/>
        <w:spacing w:after="0" w:line="273" w:lineRule="auto"/>
        <w:tabs>
          <w:tab w:leader="none" w:pos="1307" w:val="left"/>
        </w:tabs>
        <w:numPr>
          <w:ilvl w:val="1"/>
          <w:numId w:val="217"/>
        </w:numPr>
        <w:rPr>
          <w:rFonts w:ascii="Arial" w:cs="Arial" w:eastAsia="Arial" w:hAnsi="Arial"/>
          <w:sz w:val="17"/>
          <w:szCs w:val="17"/>
          <w:color w:val="auto"/>
        </w:rPr>
      </w:pPr>
      <w:r>
        <w:rPr>
          <w:rFonts w:ascii="Arial" w:cs="Arial" w:eastAsia="Arial" w:hAnsi="Arial"/>
          <w:sz w:val="17"/>
          <w:szCs w:val="17"/>
          <w:i w:val="1"/>
          <w:iCs w:val="1"/>
          <w:color w:val="auto"/>
        </w:rPr>
        <w:t>Repurchase and Conversion Rate Adjustment Notices</w:t>
      </w:r>
      <w:r>
        <w:rPr>
          <w:rFonts w:ascii="Arial" w:cs="Arial" w:eastAsia="Arial" w:hAnsi="Arial"/>
          <w:sz w:val="17"/>
          <w:szCs w:val="17"/>
          <w:color w:val="auto"/>
        </w:rPr>
        <w:t>. Counterparty shall, at least two Exchange Business Days prior to any day on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Counterparty effects any repurchase of Shares or consummates or otherwise engages in any transaction or event (a “</w:t>
      </w:r>
      <w:r>
        <w:rPr>
          <w:rFonts w:ascii="Arial" w:cs="Arial" w:eastAsia="Arial" w:hAnsi="Arial"/>
          <w:sz w:val="17"/>
          <w:szCs w:val="17"/>
          <w:b w:val="1"/>
          <w:bCs w:val="1"/>
          <w:color w:val="auto"/>
        </w:rPr>
        <w:t>Conversion Rate Adjustment Event</w:t>
      </w:r>
      <w:r>
        <w:rPr>
          <w:rFonts w:ascii="Arial" w:cs="Arial" w:eastAsia="Arial" w:hAnsi="Arial"/>
          <w:sz w:val="17"/>
          <w:szCs w:val="17"/>
          <w:color w:val="auto"/>
        </w:rPr>
        <w:t>”) that could reasonably be expected to lead to an increase in the Conversion Rate, give Dealer a written notice of such repurchase or Conversion Rate Adjustment Event (a “</w:t>
      </w:r>
      <w:r>
        <w:rPr>
          <w:rFonts w:ascii="Arial" w:cs="Arial" w:eastAsia="Arial" w:hAnsi="Arial"/>
          <w:sz w:val="17"/>
          <w:szCs w:val="17"/>
          <w:b w:val="1"/>
          <w:bCs w:val="1"/>
          <w:color w:val="auto"/>
        </w:rPr>
        <w:t>Repurchase Notice</w:t>
      </w:r>
      <w:r>
        <w:rPr>
          <w:rFonts w:ascii="Arial" w:cs="Arial" w:eastAsia="Arial" w:hAnsi="Arial"/>
          <w:sz w:val="17"/>
          <w:szCs w:val="17"/>
          <w:color w:val="auto"/>
        </w:rPr>
        <w:t>”) on such day if, following such repurchase or Conversion Rate Adjustment Event, the Notice Percentage would reasonably be expected to be (i) greater than 8.0% and (ii) greater by 0.5% than the Notice Percentage included in the immediately preceding Repurchase Notice (or, in the case of the first such Repurchase Notice, greater than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191" w:name="page192"/>
    <w:bookmarkEnd w:id="191"/>
    <w:p>
      <w:pPr>
        <w:spacing w:after="0" w:line="268" w:lineRule="auto"/>
        <w:rPr>
          <w:sz w:val="20"/>
          <w:szCs w:val="20"/>
          <w:color w:val="auto"/>
        </w:rPr>
      </w:pPr>
      <w:r>
        <w:rPr>
          <w:rFonts w:ascii="Arial" w:cs="Arial" w:eastAsia="Arial" w:hAnsi="Arial"/>
          <w:sz w:val="17"/>
          <w:szCs w:val="17"/>
          <w:color w:val="auto"/>
        </w:rPr>
        <w:t>the Notice Percentage as of the date hereof). The “</w:t>
      </w:r>
      <w:r>
        <w:rPr>
          <w:rFonts w:ascii="Arial" w:cs="Arial" w:eastAsia="Arial" w:hAnsi="Arial"/>
          <w:sz w:val="17"/>
          <w:szCs w:val="17"/>
          <w:b w:val="1"/>
          <w:bCs w:val="1"/>
          <w:color w:val="auto"/>
        </w:rPr>
        <w:t>Notice Percentage</w:t>
      </w:r>
      <w:r>
        <w:rPr>
          <w:rFonts w:ascii="Arial" w:cs="Arial" w:eastAsia="Arial" w:hAnsi="Arial"/>
          <w:sz w:val="17"/>
          <w:szCs w:val="17"/>
          <w:color w:val="auto"/>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Arial" w:cs="Arial" w:eastAsia="Arial" w:hAnsi="Arial"/>
          <w:sz w:val="17"/>
          <w:szCs w:val="17"/>
          <w:b w:val="1"/>
          <w:bCs w:val="1"/>
          <w:color w:val="auto"/>
        </w:rPr>
        <w:t>Indemnified Party</w:t>
      </w:r>
      <w:r>
        <w:rPr>
          <w:rFonts w:ascii="Arial" w:cs="Arial" w:eastAsia="Arial" w:hAnsi="Arial"/>
          <w:sz w:val="17"/>
          <w:szCs w:val="17"/>
          <w:color w:val="auto"/>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spacing w:after="0" w:line="183" w:lineRule="exact"/>
        <w:rPr>
          <w:sz w:val="20"/>
          <w:szCs w:val="20"/>
          <w:color w:val="auto"/>
        </w:rPr>
      </w:pPr>
    </w:p>
    <w:p>
      <w:pPr>
        <w:ind w:right="20" w:firstLine="638"/>
        <w:spacing w:after="0" w:line="267" w:lineRule="auto"/>
        <w:tabs>
          <w:tab w:leader="none" w:pos="1296" w:val="left"/>
        </w:tabs>
        <w:numPr>
          <w:ilvl w:val="0"/>
          <w:numId w:val="218"/>
        </w:numPr>
        <w:rPr>
          <w:rFonts w:ascii="Arial" w:cs="Arial" w:eastAsia="Arial" w:hAnsi="Arial"/>
          <w:sz w:val="17"/>
          <w:szCs w:val="17"/>
          <w:color w:val="auto"/>
        </w:rPr>
      </w:pPr>
      <w:r>
        <w:rPr>
          <w:rFonts w:ascii="Arial" w:cs="Arial" w:eastAsia="Arial" w:hAnsi="Arial"/>
          <w:sz w:val="17"/>
          <w:szCs w:val="17"/>
          <w:i w:val="1"/>
          <w:iCs w:val="1"/>
          <w:color w:val="auto"/>
        </w:rPr>
        <w:t>Transfer and Assignment</w:t>
      </w:r>
      <w:r>
        <w:rPr>
          <w:rFonts w:ascii="Arial" w:cs="Arial" w:eastAsia="Arial" w:hAnsi="Arial"/>
          <w:sz w:val="17"/>
          <w:szCs w:val="17"/>
          <w:color w:val="auto"/>
        </w:rPr>
        <w:t>. Either party may transfer or assign any of its rights or obligations under the Transaction with the prior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consent of the non-transferring party,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Dealer may transfer or assign without any consent of Counterparty its rights and obligations hereunder, in whole or in part, to (i) any affiliate of Dealer or (ii) any person, or any person whose obligations would be guaranteed by a person, in either case, of credit quality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Arial" w:cs="Arial" w:eastAsia="Arial" w:hAnsi="Arial"/>
          <w:sz w:val="17"/>
          <w:szCs w:val="17"/>
          <w:b w:val="1"/>
          <w:bCs w:val="1"/>
          <w:color w:val="auto"/>
        </w:rPr>
        <w:t>Dealer Person</w:t>
      </w:r>
      <w:r>
        <w:rPr>
          <w:rFonts w:ascii="Arial" w:cs="Arial" w:eastAsia="Arial" w:hAnsi="Arial"/>
          <w:sz w:val="17"/>
          <w:szCs w:val="17"/>
          <w:color w:val="auto"/>
        </w:rPr>
        <w:t>”) under the Iowa Business Corporation Act or other federal, state or local law, rule, regulation or regulatory order or organizational documents or contracts of Counterparty applicable to ownership of Shares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owns, beneficially owns, constructively owns, controls, holds the power to vote or otherwise meets a relevant definition of ownership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1% of the number of Shares outstanding on the date of determination (either such condition described in clause (1) or (2), an “</w:t>
      </w:r>
      <w:r>
        <w:rPr>
          <w:rFonts w:ascii="Arial" w:cs="Arial" w:eastAsia="Arial" w:hAnsi="Arial"/>
          <w:sz w:val="17"/>
          <w:szCs w:val="17"/>
          <w:b w:val="1"/>
          <w:bCs w:val="1"/>
          <w:color w:val="auto"/>
        </w:rPr>
        <w:t>Excess</w:t>
      </w:r>
      <w:r>
        <w:rPr>
          <w:rFonts w:ascii="Arial" w:cs="Arial" w:eastAsia="Arial" w:hAnsi="Arial"/>
          <w:sz w:val="17"/>
          <w:szCs w:val="17"/>
          <w:color w:val="auto"/>
        </w:rPr>
        <w:t xml:space="preserve"> </w:t>
      </w:r>
      <w:r>
        <w:rPr>
          <w:rFonts w:ascii="Arial" w:cs="Arial" w:eastAsia="Arial" w:hAnsi="Arial"/>
          <w:sz w:val="17"/>
          <w:szCs w:val="17"/>
          <w:b w:val="1"/>
          <w:bCs w:val="1"/>
          <w:color w:val="auto"/>
        </w:rPr>
        <w:t>Ownership Position</w:t>
      </w:r>
      <w:r>
        <w:rPr>
          <w:rFonts w:ascii="Arial" w:cs="Arial" w:eastAsia="Arial" w:hAnsi="Arial"/>
          <w:sz w:val="17"/>
          <w:szCs w:val="17"/>
          <w:color w:val="auto"/>
        </w:rPr>
        <w:t>”), Dealer, in its discretion, is unable to effect a transfer or assignment to a third party after its commercially reasonable efforts on pricing</w:t>
      </w:r>
      <w:r>
        <w:rPr>
          <w:rFonts w:ascii="Arial" w:cs="Arial" w:eastAsia="Arial" w:hAnsi="Arial"/>
          <w:sz w:val="17"/>
          <w:szCs w:val="17"/>
          <w:b w:val="1"/>
          <w:bCs w:val="1"/>
          <w:color w:val="auto"/>
        </w:rPr>
        <w:t xml:space="preserve"> </w:t>
      </w:r>
      <w:r>
        <w:rPr>
          <w:rFonts w:ascii="Arial" w:cs="Arial" w:eastAsia="Arial" w:hAnsi="Arial"/>
          <w:sz w:val="17"/>
          <w:szCs w:val="17"/>
          <w:color w:val="auto"/>
        </w:rPr>
        <w:t>and terms and within a time period reasonably acceptable to Dealer such that an Excess Ownership Position no longer exists, Dealer may designate any Scheduled Trading Day as an Early Termination Date with respect to a portion (the “</w:t>
      </w:r>
      <w:r>
        <w:rPr>
          <w:rFonts w:ascii="Arial" w:cs="Arial" w:eastAsia="Arial" w:hAnsi="Arial"/>
          <w:sz w:val="17"/>
          <w:szCs w:val="17"/>
          <w:b w:val="1"/>
          <w:bCs w:val="1"/>
          <w:color w:val="auto"/>
        </w:rPr>
        <w:t>Terminated Portion</w:t>
      </w:r>
      <w:r>
        <w:rPr>
          <w:rFonts w:ascii="Arial" w:cs="Arial" w:eastAsia="Arial" w:hAnsi="Arial"/>
          <w:sz w:val="17"/>
          <w:szCs w:val="17"/>
          <w:color w:val="auto"/>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2" w:name="page193"/>
    <w:bookmarkEnd w:id="192"/>
    <w:p>
      <w:pPr>
        <w:ind w:right="200"/>
        <w:spacing w:after="0" w:line="284" w:lineRule="auto"/>
        <w:rPr>
          <w:sz w:val="20"/>
          <w:szCs w:val="20"/>
          <w:color w:val="auto"/>
        </w:rPr>
      </w:pPr>
      <w:r>
        <w:rPr>
          <w:rFonts w:ascii="Arial" w:cs="Arial" w:eastAsia="Arial" w:hAnsi="Arial"/>
          <w:sz w:val="16"/>
          <w:szCs w:val="16"/>
          <w:color w:val="auto"/>
        </w:rPr>
        <w:t>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Arial" w:cs="Arial" w:eastAsia="Arial" w:hAnsi="Arial"/>
          <w:sz w:val="16"/>
          <w:szCs w:val="16"/>
          <w:b w:val="1"/>
          <w:bCs w:val="1"/>
          <w:color w:val="auto"/>
        </w:rPr>
        <w:t>Dealer Group</w:t>
      </w:r>
      <w:r>
        <w:rPr>
          <w:rFonts w:ascii="Arial" w:cs="Arial" w:eastAsia="Arial" w:hAnsi="Arial"/>
          <w:sz w:val="16"/>
          <w:szCs w:val="16"/>
          <w:color w:val="auto"/>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w:t>
      </w:r>
    </w:p>
    <w:p>
      <w:pPr>
        <w:spacing w:after="0" w:line="3" w:lineRule="exact"/>
        <w:rPr>
          <w:sz w:val="20"/>
          <w:szCs w:val="20"/>
          <w:color w:val="auto"/>
        </w:rPr>
      </w:pPr>
    </w:p>
    <w:p>
      <w:pPr>
        <w:jc w:val="both"/>
        <w:ind w:firstLine="8"/>
        <w:spacing w:after="0" w:line="254" w:lineRule="auto"/>
        <w:tabs>
          <w:tab w:leader="none" w:pos="28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Arial" w:cs="Arial" w:eastAsia="Arial" w:hAnsi="Arial"/>
          <w:sz w:val="18"/>
          <w:szCs w:val="18"/>
          <w:b w:val="1"/>
          <w:bCs w:val="1"/>
          <w:color w:val="auto"/>
        </w:rPr>
        <w:t>Transfer Options</w:t>
      </w:r>
      <w:r>
        <w:rPr>
          <w:rFonts w:ascii="Arial" w:cs="Arial" w:eastAsia="Arial" w:hAnsi="Arial"/>
          <w:sz w:val="18"/>
          <w:szCs w:val="18"/>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189" w:lineRule="exact"/>
        <w:rPr>
          <w:rFonts w:ascii="Arial" w:cs="Arial" w:eastAsia="Arial" w:hAnsi="Arial"/>
          <w:sz w:val="18"/>
          <w:szCs w:val="18"/>
          <w:color w:val="auto"/>
        </w:rPr>
      </w:pPr>
    </w:p>
    <w:p>
      <w:pPr>
        <w:ind w:left="720" w:right="140" w:firstLine="638"/>
        <w:spacing w:after="0" w:line="277" w:lineRule="auto"/>
        <w:tabs>
          <w:tab w:leader="none" w:pos="1965" w:val="left"/>
        </w:tabs>
        <w:numPr>
          <w:ilvl w:val="2"/>
          <w:numId w:val="219"/>
        </w:numPr>
        <w:rPr>
          <w:rFonts w:ascii="Arial" w:cs="Arial" w:eastAsia="Arial" w:hAnsi="Arial"/>
          <w:sz w:val="18"/>
          <w:szCs w:val="18"/>
          <w:color w:val="auto"/>
        </w:rPr>
      </w:pPr>
      <w:r>
        <w:rPr>
          <w:rFonts w:ascii="Arial" w:cs="Arial" w:eastAsia="Arial" w:hAnsi="Arial"/>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170" w:lineRule="exact"/>
        <w:rPr>
          <w:rFonts w:ascii="Arial" w:cs="Arial" w:eastAsia="Arial" w:hAnsi="Arial"/>
          <w:sz w:val="18"/>
          <w:szCs w:val="18"/>
          <w:color w:val="auto"/>
        </w:rPr>
      </w:pPr>
    </w:p>
    <w:p>
      <w:pPr>
        <w:ind w:left="720" w:right="100" w:firstLine="638"/>
        <w:spacing w:after="0" w:line="277" w:lineRule="auto"/>
        <w:tabs>
          <w:tab w:leader="none" w:pos="1955" w:val="left"/>
        </w:tabs>
        <w:numPr>
          <w:ilvl w:val="2"/>
          <w:numId w:val="219"/>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United States person (as defined in the Internal Revenue Code of 1986, as amended(the “Code”));</w:t>
      </w:r>
    </w:p>
    <w:p>
      <w:pPr>
        <w:spacing w:after="0" w:line="170" w:lineRule="exact"/>
        <w:rPr>
          <w:rFonts w:ascii="Arial" w:cs="Arial" w:eastAsia="Arial" w:hAnsi="Arial"/>
          <w:sz w:val="18"/>
          <w:szCs w:val="18"/>
          <w:color w:val="auto"/>
        </w:rPr>
      </w:pPr>
    </w:p>
    <w:p>
      <w:pPr>
        <w:jc w:val="both"/>
        <w:ind w:left="720" w:right="20" w:firstLine="638"/>
        <w:spacing w:after="0" w:line="302" w:lineRule="auto"/>
        <w:tabs>
          <w:tab w:leader="none" w:pos="1955" w:val="left"/>
        </w:tabs>
        <w:numPr>
          <w:ilvl w:val="2"/>
          <w:numId w:val="219"/>
        </w:numPr>
        <w:rPr>
          <w:rFonts w:ascii="Arial" w:cs="Arial" w:eastAsia="Arial" w:hAnsi="Arial"/>
          <w:sz w:val="16"/>
          <w:szCs w:val="16"/>
          <w:color w:val="auto"/>
        </w:rPr>
      </w:pPr>
      <w:r>
        <w:rPr>
          <w:rFonts w:ascii="Arial" w:cs="Arial" w:eastAsia="Arial" w:hAnsi="Arial"/>
          <w:sz w:val="16"/>
          <w:szCs w:val="16"/>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spacing w:after="0" w:line="154" w:lineRule="exact"/>
        <w:rPr>
          <w:rFonts w:ascii="Arial" w:cs="Arial" w:eastAsia="Arial" w:hAnsi="Arial"/>
          <w:sz w:val="16"/>
          <w:szCs w:val="16"/>
          <w:color w:val="auto"/>
        </w:rPr>
      </w:pPr>
    </w:p>
    <w:p>
      <w:pPr>
        <w:ind w:left="720" w:right="300" w:firstLine="638"/>
        <w:spacing w:after="0" w:line="264" w:lineRule="auto"/>
        <w:tabs>
          <w:tab w:leader="none" w:pos="1965" w:val="left"/>
        </w:tabs>
        <w:numPr>
          <w:ilvl w:val="2"/>
          <w:numId w:val="219"/>
        </w:numPr>
        <w:rPr>
          <w:rFonts w:ascii="Arial" w:cs="Arial" w:eastAsia="Arial" w:hAnsi="Arial"/>
          <w:sz w:val="18"/>
          <w:szCs w:val="18"/>
          <w:color w:val="auto"/>
        </w:rPr>
      </w:pPr>
      <w:r>
        <w:rPr>
          <w:rFonts w:ascii="Arial" w:cs="Arial" w:eastAsia="Arial" w:hAnsi="Arial"/>
          <w:sz w:val="18"/>
          <w:szCs w:val="18"/>
          <w:color w:val="auto"/>
        </w:rPr>
        <w:t>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181" w:lineRule="exact"/>
        <w:rPr>
          <w:rFonts w:ascii="Arial" w:cs="Arial" w:eastAsia="Arial" w:hAnsi="Arial"/>
          <w:sz w:val="18"/>
          <w:szCs w:val="18"/>
          <w:color w:val="auto"/>
        </w:rPr>
      </w:pPr>
    </w:p>
    <w:p>
      <w:pPr>
        <w:ind w:left="1960" w:hanging="602"/>
        <w:spacing w:after="0"/>
        <w:tabs>
          <w:tab w:leader="none" w:pos="1960" w:val="left"/>
        </w:tabs>
        <w:numPr>
          <w:ilvl w:val="2"/>
          <w:numId w:val="219"/>
        </w:numPr>
        <w:rPr>
          <w:rFonts w:ascii="Arial" w:cs="Arial" w:eastAsia="Arial" w:hAnsi="Arial"/>
          <w:sz w:val="16"/>
          <w:szCs w:val="16"/>
          <w:color w:val="auto"/>
        </w:rPr>
      </w:pPr>
      <w:r>
        <w:rPr>
          <w:rFonts w:ascii="Arial" w:cs="Arial" w:eastAsia="Arial" w:hAnsi="Arial"/>
          <w:sz w:val="16"/>
          <w:szCs w:val="16"/>
          <w:color w:val="auto"/>
        </w:rPr>
        <w:t>An Event of Default, Potential Event of Default or Termination Event shall not occur as a result of such transfer and assignment;</w:t>
      </w:r>
    </w:p>
    <w:p>
      <w:pPr>
        <w:spacing w:after="0" w:line="248" w:lineRule="exact"/>
        <w:rPr>
          <w:rFonts w:ascii="Arial" w:cs="Arial" w:eastAsia="Arial" w:hAnsi="Arial"/>
          <w:sz w:val="16"/>
          <w:szCs w:val="16"/>
          <w:color w:val="auto"/>
        </w:rPr>
      </w:pPr>
    </w:p>
    <w:p>
      <w:pPr>
        <w:ind w:left="720" w:right="620" w:firstLine="638"/>
        <w:spacing w:after="0" w:line="286" w:lineRule="auto"/>
        <w:tabs>
          <w:tab w:leader="none" w:pos="1962" w:val="left"/>
        </w:tabs>
        <w:numPr>
          <w:ilvl w:val="2"/>
          <w:numId w:val="219"/>
        </w:numPr>
        <w:rPr>
          <w:rFonts w:ascii="Arial" w:cs="Arial" w:eastAsia="Arial" w:hAnsi="Arial"/>
          <w:sz w:val="17"/>
          <w:szCs w:val="17"/>
          <w:color w:val="auto"/>
        </w:rPr>
      </w:pPr>
      <w:r>
        <w:rPr>
          <w:rFonts w:ascii="Arial" w:cs="Arial" w:eastAsia="Arial" w:hAnsi="Arial"/>
          <w:sz w:val="17"/>
          <w:szCs w:val="17"/>
          <w:color w:val="auto"/>
        </w:rPr>
        <w:t>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165" w:lineRule="exact"/>
        <w:rPr>
          <w:rFonts w:ascii="Arial" w:cs="Arial" w:eastAsia="Arial" w:hAnsi="Arial"/>
          <w:sz w:val="17"/>
          <w:szCs w:val="17"/>
          <w:color w:val="auto"/>
        </w:rPr>
      </w:pPr>
    </w:p>
    <w:p>
      <w:pPr>
        <w:ind w:left="720" w:right="200" w:firstLine="638"/>
        <w:spacing w:after="0" w:line="277" w:lineRule="auto"/>
        <w:tabs>
          <w:tab w:leader="none" w:pos="1965" w:val="left"/>
        </w:tabs>
        <w:numPr>
          <w:ilvl w:val="2"/>
          <w:numId w:val="219"/>
        </w:numPr>
        <w:rPr>
          <w:rFonts w:ascii="Arial" w:cs="Arial" w:eastAsia="Arial" w:hAnsi="Arial"/>
          <w:sz w:val="18"/>
          <w:szCs w:val="18"/>
          <w:color w:val="auto"/>
        </w:rPr>
      </w:pPr>
      <w:r>
        <w:rPr>
          <w:rFonts w:ascii="Arial" w:cs="Arial" w:eastAsia="Arial" w:hAnsi="Arial"/>
          <w:sz w:val="18"/>
          <w:szCs w:val="18"/>
          <w:color w:val="auto"/>
        </w:rPr>
        <w:t>Counterparty shall be responsible for all reasonable costs and expenses, including reasonable counsel fees, incurred by Dealer in connection with such transfer or assignment.</w:t>
      </w:r>
    </w:p>
    <w:p>
      <w:pPr>
        <w:spacing w:after="0" w:line="170" w:lineRule="exact"/>
        <w:rPr>
          <w:rFonts w:ascii="Arial" w:cs="Arial" w:eastAsia="Arial" w:hAnsi="Arial"/>
          <w:sz w:val="18"/>
          <w:szCs w:val="18"/>
          <w:color w:val="auto"/>
        </w:rPr>
      </w:pPr>
    </w:p>
    <w:p>
      <w:pPr>
        <w:jc w:val="both"/>
        <w:ind w:right="220" w:firstLine="656"/>
        <w:spacing w:after="0" w:line="279" w:lineRule="auto"/>
        <w:tabs>
          <w:tab w:leader="none" w:pos="1317" w:val="left"/>
        </w:tabs>
        <w:numPr>
          <w:ilvl w:val="1"/>
          <w:numId w:val="219"/>
        </w:numPr>
        <w:rPr>
          <w:rFonts w:ascii="Arial" w:cs="Arial" w:eastAsia="Arial" w:hAnsi="Arial"/>
          <w:sz w:val="17"/>
          <w:szCs w:val="17"/>
          <w:color w:val="auto"/>
        </w:rPr>
      </w:pPr>
      <w:r>
        <w:rPr>
          <w:rFonts w:ascii="Arial" w:cs="Arial" w:eastAsia="Arial" w:hAnsi="Arial"/>
          <w:sz w:val="17"/>
          <w:szCs w:val="17"/>
          <w:i w:val="1"/>
          <w:iCs w:val="1"/>
          <w:color w:val="auto"/>
        </w:rPr>
        <w:t>Delivery of Shares</w:t>
      </w:r>
      <w:r>
        <w:rPr>
          <w:rFonts w:ascii="Arial" w:cs="Arial" w:eastAsia="Arial" w:hAnsi="Arial"/>
          <w:sz w:val="17"/>
          <w:szCs w:val="17"/>
          <w:color w:val="auto"/>
        </w:rPr>
        <w:t>. Notwithstanding anything to the contrary herein, Dealer may, by prior notice to Counterparty, satisfy its obligation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any Shares or other securities on any date due (an “</w:t>
      </w:r>
      <w:r>
        <w:rPr>
          <w:rFonts w:ascii="Arial" w:cs="Arial" w:eastAsia="Arial" w:hAnsi="Arial"/>
          <w:sz w:val="17"/>
          <w:szCs w:val="17"/>
          <w:b w:val="1"/>
          <w:bCs w:val="1"/>
          <w:color w:val="auto"/>
        </w:rPr>
        <w:t>Original Delivery Date</w:t>
      </w:r>
      <w:r>
        <w:rPr>
          <w:rFonts w:ascii="Arial" w:cs="Arial" w:eastAsia="Arial" w:hAnsi="Arial"/>
          <w:sz w:val="17"/>
          <w:szCs w:val="17"/>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71" w:lineRule="exact"/>
        <w:rPr>
          <w:rFonts w:ascii="Arial" w:cs="Arial" w:eastAsia="Arial" w:hAnsi="Arial"/>
          <w:sz w:val="17"/>
          <w:szCs w:val="17"/>
          <w:color w:val="auto"/>
        </w:rPr>
      </w:pPr>
    </w:p>
    <w:p>
      <w:pPr>
        <w:jc w:val="both"/>
        <w:ind w:right="120" w:firstLine="656"/>
        <w:spacing w:after="0" w:line="264" w:lineRule="auto"/>
        <w:tabs>
          <w:tab w:leader="none" w:pos="1304" w:val="left"/>
        </w:tabs>
        <w:numPr>
          <w:ilvl w:val="1"/>
          <w:numId w:val="219"/>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Effective from the date of commencement of discussions concerning the Transaction, Counterparty and each of its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or other agents may disclose to any and all persons, without limitation of any kind, the tax treatment and tax structure of the Transaction and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color w:val="auto"/>
        </w:rPr>
        <w:t>materials of any kind (including opinions or other tax analyses) that are provided to Counterparty relating to such tax treatment and tax structure.</w:t>
      </w:r>
    </w:p>
    <w:p>
      <w:pPr>
        <w:spacing w:after="0" w:line="237" w:lineRule="exact"/>
        <w:rPr>
          <w:sz w:val="20"/>
          <w:szCs w:val="20"/>
          <w:color w:val="auto"/>
        </w:rPr>
      </w:pPr>
    </w:p>
    <w:p>
      <w:pPr>
        <w:jc w:val="both"/>
        <w:ind w:right="440" w:firstLine="638"/>
        <w:spacing w:after="0" w:line="312" w:lineRule="auto"/>
        <w:tabs>
          <w:tab w:leader="none" w:pos="989"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 xml:space="preserve">No Netting and Set-off. </w:t>
      </w:r>
      <w:r>
        <w:rPr>
          <w:rFonts w:ascii="Arial" w:cs="Arial" w:eastAsia="Arial" w:hAnsi="Arial"/>
          <w:sz w:val="16"/>
          <w:szCs w:val="16"/>
          <w:color w:val="auto"/>
        </w:rPr>
        <w:t>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6" w:lineRule="exact"/>
        <w:rPr>
          <w:rFonts w:ascii="Arial" w:cs="Arial" w:eastAsia="Arial" w:hAnsi="Arial"/>
          <w:sz w:val="16"/>
          <w:szCs w:val="16"/>
          <w:color w:val="auto"/>
        </w:rPr>
      </w:pPr>
    </w:p>
    <w:p>
      <w:pPr>
        <w:ind w:right="120" w:firstLine="656"/>
        <w:spacing w:after="0" w:line="297" w:lineRule="auto"/>
        <w:tabs>
          <w:tab w:leader="none" w:pos="980" w:val="left"/>
        </w:tabs>
        <w:numPr>
          <w:ilvl w:val="1"/>
          <w:numId w:val="220"/>
        </w:numPr>
        <w:rPr>
          <w:rFonts w:ascii="Arial" w:cs="Arial" w:eastAsia="Arial" w:hAnsi="Arial"/>
          <w:sz w:val="16"/>
          <w:szCs w:val="16"/>
          <w:color w:val="auto"/>
        </w:rPr>
      </w:pPr>
      <w:r>
        <w:rPr>
          <w:rFonts w:ascii="Arial" w:cs="Arial" w:eastAsia="Arial" w:hAnsi="Arial"/>
          <w:sz w:val="16"/>
          <w:szCs w:val="16"/>
          <w:i w:val="1"/>
          <w:iCs w:val="1"/>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right="20" w:firstLine="656"/>
        <w:spacing w:after="0" w:line="269" w:lineRule="auto"/>
        <w:tabs>
          <w:tab w:leader="none" w:pos="980" w:val="left"/>
        </w:tabs>
        <w:numPr>
          <w:ilvl w:val="1"/>
          <w:numId w:val="220"/>
        </w:numPr>
        <w:rPr>
          <w:rFonts w:ascii="Arial" w:cs="Arial" w:eastAsia="Arial" w:hAnsi="Arial"/>
          <w:sz w:val="17"/>
          <w:szCs w:val="17"/>
          <w:color w:val="auto"/>
        </w:rPr>
      </w:pPr>
      <w:r>
        <w:rPr>
          <w:rFonts w:ascii="Arial" w:cs="Arial" w:eastAsia="Arial" w:hAnsi="Arial"/>
          <w:sz w:val="17"/>
          <w:szCs w:val="17"/>
          <w:i w:val="1"/>
          <w:iCs w:val="1"/>
          <w:color w:val="auto"/>
        </w:rPr>
        <w:t>Early Unwind</w:t>
      </w:r>
      <w:r>
        <w:rPr>
          <w:rFonts w:ascii="Arial" w:cs="Arial" w:eastAsia="Arial" w:hAnsi="Arial"/>
          <w:sz w:val="17"/>
          <w:szCs w:val="17"/>
          <w:color w:val="auto"/>
        </w:rPr>
        <w:t>. In the event the sale by Counterparty of the Firm Securities is not consummated pursuant to the Purchase Agreement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by the close of business in New York on November 1, 2019 (or such later date as agreed upon by the parties) (November 1, 2019 or such later date being the “</w:t>
      </w:r>
      <w:r>
        <w:rPr>
          <w:rFonts w:ascii="Arial" w:cs="Arial" w:eastAsia="Arial" w:hAnsi="Arial"/>
          <w:sz w:val="17"/>
          <w:szCs w:val="17"/>
          <w:b w:val="1"/>
          <w:bCs w:val="1"/>
          <w:color w:val="auto"/>
        </w:rPr>
        <w:t>Early Unwind Date</w:t>
      </w:r>
      <w:r>
        <w:rPr>
          <w:rFonts w:ascii="Arial" w:cs="Arial" w:eastAsia="Arial" w:hAnsi="Arial"/>
          <w:sz w:val="17"/>
          <w:szCs w:val="17"/>
          <w:color w:val="auto"/>
        </w:rPr>
        <w:t>”), the Transaction shall automatically terminate (the “</w:t>
      </w:r>
      <w:r>
        <w:rPr>
          <w:rFonts w:ascii="Arial" w:cs="Arial" w:eastAsia="Arial" w:hAnsi="Arial"/>
          <w:sz w:val="17"/>
          <w:szCs w:val="17"/>
          <w:b w:val="1"/>
          <w:bCs w:val="1"/>
          <w:color w:val="auto"/>
        </w:rPr>
        <w:t>Early Unwind</w:t>
      </w:r>
      <w:r>
        <w:rPr>
          <w:rFonts w:ascii="Arial" w:cs="Arial" w:eastAsia="Arial" w:hAnsi="Arial"/>
          <w:sz w:val="17"/>
          <w:szCs w:val="17"/>
          <w:color w:val="auto"/>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spacing w:after="0" w:line="182" w:lineRule="exact"/>
        <w:rPr>
          <w:rFonts w:ascii="Arial" w:cs="Arial" w:eastAsia="Arial" w:hAnsi="Arial"/>
          <w:sz w:val="17"/>
          <w:szCs w:val="17"/>
          <w:color w:val="auto"/>
        </w:rPr>
      </w:pPr>
    </w:p>
    <w:p>
      <w:pPr>
        <w:ind w:firstLine="656"/>
        <w:spacing w:after="0" w:line="289" w:lineRule="auto"/>
        <w:tabs>
          <w:tab w:leader="none" w:pos="994" w:val="left"/>
        </w:tabs>
        <w:numPr>
          <w:ilvl w:val="1"/>
          <w:numId w:val="220"/>
        </w:numPr>
        <w:rPr>
          <w:rFonts w:ascii="Arial" w:cs="Arial" w:eastAsia="Arial" w:hAnsi="Arial"/>
          <w:sz w:val="16"/>
          <w:szCs w:val="16"/>
          <w:color w:val="auto"/>
        </w:rPr>
      </w:pPr>
      <w:r>
        <w:rPr>
          <w:rFonts w:ascii="Arial" w:cs="Arial" w:eastAsia="Arial" w:hAnsi="Arial"/>
          <w:sz w:val="16"/>
          <w:szCs w:val="16"/>
          <w:i w:val="1"/>
          <w:iCs w:val="1"/>
          <w:color w:val="auto"/>
        </w:rPr>
        <w:t>Agreements and Acknowledgements Regarding Hedgin</w:t>
      </w:r>
      <w:r>
        <w:rPr>
          <w:rFonts w:ascii="Arial" w:cs="Arial" w:eastAsia="Arial" w:hAnsi="Arial"/>
          <w:sz w:val="16"/>
          <w:szCs w:val="16"/>
          <w:i w:val="1"/>
          <w:iCs w:val="1"/>
          <w:u w:val="single" w:color="auto"/>
          <w:color w:val="auto"/>
        </w:rPr>
        <w:t>g</w:t>
      </w:r>
      <w:r>
        <w:rPr>
          <w:rFonts w:ascii="Arial" w:cs="Arial" w:eastAsia="Arial" w:hAnsi="Arial"/>
          <w:sz w:val="16"/>
          <w:szCs w:val="16"/>
          <w:color w:val="auto"/>
        </w:rPr>
        <w:t>. Counterparty understands, acknowledges and agrees that: (A) at any time on and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66" w:lineRule="exact"/>
        <w:rPr>
          <w:rFonts w:ascii="Arial" w:cs="Arial" w:eastAsia="Arial" w:hAnsi="Arial"/>
          <w:sz w:val="16"/>
          <w:szCs w:val="16"/>
          <w:color w:val="auto"/>
        </w:rPr>
      </w:pPr>
    </w:p>
    <w:p>
      <w:pPr>
        <w:ind w:right="60" w:firstLine="656"/>
        <w:spacing w:after="0" w:line="255" w:lineRule="auto"/>
        <w:tabs>
          <w:tab w:leader="none" w:pos="976"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Wall Street Transparency and Accountability Act</w:t>
      </w:r>
      <w:r>
        <w:rPr>
          <w:rFonts w:ascii="Arial" w:cs="Arial" w:eastAsia="Arial" w:hAnsi="Arial"/>
          <w:sz w:val="18"/>
          <w:szCs w:val="18"/>
          <w:color w:val="auto"/>
        </w:rPr>
        <w:t>. In connection with Section 739 of the Wall Street Transparency and Accountability Act of</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w:t>
      </w:r>
      <w:r>
        <w:rPr>
          <w:rFonts w:ascii="Arial" w:cs="Arial" w:eastAsia="Arial" w:hAnsi="Arial"/>
          <w:sz w:val="18"/>
          <w:szCs w:val="18"/>
          <w:b w:val="1"/>
          <w:bCs w:val="1"/>
          <w:color w:val="auto"/>
        </w:rPr>
        <w:t>WSTAA</w:t>
      </w:r>
      <w:r>
        <w:rPr>
          <w:rFonts w:ascii="Arial" w:cs="Arial" w:eastAsia="Arial" w:hAnsi="Arial"/>
          <w:sz w:val="18"/>
          <w:szCs w:val="18"/>
          <w:color w:val="auto"/>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94" w:name="page195"/>
    <w:bookmarkEnd w:id="194"/>
    <w:p>
      <w:pPr>
        <w:ind w:right="20"/>
        <w:spacing w:after="0" w:line="277" w:lineRule="auto"/>
        <w:rPr>
          <w:sz w:val="20"/>
          <w:szCs w:val="20"/>
          <w:color w:val="auto"/>
        </w:rPr>
      </w:pPr>
      <w:r>
        <w:rPr>
          <w:rFonts w:ascii="Arial" w:cs="Arial" w:eastAsia="Arial" w:hAnsi="Arial"/>
          <w:sz w:val="18"/>
          <w:szCs w:val="18"/>
          <w:color w:val="auto"/>
        </w:rPr>
        <w:t>regulatory change or similar event under this Confirmation, the Equity Definitions incorporated herein, or the Agreement (including, but not limited to, rights arising from Change in Law, Hedging Disruption, Increased Cost of Hedging or Illegality).</w:t>
      </w:r>
    </w:p>
    <w:p>
      <w:pPr>
        <w:spacing w:after="0" w:line="166" w:lineRule="exact"/>
        <w:rPr>
          <w:sz w:val="20"/>
          <w:szCs w:val="20"/>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90" w:lineRule="exact"/>
        <w:rPr>
          <w:rFonts w:ascii="Arial" w:cs="Arial" w:eastAsia="Arial" w:hAnsi="Arial"/>
          <w:sz w:val="18"/>
          <w:szCs w:val="18"/>
          <w:color w:val="auto"/>
        </w:rPr>
      </w:pPr>
    </w:p>
    <w:p>
      <w:pPr>
        <w:ind w:right="160" w:firstLine="656"/>
        <w:spacing w:after="0" w:line="277" w:lineRule="auto"/>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This Confirmation and the Agreement may not be modified, amended or supplemented, except in a written instrument signed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Counterparty and Dealer.</w:t>
      </w:r>
    </w:p>
    <w:p>
      <w:pPr>
        <w:spacing w:after="0" w:line="170" w:lineRule="exact"/>
        <w:rPr>
          <w:rFonts w:ascii="Arial" w:cs="Arial" w:eastAsia="Arial" w:hAnsi="Arial"/>
          <w:sz w:val="18"/>
          <w:szCs w:val="18"/>
          <w:color w:val="auto"/>
        </w:rPr>
      </w:pPr>
    </w:p>
    <w:p>
      <w:pPr>
        <w:ind w:right="100" w:firstLine="656"/>
        <w:spacing w:after="0" w:line="277" w:lineRule="auto"/>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and the same instrument.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645"/>
        <w:spacing w:after="0" w:line="272" w:lineRule="auto"/>
        <w:tabs>
          <w:tab w:leader="none" w:pos="1978" w:val="left"/>
        </w:tabs>
        <w:numPr>
          <w:ilvl w:val="1"/>
          <w:numId w:val="221"/>
        </w:numPr>
        <w:rPr>
          <w:rFonts w:ascii="Arial" w:cs="Arial" w:eastAsia="Arial" w:hAnsi="Arial"/>
          <w:sz w:val="17"/>
          <w:szCs w:val="17"/>
          <w:color w:val="auto"/>
        </w:rPr>
      </w:pPr>
      <w:r>
        <w:rPr>
          <w:rFonts w:ascii="Arial" w:cs="Arial" w:eastAsia="Arial" w:hAnsi="Arial"/>
          <w:sz w:val="17"/>
          <w:szCs w:val="17"/>
          <w:color w:val="auto"/>
        </w:rPr>
        <w:t>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7" w:lineRule="exact"/>
        <w:rPr>
          <w:rFonts w:ascii="Arial" w:cs="Arial" w:eastAsia="Arial" w:hAnsi="Arial"/>
          <w:sz w:val="17"/>
          <w:szCs w:val="17"/>
          <w:color w:val="auto"/>
        </w:rPr>
      </w:pPr>
    </w:p>
    <w:p>
      <w:pPr>
        <w:ind w:left="660" w:right="20" w:firstLine="645"/>
        <w:spacing w:after="0" w:line="271" w:lineRule="auto"/>
        <w:tabs>
          <w:tab w:leader="none" w:pos="1987" w:val="left"/>
        </w:tabs>
        <w:numPr>
          <w:ilvl w:val="1"/>
          <w:numId w:val="221"/>
        </w:numPr>
        <w:rPr>
          <w:rFonts w:ascii="Arial" w:cs="Arial" w:eastAsia="Arial" w:hAnsi="Arial"/>
          <w:sz w:val="17"/>
          <w:szCs w:val="17"/>
          <w:color w:val="auto"/>
        </w:rPr>
      </w:pPr>
      <w:r>
        <w:rPr>
          <w:rFonts w:ascii="Arial" w:cs="Arial" w:eastAsia="Arial" w:hAnsi="Arial"/>
          <w:sz w:val="17"/>
          <w:szCs w:val="17"/>
          <w:color w:val="auto"/>
        </w:rPr>
        <w:t>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Arial" w:cs="Arial" w:eastAsia="Arial" w:hAnsi="Arial"/>
          <w:sz w:val="17"/>
          <w:szCs w:val="17"/>
          <w:b w:val="1"/>
          <w:bCs w:val="1"/>
          <w:color w:val="auto"/>
        </w:rPr>
        <w:t>871(m) Protocol</w:t>
      </w:r>
      <w:r>
        <w:rPr>
          <w:rFonts w:ascii="Arial" w:cs="Arial" w:eastAsia="Arial" w:hAnsi="Arial"/>
          <w:sz w:val="17"/>
          <w:szCs w:val="17"/>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78" w:lineRule="exact"/>
        <w:rPr>
          <w:rFonts w:ascii="Arial" w:cs="Arial" w:eastAsia="Arial" w:hAnsi="Arial"/>
          <w:sz w:val="17"/>
          <w:szCs w:val="17"/>
          <w:color w:val="auto"/>
        </w:rPr>
      </w:pPr>
    </w:p>
    <w:p>
      <w:pPr>
        <w:ind w:left="660" w:right="180" w:firstLine="645"/>
        <w:spacing w:after="0" w:line="293" w:lineRule="auto"/>
        <w:tabs>
          <w:tab w:leader="none" w:pos="199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W-8ECI “Certificate of Foreign Person’s Claim That Income Is Effectively Connected With the Conduct of a Trade or Business in the United States” or any successor thereto, (i) on or before the date of execution of this Confirmation, (ii) upon reasonable request of Counterparty and (iii) promptly upon learning that any such tax form previously provided by Dealer has become obsolete or incorrect.</w:t>
      </w:r>
    </w:p>
    <w:p>
      <w:pPr>
        <w:spacing w:after="0" w:line="164" w:lineRule="exact"/>
        <w:rPr>
          <w:rFonts w:ascii="Arial" w:cs="Arial" w:eastAsia="Arial" w:hAnsi="Arial"/>
          <w:sz w:val="16"/>
          <w:szCs w:val="16"/>
          <w:color w:val="auto"/>
        </w:rPr>
      </w:pPr>
    </w:p>
    <w:p>
      <w:pPr>
        <w:ind w:left="660" w:right="20" w:firstLine="645"/>
        <w:spacing w:after="0" w:line="259" w:lineRule="auto"/>
        <w:tabs>
          <w:tab w:leader="none" w:pos="197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Tax Representations. For the purpose of Section 3(f) of the Agreement, Counterparty is a corporation for U.S. federal income tax purposes and is organized under the laws of the State of Iowa. Counterparty represents to Dealer that for U.S. federal income tax purposes it is a “U.S. person” (as that term is used in section 1.1441-4(a)(3)(ii) of the United States Treasury Regulations) and an “exempt recipient” (as that term is used in section 1.6049-4(c)(1) of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5" w:name="page196"/>
    <w:bookmarkEnd w:id="195"/>
    <w:p>
      <w:pPr>
        <w:ind w:left="660" w:right="180"/>
        <w:spacing w:after="0" w:line="275" w:lineRule="auto"/>
        <w:rPr>
          <w:sz w:val="20"/>
          <w:szCs w:val="20"/>
          <w:color w:val="auto"/>
        </w:rPr>
      </w:pPr>
      <w:r>
        <w:rPr>
          <w:rFonts w:ascii="Arial" w:cs="Arial" w:eastAsia="Arial" w:hAnsi="Arial"/>
          <w:sz w:val="18"/>
          <w:szCs w:val="18"/>
          <w:color w:val="auto"/>
        </w:rPr>
        <w:t xml:space="preserve">United States Treasury Regulations). Dealer represents to Counterparty that </w:t>
      </w:r>
      <w:r>
        <w:rPr>
          <w:rFonts w:ascii="Arial" w:cs="Arial" w:eastAsia="Arial" w:hAnsi="Arial"/>
          <w:sz w:val="17"/>
          <w:szCs w:val="17"/>
          <w:color w:val="auto"/>
        </w:rPr>
        <w:t>each payment received or to be received by it under the Agreement will</w:t>
      </w:r>
      <w:r>
        <w:rPr>
          <w:rFonts w:ascii="Arial" w:cs="Arial" w:eastAsia="Arial" w:hAnsi="Arial"/>
          <w:sz w:val="18"/>
          <w:szCs w:val="18"/>
          <w:color w:val="auto"/>
        </w:rPr>
        <w:t xml:space="preserve"> </w:t>
      </w:r>
      <w:r>
        <w:rPr>
          <w:rFonts w:ascii="Arial" w:cs="Arial" w:eastAsia="Arial" w:hAnsi="Arial"/>
          <w:sz w:val="17"/>
          <w:szCs w:val="17"/>
          <w:color w:val="auto"/>
        </w:rPr>
        <w:t>be effectively connected with its conduct of a trade or business in the United States.</w:t>
      </w:r>
    </w:p>
    <w:p>
      <w:pPr>
        <w:spacing w:after="0" w:line="174" w:lineRule="exact"/>
        <w:rPr>
          <w:sz w:val="20"/>
          <w:szCs w:val="20"/>
          <w:color w:val="auto"/>
        </w:rPr>
      </w:pPr>
    </w:p>
    <w:p>
      <w:pPr>
        <w:ind w:firstLine="656"/>
        <w:spacing w:after="0" w:line="284" w:lineRule="auto"/>
        <w:tabs>
          <w:tab w:leader="none" w:pos="990"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t>Role of Agent</w:t>
      </w:r>
      <w:r>
        <w:rPr>
          <w:rFonts w:ascii="Arial" w:cs="Arial" w:eastAsia="Arial" w:hAnsi="Arial"/>
          <w:sz w:val="16"/>
          <w:szCs w:val="16"/>
          <w:color w:val="auto"/>
        </w:rPr>
        <w:t>. Each of Dealer and Counterparty acknowledges to and agrees with the other party hereto and to and with the Agent that (i) the</w:t>
      </w:r>
      <w:r>
        <w:rPr>
          <w:rFonts w:ascii="Arial" w:cs="Arial" w:eastAsia="Arial" w:hAnsi="Arial"/>
          <w:sz w:val="16"/>
          <w:szCs w:val="16"/>
          <w:i w:val="1"/>
          <w:iCs w:val="1"/>
          <w:color w:val="auto"/>
        </w:rPr>
        <w:t xml:space="preserve"> </w:t>
      </w:r>
      <w:r>
        <w:rPr>
          <w:rFonts w:ascii="Arial" w:cs="Arial" w:eastAsia="Arial" w:hAnsi="Arial"/>
          <w:sz w:val="16"/>
          <w:szCs w:val="16"/>
          <w:color w:val="auto"/>
        </w:rPr>
        <w:t>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w:t>
      </w:r>
    </w:p>
    <w:p>
      <w:pPr>
        <w:spacing w:after="0" w:line="4" w:lineRule="exact"/>
        <w:rPr>
          <w:rFonts w:ascii="Arial" w:cs="Arial" w:eastAsia="Arial" w:hAnsi="Arial"/>
          <w:sz w:val="16"/>
          <w:szCs w:val="16"/>
          <w:color w:val="auto"/>
        </w:rPr>
      </w:pPr>
    </w:p>
    <w:p>
      <w:pPr>
        <w:ind w:right="20" w:firstLine="8"/>
        <w:spacing w:after="0" w:line="302" w:lineRule="auto"/>
        <w:tabs>
          <w:tab w:leader="none" w:pos="25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each party agrees to proceed solely against the other party, and not the Agent, to collect or recover any money or securities owed to it in connection with the Transactions. Each party hereto acknowledges and agrees that the Agent is an intended third party beneficiary hereunder. Counterparty acknowledges that the Agent is an affiliate of Dealer. Dealer will be acting for its own account in respect of this Confirmation and the Transactions contemplated hereunder.</w:t>
      </w:r>
    </w:p>
    <w:p>
      <w:pPr>
        <w:spacing w:after="0" w:line="151" w:lineRule="exact"/>
        <w:rPr>
          <w:sz w:val="20"/>
          <w:szCs w:val="20"/>
          <w:color w:val="auto"/>
        </w:rPr>
      </w:pPr>
    </w:p>
    <w:p>
      <w:pPr>
        <w:ind w:left="880" w:hanging="224"/>
        <w:spacing w:after="0"/>
        <w:tabs>
          <w:tab w:leader="none" w:pos="88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225" w:lineRule="exact"/>
        <w:rPr>
          <w:sz w:val="20"/>
          <w:szCs w:val="20"/>
          <w:color w:val="auto"/>
        </w:rPr>
      </w:pPr>
    </w:p>
    <w:p>
      <w:pPr>
        <w:ind w:right="300" w:firstLine="656"/>
        <w:spacing w:after="0" w:line="282" w:lineRule="auto"/>
        <w:tabs>
          <w:tab w:leader="none" w:pos="130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awards are generally final and binding; a party’s ability to have a court reverse or modify an arbitration award is very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limited.</w:t>
      </w:r>
    </w:p>
    <w:p>
      <w:pPr>
        <w:spacing w:after="0" w:line="206" w:lineRule="exact"/>
        <w:rPr>
          <w:rFonts w:ascii="Arial" w:cs="Arial" w:eastAsia="Arial" w:hAnsi="Arial"/>
          <w:sz w:val="16"/>
          <w:szCs w:val="16"/>
          <w:b w:val="1"/>
          <w:bCs w:val="1"/>
          <w:color w:val="auto"/>
        </w:rPr>
      </w:pPr>
    </w:p>
    <w:p>
      <w:pPr>
        <w:ind w:right="80" w:firstLine="656"/>
        <w:spacing w:after="0" w:line="282" w:lineRule="auto"/>
        <w:tabs>
          <w:tab w:leader="none" w:pos="1307"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the parties to obtain documents, witness statements and other discovery is generally more limited in arbitration than in court proceedings.</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do not have to explain the reason(s) for their award.</w:t>
      </w:r>
    </w:p>
    <w:p>
      <w:pPr>
        <w:spacing w:after="0" w:line="225" w:lineRule="exact"/>
        <w:rPr>
          <w:rFonts w:ascii="Arial" w:cs="Arial" w:eastAsia="Arial" w:hAnsi="Arial"/>
          <w:sz w:val="18"/>
          <w:szCs w:val="18"/>
          <w:b w:val="1"/>
          <w:bCs w:val="1"/>
          <w:color w:val="auto"/>
        </w:rPr>
      </w:pPr>
    </w:p>
    <w:p>
      <w:pPr>
        <w:jc w:val="both"/>
        <w:ind w:right="460" w:firstLine="656"/>
        <w:spacing w:after="0" w:line="266" w:lineRule="auto"/>
        <w:tabs>
          <w:tab w:leader="none" w:pos="1307"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6" w:lineRule="exact"/>
        <w:rPr>
          <w:rFonts w:ascii="Arial" w:cs="Arial" w:eastAsia="Arial" w:hAnsi="Arial"/>
          <w:sz w:val="18"/>
          <w:szCs w:val="18"/>
          <w:b w:val="1"/>
          <w:bCs w:val="1"/>
          <w:color w:val="auto"/>
        </w:rPr>
      </w:pPr>
    </w:p>
    <w:p>
      <w:pPr>
        <w:ind w:right="420" w:firstLine="656"/>
        <w:spacing w:after="0" w:line="282" w:lineRule="auto"/>
        <w:tabs>
          <w:tab w:leader="none" w:pos="1301"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The rules of some arbitration forums may impose time limits for bringing a claim in arbitration. In some cases, a claim that is ineligible for arbitration may be brought in court.</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The rules of the arbitration forum in which the claim is filed, and any amendments thereto, shall be incorporated into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Confirmation.</w:t>
      </w:r>
    </w:p>
    <w:p>
      <w:pPr>
        <w:spacing w:after="0" w:line="206" w:lineRule="exact"/>
        <w:rPr>
          <w:rFonts w:ascii="Arial" w:cs="Arial" w:eastAsia="Arial" w:hAnsi="Arial"/>
          <w:sz w:val="17"/>
          <w:szCs w:val="17"/>
          <w:b w:val="1"/>
          <w:bCs w:val="1"/>
          <w:color w:val="auto"/>
        </w:rPr>
      </w:pPr>
    </w:p>
    <w:p>
      <w:pPr>
        <w:ind w:firstLine="656"/>
        <w:spacing w:after="0" w:line="258" w:lineRule="auto"/>
        <w:tabs>
          <w:tab w:leader="none" w:pos="131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83" w:lineRule="exact"/>
        <w:rPr>
          <w:rFonts w:ascii="Arial" w:cs="Arial" w:eastAsia="Arial" w:hAnsi="Arial"/>
          <w:sz w:val="18"/>
          <w:szCs w:val="18"/>
          <w:b w:val="1"/>
          <w:bCs w:val="1"/>
          <w:color w:val="auto"/>
        </w:rPr>
      </w:pPr>
    </w:p>
    <w:p>
      <w:pPr>
        <w:jc w:val="both"/>
        <w:ind w:right="180" w:firstLine="656"/>
        <w:spacing w:after="0" w:line="347" w:lineRule="auto"/>
        <w:tabs>
          <w:tab w:leader="none" w:pos="1304"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b w:val="1"/>
          <w:bCs w:val="1"/>
          <w:color w:val="auto"/>
        </w:rPr>
        <w:t>respect to any claims encompassed by the putative class action until: (i) the class certification is denied; (ii) the class is decertified; or</w:t>
      </w:r>
    </w:p>
    <w:p>
      <w:pPr>
        <w:spacing w:after="0" w:line="39" w:lineRule="exact"/>
        <w:rPr>
          <w:sz w:val="20"/>
          <w:szCs w:val="20"/>
          <w:color w:val="auto"/>
        </w:rPr>
      </w:pPr>
    </w:p>
    <w:p>
      <w:pPr>
        <w:ind w:left="320" w:hanging="312"/>
        <w:spacing w:after="0"/>
        <w:tabs>
          <w:tab w:leader="none" w:pos="32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is excluded from the class by the court.</w:t>
      </w:r>
    </w:p>
    <w:p>
      <w:pPr>
        <w:spacing w:after="0" w:line="206" w:lineRule="exact"/>
        <w:rPr>
          <w:rFonts w:ascii="Arial" w:cs="Arial" w:eastAsia="Arial" w:hAnsi="Arial"/>
          <w:sz w:val="18"/>
          <w:szCs w:val="18"/>
          <w:b w:val="1"/>
          <w:bCs w:val="1"/>
          <w:color w:val="auto"/>
        </w:rPr>
      </w:pPr>
    </w:p>
    <w:p>
      <w:pPr>
        <w:ind w:firstLine="656"/>
        <w:spacing w:after="0" w:line="282" w:lineRule="auto"/>
        <w:tabs>
          <w:tab w:leader="none" w:pos="1314"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Such forbearance to enforce an agreement to arbitrate shall not constitute a waiver of any rights under this Confirmation except to the extent stated herein.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97" w:name="page198"/>
    <w:bookmarkEnd w:id="197"/>
    <w:p>
      <w:pPr>
        <w:spacing w:after="0" w:line="279" w:lineRule="auto"/>
        <w:rPr>
          <w:sz w:val="20"/>
          <w:szCs w:val="20"/>
          <w:color w:val="auto"/>
        </w:rPr>
      </w:pPr>
      <w:r>
        <w:rPr>
          <w:rFonts w:ascii="Arial" w:cs="Arial" w:eastAsia="Arial" w:hAnsi="Arial"/>
          <w:sz w:val="17"/>
          <w:szCs w:val="17"/>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Dealer.</w:t>
      </w:r>
    </w:p>
    <w:p>
      <w:pPr>
        <w:spacing w:after="0" w:line="17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BMO CAPITAL MARKETS CORP.</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as agent for </w:t>
      </w:r>
      <w:r>
        <w:rPr>
          <w:rFonts w:ascii="Arial" w:cs="Arial" w:eastAsia="Arial" w:hAnsi="Arial"/>
          <w:sz w:val="18"/>
          <w:szCs w:val="18"/>
          <w:b w:val="1"/>
          <w:bCs w:val="1"/>
          <w:color w:val="auto"/>
        </w:rPr>
        <w:t>BANK OF MONTREAL</w:t>
      </w:r>
    </w:p>
    <w:p>
      <w:pPr>
        <w:spacing w:after="0" w:line="211" w:lineRule="exact"/>
        <w:rPr>
          <w:sz w:val="20"/>
          <w:szCs w:val="20"/>
          <w:color w:val="auto"/>
        </w:rPr>
      </w:pPr>
    </w:p>
    <w:p>
      <w:pPr>
        <w:ind w:left="5780"/>
        <w:spacing w:after="0"/>
        <w:tabs>
          <w:tab w:leader="none" w:pos="6260" w:val="left"/>
        </w:tabs>
        <w:rPr>
          <w:sz w:val="20"/>
          <w:szCs w:val="20"/>
          <w:color w:val="auto"/>
        </w:rPr>
      </w:pPr>
      <w:r>
        <w:rPr>
          <w:rFonts w:ascii="Arial" w:cs="Arial" w:eastAsia="Arial" w:hAnsi="Arial"/>
          <w:sz w:val="18"/>
          <w:szCs w:val="18"/>
          <w:color w:val="auto"/>
        </w:rPr>
        <w:t>By:</w:t>
        <w:tab/>
        <w:t>/s/ Nick Stamou</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Nick Stamou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Title: Director, Derivatives Operations</w:t>
      </w:r>
    </w:p>
    <w:p>
      <w:pPr>
        <w:spacing w:after="0" w:line="211" w:lineRule="exact"/>
        <w:rPr>
          <w:sz w:val="20"/>
          <w:szCs w:val="20"/>
          <w:color w:val="auto"/>
        </w:rPr>
      </w:pPr>
    </w:p>
    <w:p>
      <w:pPr>
        <w:ind w:left="5780"/>
        <w:spacing w:after="0"/>
        <w:tabs>
          <w:tab w:leader="none" w:pos="6260" w:val="left"/>
        </w:tabs>
        <w:rPr>
          <w:sz w:val="20"/>
          <w:szCs w:val="20"/>
          <w:color w:val="auto"/>
        </w:rPr>
      </w:pPr>
      <w:r>
        <w:rPr>
          <w:rFonts w:ascii="Arial" w:cs="Arial" w:eastAsia="Arial" w:hAnsi="Arial"/>
          <w:sz w:val="18"/>
          <w:szCs w:val="18"/>
          <w:color w:val="auto"/>
        </w:rPr>
        <w:t>By:</w:t>
        <w:tab/>
        <w:t>/s/ Brian Riley</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Brian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BANK OF MONTREAL</w:t>
      </w:r>
    </w:p>
    <w:p>
      <w:pPr>
        <w:spacing w:after="0" w:line="229" w:lineRule="exact"/>
        <w:rPr>
          <w:sz w:val="20"/>
          <w:szCs w:val="20"/>
          <w:color w:val="auto"/>
        </w:rPr>
      </w:pPr>
    </w:p>
    <w:p>
      <w:pPr>
        <w:ind w:left="5780"/>
        <w:spacing w:after="0"/>
        <w:tabs>
          <w:tab w:leader="none" w:pos="6260" w:val="left"/>
        </w:tabs>
        <w:rPr>
          <w:sz w:val="20"/>
          <w:szCs w:val="20"/>
          <w:color w:val="auto"/>
        </w:rPr>
      </w:pPr>
      <w:r>
        <w:rPr>
          <w:rFonts w:ascii="Arial" w:cs="Arial" w:eastAsia="Arial" w:hAnsi="Arial"/>
          <w:sz w:val="18"/>
          <w:szCs w:val="18"/>
          <w:color w:val="auto"/>
        </w:rPr>
        <w:t>By:</w:t>
        <w:tab/>
        <w:t>/s/ Andrew Henderson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Andrew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Title: Director, Derivatives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jc w:val="right"/>
        <w:ind w:right="6519"/>
        <w:spacing w:after="0"/>
        <w:rPr>
          <w:sz w:val="20"/>
          <w:szCs w:val="20"/>
          <w:color w:val="auto"/>
        </w:rPr>
      </w:pPr>
      <w:r>
        <w:rPr>
          <w:rFonts w:ascii="Arial" w:cs="Arial" w:eastAsia="Arial" w:hAnsi="Arial"/>
          <w:sz w:val="18"/>
          <w:szCs w:val="18"/>
          <w:color w:val="auto"/>
        </w:rPr>
        <w:t>Title: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GOLDMAN SACHS &amp; CO. LLC | 200 WEST STREET | NEW YORK, NEW YORK 10282-2198 | TEL: 212-902-1000</w:t>
      </w:r>
    </w:p>
    <w:p>
      <w:pPr>
        <w:spacing w:after="0" w:line="229"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pacing w:after="0" w:line="2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Winnebago Industries, Inc.</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Forest City, Iowa 50436</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A/C:</w:t>
      </w:r>
      <w:r>
        <w:rPr>
          <w:sz w:val="20"/>
          <w:szCs w:val="20"/>
          <w:color w:val="auto"/>
        </w:rPr>
        <w:tab/>
      </w:r>
      <w:r>
        <w:rPr>
          <w:rFonts w:ascii="Arial" w:cs="Arial" w:eastAsia="Arial" w:hAnsi="Arial"/>
          <w:sz w:val="18"/>
          <w:szCs w:val="18"/>
          <w:b w:val="1"/>
          <w:bCs w:val="1"/>
          <w:color w:val="auto"/>
        </w:rPr>
        <w:t>[Insert Account Number]</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Goldman Sachs &amp; Co. LLC</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Additional Convertible Bond Hedge Transaction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Ref. No:</w:t>
      </w:r>
      <w:r>
        <w:rPr>
          <w:sz w:val="20"/>
          <w:szCs w:val="20"/>
          <w:color w:val="auto"/>
        </w:rPr>
        <w:tab/>
      </w:r>
      <w:r>
        <w:rPr>
          <w:rFonts w:ascii="Arial" w:cs="Arial" w:eastAsia="Arial" w:hAnsi="Arial"/>
          <w:sz w:val="16"/>
          <w:szCs w:val="16"/>
          <w:b w:val="1"/>
          <w:bCs w:val="1"/>
          <w:color w:val="auto"/>
        </w:rPr>
        <w:t>[Insert Reference Number]</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October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Goldman Sachs &amp; Co. LLC (“</w:t>
      </w:r>
      <w:r>
        <w:rPr>
          <w:rFonts w:ascii="Arial" w:cs="Arial" w:eastAsia="Arial" w:hAnsi="Arial"/>
          <w:sz w:val="18"/>
          <w:szCs w:val="18"/>
          <w:b w:val="1"/>
          <w:bCs w:val="1"/>
          <w:color w:val="auto"/>
        </w:rPr>
        <w:t>Dealer</w:t>
      </w:r>
      <w:r>
        <w:rPr>
          <w:rFonts w:ascii="Arial" w:cs="Arial" w:eastAsia="Arial" w:hAnsi="Arial"/>
          <w:sz w:val="18"/>
          <w:szCs w:val="18"/>
          <w:color w:val="auto"/>
        </w:rPr>
        <w:t>”) and Winnebago Industries, Inc. (“</w:t>
      </w:r>
      <w:r>
        <w:rPr>
          <w:rFonts w:ascii="Arial" w:cs="Arial" w:eastAsia="Arial" w:hAnsi="Arial"/>
          <w:sz w:val="18"/>
          <w:szCs w:val="18"/>
          <w:b w:val="1"/>
          <w:bCs w:val="1"/>
          <w:color w:val="auto"/>
        </w:rPr>
        <w:t>Counterparty</w:t>
      </w:r>
      <w:r>
        <w:rPr>
          <w:rFonts w:ascii="Arial" w:cs="Arial" w:eastAsia="Arial" w:hAnsi="Arial"/>
          <w:sz w:val="18"/>
          <w:szCs w:val="18"/>
          <w:color w:val="auto"/>
        </w:rPr>
        <w:t>”). This communication constitutes a “Confirmation” as referred to in the ISDA Master Agreement specified below.</w:t>
      </w:r>
    </w:p>
    <w:p>
      <w:pPr>
        <w:spacing w:after="0" w:line="176" w:lineRule="exact"/>
        <w:rPr>
          <w:sz w:val="20"/>
          <w:szCs w:val="20"/>
          <w:color w:val="auto"/>
        </w:rPr>
      </w:pPr>
    </w:p>
    <w:p>
      <w:pPr>
        <w:ind w:right="20" w:firstLine="656"/>
        <w:spacing w:after="0" w:line="268" w:lineRule="auto"/>
        <w:tabs>
          <w:tab w:leader="none" w:pos="100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2006 ISDA Definitions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and together with the 2006 Definitions, the “</w:t>
      </w:r>
      <w:r>
        <w:rPr>
          <w:rFonts w:ascii="Arial" w:cs="Arial" w:eastAsia="Arial" w:hAnsi="Arial"/>
          <w:sz w:val="17"/>
          <w:szCs w:val="17"/>
          <w:b w:val="1"/>
          <w:bCs w:val="1"/>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Certain defined terms used herein have the meanings assigned to them in the Indenture to be dated as of November 1, 2019 between Counterparty and U.S. Bank National Association,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relating to the USD 270,000,000 principal amount of 1.50% Convertible Senior Notes due 2025 (the “</w:t>
      </w:r>
      <w:r>
        <w:rPr>
          <w:rFonts w:ascii="Arial" w:cs="Arial" w:eastAsia="Arial" w:hAnsi="Arial"/>
          <w:sz w:val="17"/>
          <w:szCs w:val="17"/>
          <w:b w:val="1"/>
          <w:bCs w:val="1"/>
          <w:color w:val="auto"/>
        </w:rPr>
        <w:t>Base Convertible Securities</w:t>
      </w:r>
      <w:r>
        <w:rPr>
          <w:rFonts w:ascii="Arial" w:cs="Arial" w:eastAsia="Arial" w:hAnsi="Arial"/>
          <w:sz w:val="17"/>
          <w:szCs w:val="17"/>
          <w:color w:val="auto"/>
        </w:rPr>
        <w:t>”) and the additional USD 30,000,000 principal amount of 1.50% Convertible Senior Notes due 2025 issued pursuant to the option to purchase additional convertible securities exercised on the date hereof (the “</w:t>
      </w:r>
      <w:r>
        <w:rPr>
          <w:rFonts w:ascii="Arial" w:cs="Arial" w:eastAsia="Arial" w:hAnsi="Arial"/>
          <w:sz w:val="17"/>
          <w:szCs w:val="17"/>
          <w:b w:val="1"/>
          <w:bCs w:val="1"/>
          <w:color w:val="auto"/>
        </w:rPr>
        <w:t>Optional Convertible Securities</w:t>
      </w:r>
      <w:r>
        <w:rPr>
          <w:rFonts w:ascii="Arial" w:cs="Arial" w:eastAsia="Arial" w:hAnsi="Arial"/>
          <w:sz w:val="17"/>
          <w:szCs w:val="17"/>
          <w:color w:val="auto"/>
        </w:rPr>
        <w:t>” and, together with the Base Convertible Securities, the “</w:t>
      </w:r>
      <w:r>
        <w:rPr>
          <w:rFonts w:ascii="Arial" w:cs="Arial" w:eastAsia="Arial" w:hAnsi="Arial"/>
          <w:sz w:val="17"/>
          <w:szCs w:val="17"/>
          <w:b w:val="1"/>
          <w:bCs w:val="1"/>
          <w:color w:val="auto"/>
        </w:rPr>
        <w:t>Convertible</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In the event of any inconsistency between the terms defined in the Indenture and this Confirmation, this Confirmation shall govern.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Counterparty is hereby advised, and Counterparty acknowledges, that Dealer has engaged in, or refrained from engaging in, substantial financial transactions and has taken other material 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reliance upon the parties’ entry into the Transaction to which this Confirmation relates on the terms and conditions set forth below.</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(ii) the replacement of the word “third” in the last line of Section 5(a)(i) of the Agreement with the word “first”, and (iii) the election that the “Cross Default” provisions of Section 5(a)(vi) of the Agreement shall apply to Counterparty with a “Threshold Amount” of USD15.0 million).</w:t>
      </w:r>
    </w:p>
    <w:p>
      <w:pPr>
        <w:spacing w:after="0" w:line="19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spacing w:after="0" w:line="158"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60" w:firstLine="656"/>
        <w:spacing w:after="0" w:line="277" w:lineRule="auto"/>
        <w:tabs>
          <w:tab w:leader="none" w:pos="100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General Terms:</w:t>
            </w:r>
          </w:p>
        </w:tc>
        <w:tc>
          <w:tcPr>
            <w:tcW w:w="8300" w:type="dxa"/>
            <w:vAlign w:val="bottom"/>
          </w:tcPr>
          <w:p>
            <w:pPr>
              <w:spacing w:after="0"/>
              <w:rPr>
                <w:sz w:val="20"/>
                <w:szCs w:val="20"/>
                <w:color w:val="auto"/>
              </w:rPr>
            </w:pP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8300" w:type="dxa"/>
            <w:vAlign w:val="bottom"/>
          </w:tcPr>
          <w:p>
            <w:pPr>
              <w:ind w:left="840"/>
              <w:spacing w:after="0"/>
              <w:rPr>
                <w:sz w:val="20"/>
                <w:szCs w:val="20"/>
                <w:color w:val="auto"/>
              </w:rPr>
            </w:pPr>
            <w:r>
              <w:rPr>
                <w:rFonts w:ascii="Arial" w:cs="Arial" w:eastAsia="Arial" w:hAnsi="Arial"/>
                <w:sz w:val="18"/>
                <w:szCs w:val="18"/>
                <w:color w:val="auto"/>
              </w:rPr>
              <w:t>October 30, 2019</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8300" w:type="dxa"/>
            <w:vAlign w:val="bottom"/>
          </w:tcPr>
          <w:p>
            <w:pPr>
              <w:ind w:left="840"/>
              <w:spacing w:after="0"/>
              <w:rPr>
                <w:sz w:val="20"/>
                <w:szCs w:val="20"/>
                <w:color w:val="auto"/>
              </w:rPr>
            </w:pPr>
            <w:r>
              <w:rPr>
                <w:rFonts w:ascii="Arial" w:cs="Arial" w:eastAsia="Arial" w:hAnsi="Arial"/>
                <w:sz w:val="18"/>
                <w:szCs w:val="18"/>
                <w:color w:val="auto"/>
                <w:w w:val="90"/>
              </w:rPr>
              <w:t>The closing date of the issuance of the Convertible Securities issued pursuant to the option to purchase</w:t>
            </w:r>
          </w:p>
        </w:tc>
      </w:tr>
      <w:tr>
        <w:trPr>
          <w:trHeight w:val="230"/>
        </w:trPr>
        <w:tc>
          <w:tcPr>
            <w:tcW w:w="3160" w:type="dxa"/>
            <w:vAlign w:val="bottom"/>
          </w:tcPr>
          <w:p>
            <w:pPr>
              <w:spacing w:after="0"/>
              <w:rPr>
                <w:sz w:val="20"/>
                <w:szCs w:val="20"/>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rPr>
              <w:t>additional Convertible Securities exercised on the date hereof.</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Option Style:</w:t>
            </w:r>
          </w:p>
        </w:tc>
        <w:tc>
          <w:tcPr>
            <w:tcW w:w="8300" w:type="dxa"/>
            <w:vAlign w:val="bottom"/>
          </w:tcPr>
          <w:p>
            <w:pPr>
              <w:ind w:left="840"/>
              <w:spacing w:after="0"/>
              <w:rPr>
                <w:sz w:val="20"/>
                <w:szCs w:val="20"/>
                <w:color w:val="auto"/>
              </w:rPr>
            </w:pPr>
            <w:r>
              <w:rPr>
                <w:rFonts w:ascii="Arial" w:cs="Arial" w:eastAsia="Arial" w:hAnsi="Arial"/>
                <w:sz w:val="18"/>
                <w:szCs w:val="18"/>
                <w:color w:val="auto"/>
              </w:rPr>
              <w:t>Modified American, as described under “Procedures for Exercise” below.</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Option Type:</w:t>
            </w:r>
          </w:p>
        </w:tc>
        <w:tc>
          <w:tcPr>
            <w:tcW w:w="8300" w:type="dxa"/>
            <w:vAlign w:val="bottom"/>
          </w:tcPr>
          <w:p>
            <w:pPr>
              <w:ind w:left="840"/>
              <w:spacing w:after="0"/>
              <w:rPr>
                <w:sz w:val="20"/>
                <w:szCs w:val="20"/>
                <w:color w:val="auto"/>
              </w:rPr>
            </w:pPr>
            <w:r>
              <w:rPr>
                <w:rFonts w:ascii="Arial" w:cs="Arial" w:eastAsia="Arial" w:hAnsi="Arial"/>
                <w:sz w:val="18"/>
                <w:szCs w:val="18"/>
                <w:color w:val="auto"/>
              </w:rPr>
              <w:t>Call</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Seller:</w:t>
            </w:r>
          </w:p>
        </w:tc>
        <w:tc>
          <w:tcPr>
            <w:tcW w:w="8300" w:type="dxa"/>
            <w:vAlign w:val="bottom"/>
          </w:tcPr>
          <w:p>
            <w:pPr>
              <w:ind w:left="840"/>
              <w:spacing w:after="0"/>
              <w:rPr>
                <w:sz w:val="20"/>
                <w:szCs w:val="20"/>
                <w:color w:val="auto"/>
              </w:rPr>
            </w:pPr>
            <w:r>
              <w:rPr>
                <w:rFonts w:ascii="Arial" w:cs="Arial" w:eastAsia="Arial" w:hAnsi="Arial"/>
                <w:sz w:val="18"/>
                <w:szCs w:val="18"/>
                <w:color w:val="auto"/>
              </w:rPr>
              <w:t>Dealer</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Buyer:</w:t>
            </w:r>
          </w:p>
        </w:tc>
        <w:tc>
          <w:tcPr>
            <w:tcW w:w="8300" w:type="dxa"/>
            <w:vAlign w:val="bottom"/>
          </w:tcPr>
          <w:p>
            <w:pPr>
              <w:ind w:left="840"/>
              <w:spacing w:after="0"/>
              <w:rPr>
                <w:sz w:val="20"/>
                <w:szCs w:val="20"/>
                <w:color w:val="auto"/>
              </w:rPr>
            </w:pPr>
            <w:r>
              <w:rPr>
                <w:rFonts w:ascii="Arial" w:cs="Arial" w:eastAsia="Arial" w:hAnsi="Arial"/>
                <w:sz w:val="18"/>
                <w:szCs w:val="18"/>
                <w:color w:val="auto"/>
              </w:rPr>
              <w:t>Counterparty</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Shares:</w:t>
            </w:r>
          </w:p>
        </w:tc>
        <w:tc>
          <w:tcPr>
            <w:tcW w:w="8300" w:type="dxa"/>
            <w:vAlign w:val="bottom"/>
          </w:tcPr>
          <w:p>
            <w:pPr>
              <w:ind w:left="840"/>
              <w:spacing w:after="0"/>
              <w:rPr>
                <w:sz w:val="20"/>
                <w:szCs w:val="20"/>
                <w:color w:val="auto"/>
              </w:rPr>
            </w:pPr>
            <w:r>
              <w:rPr>
                <w:rFonts w:ascii="Arial" w:cs="Arial" w:eastAsia="Arial" w:hAnsi="Arial"/>
                <w:sz w:val="18"/>
                <w:szCs w:val="18"/>
                <w:color w:val="auto"/>
              </w:rPr>
              <w:t>The Common Stock of Counterparty, par value USD0.50 (Ticker Symbol: “WGO”).</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Applicable Percentage:</w:t>
            </w:r>
          </w:p>
        </w:tc>
        <w:tc>
          <w:tcPr>
            <w:tcW w:w="8300" w:type="dxa"/>
            <w:vAlign w:val="bottom"/>
          </w:tcPr>
          <w:p>
            <w:pPr>
              <w:ind w:left="840"/>
              <w:spacing w:after="0"/>
              <w:rPr>
                <w:sz w:val="20"/>
                <w:szCs w:val="20"/>
                <w:color w:val="auto"/>
              </w:rPr>
            </w:pPr>
            <w:r>
              <w:rPr>
                <w:rFonts w:ascii="Arial" w:cs="Arial" w:eastAsia="Arial" w:hAnsi="Arial"/>
                <w:sz w:val="18"/>
                <w:szCs w:val="18"/>
                <w:color w:val="auto"/>
              </w:rPr>
              <w:t>50.00%</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8300" w:type="dxa"/>
            <w:vAlign w:val="bottom"/>
          </w:tcPr>
          <w:p>
            <w:pPr>
              <w:ind w:left="840"/>
              <w:spacing w:after="0"/>
              <w:rPr>
                <w:sz w:val="20"/>
                <w:szCs w:val="20"/>
                <w:color w:val="auto"/>
              </w:rPr>
            </w:pPr>
            <w:r>
              <w:rPr>
                <w:rFonts w:ascii="Arial" w:cs="Arial" w:eastAsia="Arial" w:hAnsi="Arial"/>
                <w:sz w:val="18"/>
                <w:szCs w:val="18"/>
                <w:color w:val="auto"/>
                <w:w w:val="98"/>
              </w:rPr>
              <w:t>The number of Optional Convertible Securities in denominations of USD1,000 principal amount</w:t>
            </w:r>
          </w:p>
        </w:tc>
      </w:tr>
      <w:tr>
        <w:trPr>
          <w:trHeight w:val="230"/>
        </w:trPr>
        <w:tc>
          <w:tcPr>
            <w:tcW w:w="3160" w:type="dxa"/>
            <w:vAlign w:val="bottom"/>
          </w:tcPr>
          <w:p>
            <w:pPr>
              <w:spacing w:after="0"/>
              <w:rPr>
                <w:sz w:val="20"/>
                <w:szCs w:val="20"/>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0"/>
              </w:rPr>
              <w:t>purchased by the Initial Purchasers (as defined in the Purchase Agreement), at their option pursuant to</w:t>
            </w:r>
          </w:p>
        </w:tc>
      </w:tr>
      <w:tr>
        <w:trPr>
          <w:trHeight w:val="432"/>
        </w:trPr>
        <w:tc>
          <w:tcPr>
            <w:tcW w:w="3160" w:type="dxa"/>
            <w:vAlign w:val="bottom"/>
          </w:tcPr>
          <w:p>
            <w:pPr>
              <w:spacing w:after="0"/>
              <w:rPr>
                <w:sz w:val="24"/>
                <w:szCs w:val="24"/>
                <w:color w:val="auto"/>
              </w:rPr>
            </w:pPr>
          </w:p>
        </w:tc>
        <w:tc>
          <w:tcPr>
            <w:tcW w:w="8300" w:type="dxa"/>
            <w:vAlign w:val="bottom"/>
          </w:tcPr>
          <w:p>
            <w:pPr>
              <w:ind w:left="2500"/>
              <w:spacing w:after="0"/>
              <w:rPr>
                <w:sz w:val="20"/>
                <w:szCs w:val="20"/>
                <w:color w:val="auto"/>
              </w:rPr>
            </w:pPr>
            <w:r>
              <w:rPr>
                <w:rFonts w:ascii="Arial" w:cs="Arial" w:eastAsia="Arial" w:hAnsi="Arial"/>
                <w:sz w:val="18"/>
                <w:szCs w:val="18"/>
                <w:color w:val="auto"/>
              </w:rPr>
              <w:t>2</w:t>
            </w:r>
          </w:p>
        </w:tc>
      </w:tr>
      <w:tr>
        <w:trPr>
          <w:trHeight w:val="132"/>
        </w:trPr>
        <w:tc>
          <w:tcPr>
            <w:tcW w:w="3160" w:type="dxa"/>
            <w:vAlign w:val="bottom"/>
            <w:tcBorders>
              <w:bottom w:val="single" w:sz="8" w:color="808080"/>
            </w:tcBorders>
          </w:tcPr>
          <w:p>
            <w:pPr>
              <w:spacing w:after="0"/>
              <w:rPr>
                <w:sz w:val="11"/>
                <w:szCs w:val="11"/>
                <w:color w:val="auto"/>
              </w:rPr>
            </w:pPr>
          </w:p>
        </w:tc>
        <w:tc>
          <w:tcPr>
            <w:tcW w:w="8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2"/>
              </w:rPr>
              <w:t>Section 2 of the Purchase Agreement (as defined below). For the avoidance of doubt, the Number of</w:t>
            </w:r>
          </w:p>
        </w:tc>
      </w:tr>
      <w:tr>
        <w:trPr>
          <w:trHeight w:val="230"/>
        </w:trPr>
        <w:tc>
          <w:tcPr>
            <w:tcW w:w="3580" w:type="dxa"/>
            <w:vAlign w:val="bottom"/>
          </w:tcPr>
          <w:p>
            <w:pPr>
              <w:spacing w:after="0"/>
              <w:rPr>
                <w:sz w:val="20"/>
                <w:szCs w:val="20"/>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Options outstanding shall be reduced by each exercise of Options hereunder.</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Option Entitlement:</w:t>
            </w:r>
          </w:p>
        </w:tc>
        <w:tc>
          <w:tcPr>
            <w:tcW w:w="7880" w:type="dxa"/>
            <w:vAlign w:val="bottom"/>
          </w:tcPr>
          <w:p>
            <w:pPr>
              <w:ind w:left="440"/>
              <w:spacing w:after="0"/>
              <w:rPr>
                <w:sz w:val="20"/>
                <w:szCs w:val="20"/>
                <w:color w:val="auto"/>
              </w:rPr>
            </w:pPr>
            <w:r>
              <w:rPr>
                <w:rFonts w:ascii="Arial" w:cs="Arial" w:eastAsia="Arial" w:hAnsi="Arial"/>
                <w:sz w:val="18"/>
                <w:szCs w:val="18"/>
                <w:color w:val="auto"/>
              </w:rPr>
              <w:t>15.6906</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Fundamental Change Adjustment:</w:t>
            </w:r>
          </w:p>
        </w:tc>
        <w:tc>
          <w:tcPr>
            <w:tcW w:w="7880" w:type="dxa"/>
            <w:vAlign w:val="bottom"/>
          </w:tcPr>
          <w:p>
            <w:pPr>
              <w:ind w:left="440"/>
              <w:spacing w:after="0"/>
              <w:rPr>
                <w:sz w:val="20"/>
                <w:szCs w:val="20"/>
                <w:color w:val="auto"/>
              </w:rPr>
            </w:pPr>
            <w:r>
              <w:rPr>
                <w:rFonts w:ascii="Arial" w:cs="Arial" w:eastAsia="Arial" w:hAnsi="Arial"/>
                <w:sz w:val="18"/>
                <w:szCs w:val="18"/>
                <w:color w:val="auto"/>
              </w:rPr>
              <w:t>Any adjustment to the Conversion Rate pursuant to Section 5.07 of the Indenture.</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Discretionary Adjustment:</w:t>
            </w:r>
          </w:p>
        </w:tc>
        <w:tc>
          <w:tcPr>
            <w:tcW w:w="7880" w:type="dxa"/>
            <w:vAlign w:val="bottom"/>
          </w:tcPr>
          <w:p>
            <w:pPr>
              <w:ind w:left="440"/>
              <w:spacing w:after="0"/>
              <w:rPr>
                <w:sz w:val="20"/>
                <w:szCs w:val="20"/>
                <w:color w:val="auto"/>
              </w:rPr>
            </w:pPr>
            <w:r>
              <w:rPr>
                <w:rFonts w:ascii="Arial" w:cs="Arial" w:eastAsia="Arial" w:hAnsi="Arial"/>
                <w:sz w:val="18"/>
                <w:szCs w:val="18"/>
                <w:color w:val="auto"/>
              </w:rPr>
              <w:t>Any adjustment to the Conversion Rate pursuant to Section 5.06 of the Indenture.</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7880" w:type="dxa"/>
            <w:vAlign w:val="bottom"/>
          </w:tcPr>
          <w:p>
            <w:pPr>
              <w:ind w:left="440"/>
              <w:spacing w:after="0"/>
              <w:rPr>
                <w:sz w:val="20"/>
                <w:szCs w:val="20"/>
                <w:color w:val="auto"/>
              </w:rPr>
            </w:pPr>
            <w:r>
              <w:rPr>
                <w:rFonts w:ascii="Arial" w:cs="Arial" w:eastAsia="Arial" w:hAnsi="Arial"/>
                <w:sz w:val="18"/>
                <w:szCs w:val="18"/>
                <w:color w:val="auto"/>
              </w:rPr>
              <w:t>USD63.7324</w:t>
            </w:r>
          </w:p>
        </w:tc>
      </w:tr>
      <w:tr>
        <w:trPr>
          <w:trHeight w:val="418"/>
        </w:trPr>
        <w:tc>
          <w:tcPr>
            <w:tcW w:w="3580" w:type="dxa"/>
            <w:vAlign w:val="bottom"/>
          </w:tcPr>
          <w:p>
            <w:pPr>
              <w:ind w:left="660"/>
              <w:spacing w:after="0"/>
              <w:rPr>
                <w:sz w:val="20"/>
                <w:szCs w:val="20"/>
                <w:color w:val="auto"/>
              </w:rPr>
            </w:pPr>
            <w:r>
              <w:rPr>
                <w:rFonts w:ascii="Arial" w:cs="Arial" w:eastAsia="Arial" w:hAnsi="Arial"/>
                <w:sz w:val="18"/>
                <w:szCs w:val="18"/>
                <w:color w:val="auto"/>
              </w:rPr>
              <w:t>Rounding of Strike Price/ Option</w:t>
            </w:r>
          </w:p>
        </w:tc>
        <w:tc>
          <w:tcPr>
            <w:tcW w:w="7880" w:type="dxa"/>
            <w:vAlign w:val="bottom"/>
          </w:tcPr>
          <w:p>
            <w:pPr>
              <w:ind w:left="440"/>
              <w:spacing w:after="0"/>
              <w:rPr>
                <w:sz w:val="20"/>
                <w:szCs w:val="20"/>
                <w:color w:val="auto"/>
              </w:rPr>
            </w:pPr>
            <w:r>
              <w:rPr>
                <w:rFonts w:ascii="Arial" w:cs="Arial" w:eastAsia="Arial" w:hAnsi="Arial"/>
                <w:sz w:val="18"/>
                <w:szCs w:val="18"/>
                <w:color w:val="auto"/>
                <w:w w:val="92"/>
              </w:rPr>
              <w:t>In connection with any adjustment to the Option Entitlement or Strike Price, the Option Entitlement or</w:t>
            </w: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Entitlement:</w:t>
            </w:r>
          </w:p>
        </w:tc>
        <w:tc>
          <w:tcPr>
            <w:tcW w:w="7880" w:type="dxa"/>
            <w:vAlign w:val="bottom"/>
          </w:tcPr>
          <w:p>
            <w:pPr>
              <w:ind w:left="440"/>
              <w:spacing w:after="0"/>
              <w:rPr>
                <w:sz w:val="20"/>
                <w:szCs w:val="20"/>
                <w:color w:val="auto"/>
              </w:rPr>
            </w:pPr>
            <w:r>
              <w:rPr>
                <w:rFonts w:ascii="Arial" w:cs="Arial" w:eastAsia="Arial" w:hAnsi="Arial"/>
                <w:sz w:val="18"/>
                <w:szCs w:val="18"/>
                <w:color w:val="auto"/>
                <w:w w:val="90"/>
              </w:rPr>
              <w:t>the Strike Price, as the case may be, shall be rounded by the Calculation Agent in accordance with the</w:t>
            </w:r>
          </w:p>
        </w:tc>
      </w:tr>
      <w:tr>
        <w:trPr>
          <w:trHeight w:val="216"/>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2"/>
              </w:rPr>
              <w:t>provisions of the Indenture relating to rounding of the “Conversion Price” or the “Conversion Rate” as</w:t>
            </w:r>
          </w:p>
        </w:tc>
      </w:tr>
      <w:tr>
        <w:trPr>
          <w:trHeight w:val="230"/>
        </w:trPr>
        <w:tc>
          <w:tcPr>
            <w:tcW w:w="3580" w:type="dxa"/>
            <w:vAlign w:val="bottom"/>
          </w:tcPr>
          <w:p>
            <w:pPr>
              <w:spacing w:after="0"/>
              <w:rPr>
                <w:sz w:val="20"/>
                <w:szCs w:val="20"/>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applicable (each as defined in the Indenture).</w:t>
            </w:r>
          </w:p>
        </w:tc>
      </w:tr>
      <w:tr>
        <w:trPr>
          <w:trHeight w:val="418"/>
        </w:trPr>
        <w:tc>
          <w:tcPr>
            <w:tcW w:w="3580" w:type="dxa"/>
            <w:vAlign w:val="bottom"/>
          </w:tcPr>
          <w:p>
            <w:pPr>
              <w:ind w:left="660"/>
              <w:spacing w:after="0"/>
              <w:rPr>
                <w:sz w:val="20"/>
                <w:szCs w:val="20"/>
                <w:color w:val="auto"/>
              </w:rPr>
            </w:pPr>
            <w:r>
              <w:rPr>
                <w:rFonts w:ascii="Arial" w:cs="Arial" w:eastAsia="Arial" w:hAnsi="Arial"/>
                <w:sz w:val="18"/>
                <w:szCs w:val="18"/>
                <w:color w:val="auto"/>
              </w:rPr>
              <w:t>Number of Shares:</w:t>
            </w:r>
          </w:p>
        </w:tc>
        <w:tc>
          <w:tcPr>
            <w:tcW w:w="7880" w:type="dxa"/>
            <w:vAlign w:val="bottom"/>
          </w:tcPr>
          <w:p>
            <w:pPr>
              <w:ind w:left="440"/>
              <w:spacing w:after="0"/>
              <w:rPr>
                <w:sz w:val="20"/>
                <w:szCs w:val="20"/>
                <w:color w:val="auto"/>
              </w:rPr>
            </w:pPr>
            <w:r>
              <w:rPr>
                <w:rFonts w:ascii="Arial" w:cs="Arial" w:eastAsia="Arial" w:hAnsi="Arial"/>
                <w:sz w:val="18"/>
                <w:szCs w:val="18"/>
                <w:color w:val="auto"/>
                <w:w w:val="97"/>
              </w:rPr>
              <w:t>As of any date, a number of Shares equal to the product of (i) the Applicable Percentage, (ii) the</w:t>
            </w:r>
          </w:p>
        </w:tc>
      </w:tr>
      <w:tr>
        <w:trPr>
          <w:trHeight w:val="230"/>
        </w:trPr>
        <w:tc>
          <w:tcPr>
            <w:tcW w:w="3580" w:type="dxa"/>
            <w:vAlign w:val="bottom"/>
          </w:tcPr>
          <w:p>
            <w:pPr>
              <w:spacing w:after="0"/>
              <w:rPr>
                <w:sz w:val="20"/>
                <w:szCs w:val="20"/>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Number of Options and (iii) the Option Entitlement.</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Premium:</w:t>
            </w:r>
          </w:p>
        </w:tc>
        <w:tc>
          <w:tcPr>
            <w:tcW w:w="7880" w:type="dxa"/>
            <w:vAlign w:val="bottom"/>
          </w:tcPr>
          <w:p>
            <w:pPr>
              <w:ind w:left="440"/>
              <w:spacing w:after="0"/>
              <w:rPr>
                <w:sz w:val="20"/>
                <w:szCs w:val="20"/>
                <w:color w:val="auto"/>
              </w:rPr>
            </w:pPr>
            <w:r>
              <w:rPr>
                <w:rFonts w:ascii="Arial" w:cs="Arial" w:eastAsia="Arial" w:hAnsi="Arial"/>
                <w:sz w:val="18"/>
                <w:szCs w:val="18"/>
                <w:color w:val="auto"/>
              </w:rPr>
              <w:t>USD3,540,000.00.</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Premium Payment Date:</w:t>
            </w:r>
          </w:p>
        </w:tc>
        <w:tc>
          <w:tcPr>
            <w:tcW w:w="7880" w:type="dxa"/>
            <w:vAlign w:val="bottom"/>
          </w:tcPr>
          <w:p>
            <w:pPr>
              <w:ind w:left="440"/>
              <w:spacing w:after="0"/>
              <w:rPr>
                <w:sz w:val="20"/>
                <w:szCs w:val="20"/>
                <w:color w:val="auto"/>
              </w:rPr>
            </w:pPr>
            <w:r>
              <w:rPr>
                <w:rFonts w:ascii="Arial" w:cs="Arial" w:eastAsia="Arial" w:hAnsi="Arial"/>
                <w:sz w:val="18"/>
                <w:szCs w:val="18"/>
                <w:color w:val="auto"/>
              </w:rPr>
              <w:t>The Effective Date</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Exchange:</w:t>
            </w:r>
          </w:p>
        </w:tc>
        <w:tc>
          <w:tcPr>
            <w:tcW w:w="7880" w:type="dxa"/>
            <w:vAlign w:val="bottom"/>
          </w:tcPr>
          <w:p>
            <w:pPr>
              <w:ind w:left="440"/>
              <w:spacing w:after="0"/>
              <w:rPr>
                <w:sz w:val="20"/>
                <w:szCs w:val="20"/>
                <w:color w:val="auto"/>
              </w:rPr>
            </w:pPr>
            <w:r>
              <w:rPr>
                <w:rFonts w:ascii="Arial" w:cs="Arial" w:eastAsia="Arial" w:hAnsi="Arial"/>
                <w:sz w:val="18"/>
                <w:szCs w:val="18"/>
                <w:color w:val="auto"/>
              </w:rPr>
              <w:t>The New York Stock Exchange</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Related Exchange:</w:t>
            </w:r>
          </w:p>
        </w:tc>
        <w:tc>
          <w:tcPr>
            <w:tcW w:w="7880" w:type="dxa"/>
            <w:vAlign w:val="bottom"/>
          </w:tcPr>
          <w:p>
            <w:pPr>
              <w:ind w:left="440"/>
              <w:spacing w:after="0"/>
              <w:rPr>
                <w:sz w:val="20"/>
                <w:szCs w:val="20"/>
                <w:color w:val="auto"/>
              </w:rPr>
            </w:pPr>
            <w:r>
              <w:rPr>
                <w:rFonts w:ascii="Arial" w:cs="Arial" w:eastAsia="Arial" w:hAnsi="Arial"/>
                <w:sz w:val="18"/>
                <w:szCs w:val="18"/>
                <w:color w:val="auto"/>
              </w:rPr>
              <w:t>All Exchanges</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7880" w:type="dxa"/>
            <w:vAlign w:val="bottom"/>
          </w:tcPr>
          <w:p>
            <w:pPr>
              <w:spacing w:after="0"/>
              <w:rPr>
                <w:sz w:val="24"/>
                <w:szCs w:val="24"/>
                <w:color w:val="auto"/>
              </w:rPr>
            </w:pP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Exercise Dates:</w:t>
            </w:r>
          </w:p>
        </w:tc>
        <w:tc>
          <w:tcPr>
            <w:tcW w:w="7880" w:type="dxa"/>
            <w:vAlign w:val="bottom"/>
          </w:tcPr>
          <w:p>
            <w:pPr>
              <w:ind w:left="440"/>
              <w:spacing w:after="0"/>
              <w:rPr>
                <w:sz w:val="20"/>
                <w:szCs w:val="20"/>
                <w:color w:val="auto"/>
              </w:rPr>
            </w:pPr>
            <w:r>
              <w:rPr>
                <w:rFonts w:ascii="Arial" w:cs="Arial" w:eastAsia="Arial" w:hAnsi="Arial"/>
                <w:sz w:val="18"/>
                <w:szCs w:val="18"/>
                <w:color w:val="auto"/>
              </w:rPr>
              <w:t>Each Conversion Date.</w:t>
            </w:r>
          </w:p>
        </w:tc>
      </w:tr>
      <w:tr>
        <w:trPr>
          <w:trHeight w:val="418"/>
        </w:trPr>
        <w:tc>
          <w:tcPr>
            <w:tcW w:w="3580" w:type="dxa"/>
            <w:vAlign w:val="bottom"/>
          </w:tcPr>
          <w:p>
            <w:pPr>
              <w:ind w:left="660"/>
              <w:spacing w:after="0"/>
              <w:rPr>
                <w:sz w:val="20"/>
                <w:szCs w:val="20"/>
                <w:color w:val="auto"/>
              </w:rPr>
            </w:pPr>
            <w:r>
              <w:rPr>
                <w:rFonts w:ascii="Arial" w:cs="Arial" w:eastAsia="Arial" w:hAnsi="Arial"/>
                <w:sz w:val="18"/>
                <w:szCs w:val="18"/>
                <w:color w:val="auto"/>
              </w:rPr>
              <w:t>Conversion Date:</w:t>
            </w:r>
          </w:p>
        </w:tc>
        <w:tc>
          <w:tcPr>
            <w:tcW w:w="7880" w:type="dxa"/>
            <w:vAlign w:val="bottom"/>
          </w:tcPr>
          <w:p>
            <w:pPr>
              <w:ind w:left="440"/>
              <w:spacing w:after="0"/>
              <w:rPr>
                <w:sz w:val="20"/>
                <w:szCs w:val="20"/>
                <w:color w:val="auto"/>
              </w:rPr>
            </w:pPr>
            <w:r>
              <w:rPr>
                <w:rFonts w:ascii="Arial" w:cs="Arial" w:eastAsia="Arial" w:hAnsi="Arial"/>
                <w:sz w:val="18"/>
                <w:szCs w:val="18"/>
                <w:color w:val="auto"/>
                <w:w w:val="99"/>
              </w:rPr>
              <w:t>Each “Conversion Date” (as defined in the Indenture) occurring during the Exercise Period for</w:t>
            </w:r>
          </w:p>
        </w:tc>
      </w:tr>
      <w:tr>
        <w:trPr>
          <w:trHeight w:val="216"/>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4"/>
              </w:rPr>
              <w:t>Convertible Securities each in denominations of USD1,000 principal amount that are not “Relevant</w:t>
            </w:r>
          </w:p>
        </w:tc>
      </w:tr>
      <w:tr>
        <w:trPr>
          <w:trHeight w:val="212"/>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Convertible Securities” under (and as defined in) the confirmation between the parties hereto</w:t>
            </w:r>
          </w:p>
        </w:tc>
      </w:tr>
      <w:tr>
        <w:trPr>
          <w:trHeight w:val="216"/>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regarding the Base Convertible Bond Hedge Transaction dated October 29, 2019 (the “</w:t>
            </w:r>
            <w:r>
              <w:rPr>
                <w:rFonts w:ascii="Arial" w:cs="Arial" w:eastAsia="Arial" w:hAnsi="Arial"/>
                <w:sz w:val="18"/>
                <w:szCs w:val="18"/>
                <w:b w:val="1"/>
                <w:bCs w:val="1"/>
                <w:color w:val="auto"/>
              </w:rPr>
              <w:t>Base</w:t>
            </w:r>
          </w:p>
        </w:tc>
      </w:tr>
      <w:tr>
        <w:trPr>
          <w:trHeight w:val="216"/>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b w:val="1"/>
                <w:bCs w:val="1"/>
                <w:color w:val="auto"/>
                <w:w w:val="93"/>
              </w:rPr>
              <w:t>Convertible Bond Hedge Transaction Confirmation</w:t>
            </w:r>
            <w:r>
              <w:rPr>
                <w:rFonts w:ascii="Arial" w:cs="Arial" w:eastAsia="Arial" w:hAnsi="Arial"/>
                <w:sz w:val="18"/>
                <w:szCs w:val="18"/>
                <w:color w:val="auto"/>
                <w:w w:val="93"/>
              </w:rPr>
              <w:t>”) (such Convertible Securities, the “</w:t>
            </w:r>
            <w:r>
              <w:rPr>
                <w:rFonts w:ascii="Arial" w:cs="Arial" w:eastAsia="Arial" w:hAnsi="Arial"/>
                <w:sz w:val="18"/>
                <w:szCs w:val="18"/>
                <w:b w:val="1"/>
                <w:bCs w:val="1"/>
                <w:color w:val="auto"/>
                <w:w w:val="93"/>
              </w:rPr>
              <w:t>Relevant</w:t>
            </w:r>
          </w:p>
        </w:tc>
      </w:tr>
      <w:tr>
        <w:trPr>
          <w:trHeight w:val="220"/>
        </w:trPr>
        <w:tc>
          <w:tcPr>
            <w:tcW w:w="3580" w:type="dxa"/>
            <w:vAlign w:val="bottom"/>
          </w:tcPr>
          <w:p>
            <w:pPr>
              <w:spacing w:after="0"/>
              <w:rPr>
                <w:sz w:val="19"/>
                <w:szCs w:val="19"/>
                <w:color w:val="auto"/>
              </w:rPr>
            </w:pPr>
          </w:p>
        </w:tc>
        <w:tc>
          <w:tcPr>
            <w:tcW w:w="7880" w:type="dxa"/>
            <w:vAlign w:val="bottom"/>
          </w:tcPr>
          <w:p>
            <w:pPr>
              <w:ind w:left="440"/>
              <w:spacing w:after="0"/>
              <w:rPr>
                <w:sz w:val="20"/>
                <w:szCs w:val="20"/>
                <w:color w:val="auto"/>
              </w:rPr>
            </w:pPr>
            <w:r>
              <w:rPr>
                <w:rFonts w:ascii="Arial" w:cs="Arial" w:eastAsia="Arial" w:hAnsi="Arial"/>
                <w:sz w:val="18"/>
                <w:szCs w:val="18"/>
                <w:b w:val="1"/>
                <w:bCs w:val="1"/>
                <w:color w:val="auto"/>
                <w:w w:val="95"/>
              </w:rPr>
              <w:t>Convertible Securities</w:t>
            </w:r>
            <w:r>
              <w:rPr>
                <w:rFonts w:ascii="Arial" w:cs="Arial" w:eastAsia="Arial" w:hAnsi="Arial"/>
                <w:sz w:val="18"/>
                <w:szCs w:val="18"/>
                <w:color w:val="auto"/>
                <w:w w:val="95"/>
              </w:rPr>
              <w:t>” for such Conversion Date). For the purposes of determining whether any</w:t>
            </w:r>
          </w:p>
        </w:tc>
      </w:tr>
      <w:tr>
        <w:trPr>
          <w:trHeight w:val="216"/>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6"/>
              </w:rPr>
              <w:t>Convertible Securities will be Relevant Convertible Securities hereunder or “Relevant Convertible</w:t>
            </w:r>
          </w:p>
        </w:tc>
      </w:tr>
      <w:tr>
        <w:trPr>
          <w:trHeight w:val="216"/>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2"/>
              </w:rPr>
              <w:t>Securities” under the Base Convertible Bond Hedge Transaction Confirmation, Convertible Securities</w:t>
            </w:r>
          </w:p>
        </w:tc>
      </w:tr>
      <w:tr>
        <w:trPr>
          <w:trHeight w:val="216"/>
        </w:trPr>
        <w:tc>
          <w:tcPr>
            <w:tcW w:w="358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6"/>
              </w:rPr>
              <w:t>that are converted pursuant to the Indenture shall be allocated first to the Base Convertible Bond</w:t>
            </w:r>
          </w:p>
        </w:tc>
      </w:tr>
      <w:tr>
        <w:trPr>
          <w:trHeight w:val="230"/>
        </w:trPr>
        <w:tc>
          <w:tcPr>
            <w:tcW w:w="3580" w:type="dxa"/>
            <w:vAlign w:val="bottom"/>
          </w:tcPr>
          <w:p>
            <w:pPr>
              <w:spacing w:after="0"/>
              <w:rPr>
                <w:sz w:val="20"/>
                <w:szCs w:val="20"/>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Hedge Transaction Confirmation until all Options thereunder are exercised or terminated.</w:t>
            </w:r>
          </w:p>
        </w:tc>
      </w:tr>
      <w:tr>
        <w:trPr>
          <w:trHeight w:val="432"/>
        </w:trPr>
        <w:tc>
          <w:tcPr>
            <w:tcW w:w="3580" w:type="dxa"/>
            <w:vAlign w:val="bottom"/>
          </w:tcPr>
          <w:p>
            <w:pPr>
              <w:ind w:left="660"/>
              <w:spacing w:after="0"/>
              <w:rPr>
                <w:sz w:val="20"/>
                <w:szCs w:val="20"/>
                <w:color w:val="auto"/>
              </w:rPr>
            </w:pPr>
            <w:r>
              <w:rPr>
                <w:rFonts w:ascii="Arial" w:cs="Arial" w:eastAsia="Arial" w:hAnsi="Arial"/>
                <w:sz w:val="18"/>
                <w:szCs w:val="18"/>
                <w:color w:val="auto"/>
              </w:rPr>
              <w:t>Exercise Period:</w:t>
            </w:r>
          </w:p>
        </w:tc>
        <w:tc>
          <w:tcPr>
            <w:tcW w:w="7880" w:type="dxa"/>
            <w:vAlign w:val="bottom"/>
          </w:tcPr>
          <w:p>
            <w:pPr>
              <w:ind w:left="440"/>
              <w:spacing w:after="0"/>
              <w:rPr>
                <w:sz w:val="20"/>
                <w:szCs w:val="20"/>
                <w:color w:val="auto"/>
              </w:rPr>
            </w:pPr>
            <w:r>
              <w:rPr>
                <w:rFonts w:ascii="Arial" w:cs="Arial" w:eastAsia="Arial" w:hAnsi="Arial"/>
                <w:sz w:val="18"/>
                <w:szCs w:val="18"/>
                <w:color w:val="auto"/>
              </w:rPr>
              <w:t>The period from and excluding the Effective Date to, and including, the Expiration Date.</w:t>
            </w:r>
          </w:p>
        </w:tc>
      </w:tr>
      <w:tr>
        <w:trPr>
          <w:trHeight w:val="432"/>
        </w:trPr>
        <w:tc>
          <w:tcPr>
            <w:tcW w:w="3580" w:type="dxa"/>
            <w:vAlign w:val="bottom"/>
          </w:tcPr>
          <w:p>
            <w:pPr>
              <w:spacing w:after="0"/>
              <w:rPr>
                <w:sz w:val="24"/>
                <w:szCs w:val="24"/>
                <w:color w:val="auto"/>
              </w:rPr>
            </w:pPr>
          </w:p>
        </w:tc>
        <w:tc>
          <w:tcPr>
            <w:tcW w:w="7880" w:type="dxa"/>
            <w:vAlign w:val="bottom"/>
          </w:tcPr>
          <w:p>
            <w:pPr>
              <w:ind w:left="2080"/>
              <w:spacing w:after="0"/>
              <w:rPr>
                <w:sz w:val="20"/>
                <w:szCs w:val="20"/>
                <w:color w:val="auto"/>
              </w:rPr>
            </w:pPr>
            <w:r>
              <w:rPr>
                <w:rFonts w:ascii="Arial" w:cs="Arial" w:eastAsia="Arial" w:hAnsi="Arial"/>
                <w:sz w:val="18"/>
                <w:szCs w:val="18"/>
                <w:color w:val="auto"/>
              </w:rPr>
              <w:t>3</w:t>
            </w:r>
          </w:p>
        </w:tc>
      </w:tr>
      <w:tr>
        <w:trPr>
          <w:trHeight w:val="132"/>
        </w:trPr>
        <w:tc>
          <w:tcPr>
            <w:tcW w:w="3580" w:type="dxa"/>
            <w:vAlign w:val="bottom"/>
            <w:tcBorders>
              <w:bottom w:val="single" w:sz="8" w:color="808080"/>
            </w:tcBorders>
          </w:tcPr>
          <w:p>
            <w:pPr>
              <w:spacing w:after="0"/>
              <w:rPr>
                <w:sz w:val="11"/>
                <w:szCs w:val="11"/>
                <w:color w:val="auto"/>
              </w:rPr>
            </w:pPr>
          </w:p>
        </w:tc>
        <w:tc>
          <w:tcPr>
            <w:tcW w:w="78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Automatic Exercise on Conversion Dates: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Notice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Notice of Exercise:</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The earlier of (i) the last day on which any Convertible Securities remain outstanding and (ii) the second “Scheduled Trading Day” (as defined in the Indenture) immediately preceding the “Maturity Date” (as defined in the Indenture).</w:t>
      </w:r>
    </w:p>
    <w:p>
      <w:pPr>
        <w:spacing w:after="0" w:line="18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respect of any exercise of Options hereunder on any Conversion Date, 5:00 P.M., New York City time, on (i) in the case the applicable Relevant Convertible Securities will be settled by Counterparty by delivery of Shares only (together with cash in lieu of any fractional Share), the “Trading Day” (as defined in the Indenture) immediately following the relevant Conversion Date, or (ii) otherwise, the Scheduled Trading Day immediately preceding the first day of the relevant Cash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exercise of Options hereunder in connection with the conversion of any Relevant Convertible Securities for any Conversion Date occurring during the period from and including the 85th “Scheduled Trading Day” (as defined in the Indenture) prior to the Maturity Date, to and including the Expiration Date (such period, the “</w:t>
      </w:r>
      <w:r>
        <w:rPr>
          <w:rFonts w:ascii="Arial" w:cs="Arial" w:eastAsia="Arial" w:hAnsi="Arial"/>
          <w:sz w:val="16"/>
          <w:szCs w:val="16"/>
          <w:b w:val="1"/>
          <w:bCs w:val="1"/>
          <w:color w:val="auto"/>
        </w:rPr>
        <w:t>Final Conversion Period</w:t>
      </w:r>
      <w:r>
        <w:rPr>
          <w:rFonts w:ascii="Arial" w:cs="Arial" w:eastAsia="Arial" w:hAnsi="Arial"/>
          <w:sz w:val="16"/>
          <w:szCs w:val="16"/>
          <w:color w:val="auto"/>
        </w:rPr>
        <w:t>”), the Notice Deadline shall be 5:00 P.M., New York City time, on the “Scheduled Trading Day” (as defined in the Indenture) immediately preceding the “Maturity Date” (as defined in the Indenture).</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Notwithstanding anything to the contrary in the Equity Definitions, Dealer shall have no obligation to make any payment or delivery in respect of any exercise of Options hereunder and such obligation in respect of such exercise shall be permanently extinguished unless Counterparty notifies Dealer in writing prior to the Notice Deadline in respect of such exercise, of (i) the number of Relevant Convertible Securities being converted on the related Conversion Date (specifying, if applicable, whether all or any portion of such Convertible Securities are Convertible Securities as to which additional Shares would be added to the Conversion Rate (as defined in the Indenture) pursuant to Section 5.07 of the Indenture), (ii) the scheduled settlement date under the Indenture for the Relevant Convertible Securities for such Conversion Date, (iii) whether such Relevant Convertible Securities will be settled by Counterparty by delivery of cash, Shares or a combination of cash and Shares and, if such a</w:t>
      </w:r>
    </w:p>
    <w:p>
      <w:pPr>
        <w:spacing w:after="0" w:line="18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020" w:space="340"/>
            <w:col w:w="7380"/>
          </w:cols>
          <w:pgMar w:left="900" w:top="342" w:right="259"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Notice of Final Convertible Security Settlement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Dealer’s Telephone Number and Telex and/or Facsimile Number and Contact Details for purpose of Giving Notice: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Date:</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7"/>
          <w:szCs w:val="17"/>
          <w:color w:val="auto"/>
        </w:rPr>
        <w:t xml:space="preserve">combination, the “Specified Dollar Amount” (as defined in the Indenture) and (iv) the first day of the relevant “Observation Period” (as defined in the Indenture),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exercise of Options in connection with the conversion of any Relevant Convertible Securities for any Conversion Date occurring during the Final Conversion Period, the contents of such notice shall be as set forth in clauses (i) and (ii) above;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“Notice of Exercise” delivered to Dealer pursuant to the Base Convertible Bond Hedge Transaction Confirmation shall be deemed to be a Notice of Exercise pursuant to this Confirmation and the terms of such Notice of Exercise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this Confirmation.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Securities. For the avoidance of doubt, if Counterparty fails to give such notice when due in respect of any exercise of Options hereunder, Dealer’s obligation to make any payment or delivery in respect of such exercise shall be permanently extinguished, and late notice shall not cure such failure. If applicable, the Notice of Exercise shall also contain the Settlement Method Election Provisions.</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Counterparty shall notify Dealer in writing before 5:00 P.M., New York City time, on the “Scheduled Trading Day” (as defined in the Indenture) immediately preceding the 85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“Scheduled Trading Day” (as defined in the Indenture) prior to the Maturity Date of the settlement method (and, if applicable, the Specified Dollar Amount) elected (or deemed to be elected) with respect to Relevant Convertible Securities with a Conversion Date occurring during the Final Conversion Period (any such notice, a “</w:t>
      </w:r>
      <w:r>
        <w:rPr>
          <w:rFonts w:ascii="Arial" w:cs="Arial" w:eastAsia="Arial" w:hAnsi="Arial"/>
          <w:sz w:val="16"/>
          <w:szCs w:val="16"/>
          <w:b w:val="1"/>
          <w:bCs w:val="1"/>
          <w:color w:val="auto"/>
        </w:rPr>
        <w:t>Notice of Final Convertible Security Settlement Method</w:t>
      </w:r>
      <w:r>
        <w:rPr>
          <w:rFonts w:ascii="Arial" w:cs="Arial" w:eastAsia="Arial" w:hAnsi="Arial"/>
          <w:sz w:val="16"/>
          <w:szCs w:val="16"/>
          <w:color w:val="auto"/>
        </w:rPr>
        <w:t>”). If applicable, the Notice of Final Convertible Security Settlement Method shall also contain the Settlement Method Election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specified in Section 6(b)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For any Exercise Date, the date one Settlement Cycle following the final day of the relevant Cash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Settlement Date shall not be prior to the Exchange</w:t>
      </w:r>
    </w:p>
    <w:p>
      <w:pPr>
        <w:spacing w:after="0" w:line="12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440" w:space="580"/>
            <w:col w:w="7380"/>
          </w:cols>
          <w:pgMar w:left="240" w:top="341" w:right="25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Business Day immediately following the date Counterparty provides the Notice of Delivery</w:t>
            </w:r>
          </w:p>
        </w:tc>
      </w:tr>
      <w:tr>
        <w:trPr>
          <w:trHeight w:val="230"/>
        </w:trPr>
        <w:tc>
          <w:tcPr>
            <w:tcW w:w="308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Obligation prior to 5:00 P.M., New York City time.</w:t>
            </w:r>
          </w:p>
        </w:tc>
      </w:tr>
      <w:tr>
        <w:trPr>
          <w:trHeight w:val="418"/>
        </w:trPr>
        <w:tc>
          <w:tcPr>
            <w:tcW w:w="3080" w:type="dxa"/>
            <w:vAlign w:val="bottom"/>
          </w:tcPr>
          <w:p>
            <w:pPr>
              <w:ind w:left="660"/>
              <w:spacing w:after="0"/>
              <w:rPr>
                <w:sz w:val="20"/>
                <w:szCs w:val="20"/>
                <w:color w:val="auto"/>
              </w:rPr>
            </w:pPr>
            <w:r>
              <w:rPr>
                <w:rFonts w:ascii="Arial" w:cs="Arial" w:eastAsia="Arial" w:hAnsi="Arial"/>
                <w:sz w:val="18"/>
                <w:szCs w:val="18"/>
                <w:color w:val="auto"/>
              </w:rPr>
              <w:t>Delivery Obligation:</w:t>
            </w: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In lieu of the obligations set forth in Sections 8.1 and 9.1 of the Equity Definitions, and subject to</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“Notice of Exercise” above and “Discretionary Adjustments” , “Dividends” and “Consequences of</w:t>
            </w:r>
          </w:p>
        </w:tc>
      </w:tr>
      <w:tr>
        <w:trPr>
          <w:trHeight w:val="212"/>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Merger Events” below, in respect of an Exercise Date, Dealer will deliver to Counterparty on the</w:t>
            </w:r>
          </w:p>
        </w:tc>
      </w:tr>
      <w:tr>
        <w:trPr>
          <w:trHeight w:val="234"/>
        </w:trPr>
        <w:tc>
          <w:tcPr>
            <w:tcW w:w="308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related Settlement Date (the “</w:t>
            </w:r>
            <w:r>
              <w:rPr>
                <w:rFonts w:ascii="Arial" w:cs="Arial" w:eastAsia="Arial" w:hAnsi="Arial"/>
                <w:sz w:val="18"/>
                <w:szCs w:val="18"/>
                <w:b w:val="1"/>
                <w:bCs w:val="1"/>
                <w:color w:val="auto"/>
              </w:rPr>
              <w:t>Delivery Obligation</w:t>
            </w:r>
            <w:r>
              <w:rPr>
                <w:rFonts w:ascii="Arial" w:cs="Arial" w:eastAsia="Arial" w:hAnsi="Arial"/>
                <w:sz w:val="18"/>
                <w:szCs w:val="18"/>
                <w:color w:val="auto"/>
              </w:rPr>
              <w:t>”),</w:t>
            </w:r>
          </w:p>
        </w:tc>
      </w:tr>
      <w:tr>
        <w:trPr>
          <w:trHeight w:val="418"/>
        </w:trPr>
        <w:tc>
          <w:tcPr>
            <w:tcW w:w="3080" w:type="dxa"/>
            <w:vAlign w:val="bottom"/>
          </w:tcPr>
          <w:p>
            <w:pPr>
              <w:spacing w:after="0"/>
              <w:rPr>
                <w:sz w:val="24"/>
                <w:szCs w:val="24"/>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w w:val="95"/>
              </w:rPr>
              <w:t>(i) a number of Shares equal to (I) the product of the Applicable Percentage and the aggregate</w:t>
            </w:r>
          </w:p>
        </w:tc>
      </w:tr>
      <w:tr>
        <w:trPr>
          <w:trHeight w:val="216"/>
        </w:trPr>
        <w:tc>
          <w:tcPr>
            <w:tcW w:w="3080" w:type="dxa"/>
            <w:vAlign w:val="bottom"/>
          </w:tcPr>
          <w:p>
            <w:pPr>
              <w:spacing w:after="0"/>
              <w:rPr>
                <w:sz w:val="18"/>
                <w:szCs w:val="18"/>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w w:val="95"/>
              </w:rPr>
              <w:t>number of Shares, if any, that Counterparty would be obligated to deliver to the holder(s) of the</w:t>
            </w:r>
          </w:p>
        </w:tc>
      </w:tr>
      <w:tr>
        <w:trPr>
          <w:trHeight w:val="216"/>
        </w:trPr>
        <w:tc>
          <w:tcPr>
            <w:tcW w:w="3080" w:type="dxa"/>
            <w:vAlign w:val="bottom"/>
          </w:tcPr>
          <w:p>
            <w:pPr>
              <w:spacing w:after="0"/>
              <w:rPr>
                <w:sz w:val="18"/>
                <w:szCs w:val="18"/>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rPr>
              <w:t>Relevant Convertible Securities for such Conversion Date pursuant to Section 5.03 of the</w:t>
            </w:r>
          </w:p>
        </w:tc>
      </w:tr>
      <w:tr>
        <w:trPr>
          <w:trHeight w:val="216"/>
        </w:trPr>
        <w:tc>
          <w:tcPr>
            <w:tcW w:w="3080" w:type="dxa"/>
            <w:vAlign w:val="bottom"/>
          </w:tcPr>
          <w:p>
            <w:pPr>
              <w:spacing w:after="0"/>
              <w:rPr>
                <w:sz w:val="18"/>
                <w:szCs w:val="18"/>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w w:val="90"/>
              </w:rPr>
              <w:t>Indenture (except that such number of Shares shall be determined without taking into consideration</w:t>
            </w:r>
          </w:p>
        </w:tc>
      </w:tr>
      <w:tr>
        <w:trPr>
          <w:trHeight w:val="216"/>
        </w:trPr>
        <w:tc>
          <w:tcPr>
            <w:tcW w:w="3080" w:type="dxa"/>
            <w:vAlign w:val="bottom"/>
          </w:tcPr>
          <w:p>
            <w:pPr>
              <w:spacing w:after="0"/>
              <w:rPr>
                <w:sz w:val="18"/>
                <w:szCs w:val="18"/>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w w:val="95"/>
              </w:rPr>
              <w:t>any rounding pursuant to Section 5.03(B)(ii) of the Indenture and shall be rounded down to the</w:t>
            </w:r>
          </w:p>
        </w:tc>
      </w:tr>
      <w:tr>
        <w:trPr>
          <w:trHeight w:val="216"/>
        </w:trPr>
        <w:tc>
          <w:tcPr>
            <w:tcW w:w="3080" w:type="dxa"/>
            <w:vAlign w:val="bottom"/>
          </w:tcPr>
          <w:p>
            <w:pPr>
              <w:spacing w:after="0"/>
              <w:rPr>
                <w:sz w:val="18"/>
                <w:szCs w:val="18"/>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w w:val="94"/>
              </w:rPr>
              <w:t>nearest whole number) and (II) cash in lieu of any fractional Share resulting from such rounding;</w:t>
            </w:r>
          </w:p>
        </w:tc>
      </w:tr>
      <w:tr>
        <w:trPr>
          <w:trHeight w:val="230"/>
        </w:trPr>
        <w:tc>
          <w:tcPr>
            <w:tcW w:w="3080" w:type="dxa"/>
            <w:vAlign w:val="bottom"/>
          </w:tcPr>
          <w:p>
            <w:pPr>
              <w:spacing w:after="0"/>
              <w:rPr>
                <w:sz w:val="20"/>
                <w:szCs w:val="20"/>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rPr>
              <w:t>and/or</w:t>
            </w:r>
          </w:p>
        </w:tc>
      </w:tr>
      <w:tr>
        <w:trPr>
          <w:trHeight w:val="418"/>
        </w:trPr>
        <w:tc>
          <w:tcPr>
            <w:tcW w:w="3080" w:type="dxa"/>
            <w:vAlign w:val="bottom"/>
          </w:tcPr>
          <w:p>
            <w:pPr>
              <w:spacing w:after="0"/>
              <w:rPr>
                <w:sz w:val="24"/>
                <w:szCs w:val="24"/>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rPr>
              <w:t>(ii) the aggregate amount of cash, if any, in excess of the principal amount of the Relevant</w:t>
            </w:r>
          </w:p>
        </w:tc>
      </w:tr>
      <w:tr>
        <w:trPr>
          <w:trHeight w:val="216"/>
        </w:trPr>
        <w:tc>
          <w:tcPr>
            <w:tcW w:w="3080" w:type="dxa"/>
            <w:vAlign w:val="bottom"/>
          </w:tcPr>
          <w:p>
            <w:pPr>
              <w:spacing w:after="0"/>
              <w:rPr>
                <w:sz w:val="18"/>
                <w:szCs w:val="18"/>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w w:val="92"/>
              </w:rPr>
              <w:t>Convertible Securities that Counterparty would be obligated to deliver to holder(s) of the Relevant</w:t>
            </w:r>
          </w:p>
        </w:tc>
      </w:tr>
      <w:tr>
        <w:trPr>
          <w:trHeight w:val="216"/>
        </w:trPr>
        <w:tc>
          <w:tcPr>
            <w:tcW w:w="3080" w:type="dxa"/>
            <w:vAlign w:val="bottom"/>
          </w:tcPr>
          <w:p>
            <w:pPr>
              <w:spacing w:after="0"/>
              <w:rPr>
                <w:sz w:val="18"/>
                <w:szCs w:val="18"/>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w w:val="99"/>
              </w:rPr>
              <w:t>Convertible Securities for such Conversion Date pursuant to Section 5.03 of the Indenture,</w:t>
            </w:r>
          </w:p>
        </w:tc>
      </w:tr>
      <w:tr>
        <w:trPr>
          <w:trHeight w:val="216"/>
        </w:trPr>
        <w:tc>
          <w:tcPr>
            <w:tcW w:w="3080" w:type="dxa"/>
            <w:vAlign w:val="bottom"/>
          </w:tcPr>
          <w:p>
            <w:pPr>
              <w:spacing w:after="0"/>
              <w:rPr>
                <w:sz w:val="18"/>
                <w:szCs w:val="18"/>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w w:val="91"/>
              </w:rPr>
              <w:t>determined, for each of clauses (i) and (ii), by the Calculation Agent (by reference to such Sections</w:t>
            </w:r>
          </w:p>
        </w:tc>
      </w:tr>
      <w:tr>
        <w:trPr>
          <w:trHeight w:val="230"/>
        </w:trPr>
        <w:tc>
          <w:tcPr>
            <w:tcW w:w="3080" w:type="dxa"/>
            <w:vAlign w:val="bottom"/>
          </w:tcPr>
          <w:p>
            <w:pPr>
              <w:spacing w:after="0"/>
              <w:rPr>
                <w:sz w:val="20"/>
                <w:szCs w:val="20"/>
                <w:color w:val="auto"/>
              </w:rPr>
            </w:pPr>
          </w:p>
        </w:tc>
        <w:tc>
          <w:tcPr>
            <w:tcW w:w="8380" w:type="dxa"/>
            <w:vAlign w:val="bottom"/>
          </w:tcPr>
          <w:p>
            <w:pPr>
              <w:ind w:left="1180"/>
              <w:spacing w:after="0"/>
              <w:rPr>
                <w:sz w:val="20"/>
                <w:szCs w:val="20"/>
                <w:color w:val="auto"/>
              </w:rPr>
            </w:pPr>
            <w:r>
              <w:rPr>
                <w:rFonts w:ascii="Arial" w:cs="Arial" w:eastAsia="Arial" w:hAnsi="Arial"/>
                <w:sz w:val="18"/>
                <w:szCs w:val="18"/>
                <w:color w:val="auto"/>
              </w:rPr>
              <w:t>of the Indenture)</w:t>
            </w:r>
          </w:p>
        </w:tc>
      </w:tr>
      <w:tr>
        <w:trPr>
          <w:trHeight w:val="418"/>
        </w:trPr>
        <w:tc>
          <w:tcPr>
            <w:tcW w:w="3080" w:type="dxa"/>
            <w:vAlign w:val="bottom"/>
          </w:tcPr>
          <w:p>
            <w:pPr>
              <w:spacing w:after="0"/>
              <w:rPr>
                <w:sz w:val="24"/>
                <w:szCs w:val="24"/>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as if Counterparty had elected to satisfy its conversion obligation in respect of such Relevant</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Convertible Securities by the Applicable Settlement Method, notwithstanding any different actual</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8"/>
              </w:rPr>
              <w:t>election by Counterparty with respect to the settlement of such Relevant Convertible Securities;</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i w:val="1"/>
                <w:iCs w:val="1"/>
                <w:color w:val="auto"/>
                <w:w w:val="97"/>
              </w:rPr>
              <w:t xml:space="preserve">provided </w:t>
            </w:r>
            <w:r>
              <w:rPr>
                <w:rFonts w:ascii="Arial" w:cs="Arial" w:eastAsia="Arial" w:hAnsi="Arial"/>
                <w:sz w:val="18"/>
                <w:szCs w:val="18"/>
                <w:color w:val="auto"/>
                <w:w w:val="97"/>
              </w:rPr>
              <w:t>that the Delivery Obligation shall be determined excluding any Shares and/or cash that</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4"/>
              </w:rPr>
              <w:t>Counterparty is obligated to deliver to holder(s) of the Relevant Convertible Securities as a direct or</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indirect result of any adjustments to the Conversion Rate pursuant to a Fundamental Change</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5"/>
              </w:rPr>
              <w:t>Adjustment or a Discretionary Adjustment and any interest payment that Counterparty is (or would</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1"/>
              </w:rPr>
              <w:t>have been) obligated to deliver to holder(s) of the Relevant Convertible Securities for such Conversion</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4"/>
              </w:rPr>
              <w:t>Date. Notwithstanding the foregoing, if, in respect of any Exercise Date, (x)(I) the number of Shares</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 xml:space="preserve">included in the Delivery Obligation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Share Obligation Value Price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amount of cash included in the Delivery Obligation, would otherwise exceed (y) the relevant Net</w:t>
            </w:r>
          </w:p>
        </w:tc>
      </w:tr>
      <w:tr>
        <w:trPr>
          <w:trHeight w:val="230"/>
        </w:trPr>
        <w:tc>
          <w:tcPr>
            <w:tcW w:w="308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Convertible Share</w:t>
            </w:r>
          </w:p>
        </w:tc>
      </w:tr>
      <w:tr>
        <w:trPr>
          <w:trHeight w:val="432"/>
        </w:trPr>
        <w:tc>
          <w:tcPr>
            <w:tcW w:w="3080" w:type="dxa"/>
            <w:vAlign w:val="bottom"/>
          </w:tcPr>
          <w:p>
            <w:pPr>
              <w:spacing w:after="0"/>
              <w:rPr>
                <w:sz w:val="24"/>
                <w:szCs w:val="24"/>
                <w:color w:val="auto"/>
              </w:rPr>
            </w:pPr>
          </w:p>
        </w:tc>
        <w:tc>
          <w:tcPr>
            <w:tcW w:w="8380" w:type="dxa"/>
            <w:vAlign w:val="bottom"/>
          </w:tcPr>
          <w:p>
            <w:pPr>
              <w:ind w:left="2580"/>
              <w:spacing w:after="0"/>
              <w:rPr>
                <w:sz w:val="20"/>
                <w:szCs w:val="20"/>
                <w:color w:val="auto"/>
              </w:rPr>
            </w:pPr>
            <w:r>
              <w:rPr>
                <w:rFonts w:ascii="Arial" w:cs="Arial" w:eastAsia="Arial" w:hAnsi="Arial"/>
                <w:sz w:val="18"/>
                <w:szCs w:val="18"/>
                <w:color w:val="auto"/>
              </w:rPr>
              <w:t>6</w:t>
            </w:r>
          </w:p>
        </w:tc>
      </w:tr>
      <w:tr>
        <w:trPr>
          <w:trHeight w:val="132"/>
        </w:trPr>
        <w:tc>
          <w:tcPr>
            <w:tcW w:w="3080" w:type="dxa"/>
            <w:vAlign w:val="bottom"/>
            <w:tcBorders>
              <w:bottom w:val="single" w:sz="8" w:color="808080"/>
            </w:tcBorders>
          </w:tcPr>
          <w:p>
            <w:pPr>
              <w:spacing w:after="0"/>
              <w:rPr>
                <w:sz w:val="11"/>
                <w:szCs w:val="11"/>
                <w:color w:val="auto"/>
              </w:rPr>
            </w:pPr>
          </w:p>
        </w:tc>
        <w:tc>
          <w:tcPr>
            <w:tcW w:w="83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0"/>
              </w:rPr>
              <w:t>Obligation Value, such number of Shares and such amount of cash shall be proportionately reduced to</w:t>
            </w:r>
          </w:p>
        </w:tc>
      </w:tr>
      <w:tr>
        <w:trPr>
          <w:trHeight w:val="230"/>
        </w:trPr>
        <w:tc>
          <w:tcPr>
            <w:tcW w:w="3460" w:type="dxa"/>
            <w:vAlign w:val="bottom"/>
          </w:tcPr>
          <w:p>
            <w:pPr>
              <w:spacing w:after="0"/>
              <w:rPr>
                <w:sz w:val="20"/>
                <w:szCs w:val="20"/>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rPr>
              <w:t>the extent necessary to eliminate such excess.</w:t>
            </w:r>
          </w:p>
        </w:tc>
      </w:tr>
      <w:tr>
        <w:trPr>
          <w:trHeight w:val="418"/>
        </w:trPr>
        <w:tc>
          <w:tcPr>
            <w:tcW w:w="3460" w:type="dxa"/>
            <w:vAlign w:val="bottom"/>
          </w:tcPr>
          <w:p>
            <w:pPr>
              <w:ind w:left="660"/>
              <w:spacing w:after="0"/>
              <w:rPr>
                <w:sz w:val="20"/>
                <w:szCs w:val="20"/>
                <w:color w:val="auto"/>
              </w:rPr>
            </w:pPr>
            <w:r>
              <w:rPr>
                <w:rFonts w:ascii="Arial" w:cs="Arial" w:eastAsia="Arial" w:hAnsi="Arial"/>
                <w:sz w:val="18"/>
                <w:szCs w:val="18"/>
                <w:color w:val="auto"/>
              </w:rPr>
              <w:t>Make-Whole Adjustment:</w:t>
            </w:r>
          </w:p>
        </w:tc>
        <w:tc>
          <w:tcPr>
            <w:tcW w:w="8000" w:type="dxa"/>
            <w:vAlign w:val="bottom"/>
          </w:tcPr>
          <w:p>
            <w:pPr>
              <w:ind w:left="560"/>
              <w:spacing w:after="0"/>
              <w:rPr>
                <w:sz w:val="20"/>
                <w:szCs w:val="20"/>
                <w:color w:val="auto"/>
              </w:rPr>
            </w:pPr>
            <w:r>
              <w:rPr>
                <w:rFonts w:ascii="Arial" w:cs="Arial" w:eastAsia="Arial" w:hAnsi="Arial"/>
                <w:sz w:val="18"/>
                <w:szCs w:val="18"/>
                <w:color w:val="auto"/>
                <w:w w:val="95"/>
              </w:rPr>
              <w:t>Notwithstanding anything to the contrary herein, in respect of any exercise of Options relating to a</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8"/>
              </w:rPr>
              <w:t>conversion of Relevant Convertible Securities in connection with which holders of the Relevant</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9"/>
              </w:rPr>
              <w:t>Convertible Securities would be entitled to receive additional Shares and/or cash as a result of</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5"/>
              </w:rPr>
              <w:t>adjustments to the Conversion Rate pursuant to a Fundamental Change Adjustment, the Delivery</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2"/>
              </w:rPr>
              <w:t xml:space="preserve">Obligation shall include such additional Shares and/or cash;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the sum of (i) the product</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7"/>
              </w:rPr>
              <w:t>of (a) the number of Shares (if any) included in the Delivery Obligation per exercised Option and</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7"/>
              </w:rPr>
              <w:t>(b) the Share Obligation Value Price and (ii) the amount of cash (if any) included in the Delivery</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1"/>
              </w:rPr>
              <w:t>Obligation per exercised Option would otherwise exceed the amount per Option, as determined by the</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8"/>
              </w:rPr>
              <w:t>Calculation Agent, that would be payable by Dealer under Section 6 of the Agreement if (x) the</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4"/>
              </w:rPr>
              <w:t>relevant Conversion Date were an Early Termination Date resulting from an Additional Termination</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2"/>
              </w:rPr>
              <w:t>Event with respect to which the Transaction was the sole Affected Transaction and Counterparty was</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4"/>
              </w:rPr>
              <w:t>the sole Affected Party and (y) the provisions of the Indenture relating to the Fundamental Change</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rPr>
              <w:t>Adjustment were deleted, then such number of Shares and such amount of cash shall be</w:t>
            </w:r>
          </w:p>
        </w:tc>
      </w:tr>
      <w:tr>
        <w:trPr>
          <w:trHeight w:val="230"/>
        </w:trPr>
        <w:tc>
          <w:tcPr>
            <w:tcW w:w="3460" w:type="dxa"/>
            <w:vAlign w:val="bottom"/>
          </w:tcPr>
          <w:p>
            <w:pPr>
              <w:spacing w:after="0"/>
              <w:rPr>
                <w:sz w:val="20"/>
                <w:szCs w:val="20"/>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rPr>
              <w:t>proportionately reduced to the extent necessary to eliminate such excess.</w:t>
            </w:r>
          </w:p>
        </w:tc>
      </w:tr>
      <w:tr>
        <w:trPr>
          <w:trHeight w:val="418"/>
        </w:trPr>
        <w:tc>
          <w:tcPr>
            <w:tcW w:w="3460" w:type="dxa"/>
            <w:vAlign w:val="bottom"/>
          </w:tcPr>
          <w:p>
            <w:pPr>
              <w:ind w:left="660"/>
              <w:spacing w:after="0"/>
              <w:rPr>
                <w:sz w:val="20"/>
                <w:szCs w:val="20"/>
                <w:color w:val="auto"/>
              </w:rPr>
            </w:pPr>
            <w:r>
              <w:rPr>
                <w:rFonts w:ascii="Arial" w:cs="Arial" w:eastAsia="Arial" w:hAnsi="Arial"/>
                <w:sz w:val="18"/>
                <w:szCs w:val="18"/>
                <w:color w:val="auto"/>
              </w:rPr>
              <w:t>Applicable Settlement Method:</w:t>
            </w:r>
          </w:p>
        </w:tc>
        <w:tc>
          <w:tcPr>
            <w:tcW w:w="8000" w:type="dxa"/>
            <w:vAlign w:val="bottom"/>
          </w:tcPr>
          <w:p>
            <w:pPr>
              <w:ind w:left="560"/>
              <w:spacing w:after="0"/>
              <w:rPr>
                <w:sz w:val="20"/>
                <w:szCs w:val="20"/>
                <w:color w:val="auto"/>
              </w:rPr>
            </w:pPr>
            <w:r>
              <w:rPr>
                <w:rFonts w:ascii="Arial" w:cs="Arial" w:eastAsia="Arial" w:hAnsi="Arial"/>
                <w:sz w:val="18"/>
                <w:szCs w:val="18"/>
                <w:color w:val="auto"/>
                <w:w w:val="94"/>
              </w:rPr>
              <w:t>For any Relevant Convertible Securities, if (i) Counterparty has notified Dealer in the related Notice</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5"/>
              </w:rPr>
              <w:t>of Exercise (or in the Notice of Final Convertible Security Settlement Method, as the case may be)</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rPr>
              <w:t>that it has elected to satisfy its conversion obligation in respect of such Relevant Convertible</w:t>
            </w:r>
          </w:p>
        </w:tc>
      </w:tr>
      <w:tr>
        <w:trPr>
          <w:trHeight w:val="212"/>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3"/>
              </w:rPr>
              <w:t>Securities in cash or in a combination of cash and Shares in accordance with Section 5.03(A) of the</w:t>
            </w:r>
          </w:p>
        </w:tc>
      </w:tr>
      <w:tr>
        <w:trPr>
          <w:trHeight w:val="220"/>
        </w:trPr>
        <w:tc>
          <w:tcPr>
            <w:tcW w:w="3460" w:type="dxa"/>
            <w:vAlign w:val="bottom"/>
          </w:tcPr>
          <w:p>
            <w:pPr>
              <w:spacing w:after="0"/>
              <w:rPr>
                <w:sz w:val="19"/>
                <w:szCs w:val="19"/>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7"/>
              </w:rPr>
              <w:t>Indenture (a “</w:t>
            </w:r>
            <w:r>
              <w:rPr>
                <w:rFonts w:ascii="Arial" w:cs="Arial" w:eastAsia="Arial" w:hAnsi="Arial"/>
                <w:sz w:val="18"/>
                <w:szCs w:val="18"/>
                <w:b w:val="1"/>
                <w:bCs w:val="1"/>
                <w:color w:val="auto"/>
                <w:w w:val="97"/>
              </w:rPr>
              <w:t>Cash Election</w:t>
            </w:r>
            <w:r>
              <w:rPr>
                <w:rFonts w:ascii="Arial" w:cs="Arial" w:eastAsia="Arial" w:hAnsi="Arial"/>
                <w:sz w:val="18"/>
                <w:szCs w:val="18"/>
                <w:color w:val="auto"/>
                <w:w w:val="97"/>
              </w:rPr>
              <w:t>”) with a Specified Dollar Amount of at least USD1,000 and (ii) such</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2"/>
              </w:rPr>
              <w:t>Notice of Exercise (or such Notice of Final Convertible Security Settlement Method, as the case may</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2"/>
              </w:rPr>
              <w:t>be) contains all of the Settlement Method Election Provisions, the Applicable Settlement Method shall</w:t>
            </w:r>
          </w:p>
        </w:tc>
      </w:tr>
      <w:tr>
        <w:trPr>
          <w:trHeight w:val="212"/>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1"/>
              </w:rPr>
              <w:t>be the settlement method actually so elected by Counterparty in respect of such Relevant Convertible</w:t>
            </w:r>
          </w:p>
        </w:tc>
      </w:tr>
      <w:tr>
        <w:trPr>
          <w:trHeight w:val="220"/>
        </w:trPr>
        <w:tc>
          <w:tcPr>
            <w:tcW w:w="3460" w:type="dxa"/>
            <w:vAlign w:val="bottom"/>
          </w:tcPr>
          <w:p>
            <w:pPr>
              <w:spacing w:after="0"/>
              <w:rPr>
                <w:sz w:val="19"/>
                <w:szCs w:val="19"/>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3"/>
              </w:rPr>
              <w:t>Securities (the “</w:t>
            </w:r>
            <w:r>
              <w:rPr>
                <w:rFonts w:ascii="Arial" w:cs="Arial" w:eastAsia="Arial" w:hAnsi="Arial"/>
                <w:sz w:val="18"/>
                <w:szCs w:val="18"/>
                <w:b w:val="1"/>
                <w:bCs w:val="1"/>
                <w:color w:val="auto"/>
                <w:w w:val="93"/>
              </w:rPr>
              <w:t>Convertible Securities Settlement Method</w:t>
            </w:r>
            <w:r>
              <w:rPr>
                <w:rFonts w:ascii="Arial" w:cs="Arial" w:eastAsia="Arial" w:hAnsi="Arial"/>
                <w:sz w:val="18"/>
                <w:szCs w:val="18"/>
                <w:color w:val="auto"/>
                <w:w w:val="93"/>
              </w:rPr>
              <w:t>”); otherwise, the Applicable Settlement</w:t>
            </w:r>
          </w:p>
        </w:tc>
      </w:tr>
      <w:tr>
        <w:trPr>
          <w:trHeight w:val="212"/>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rPr>
              <w:t>Method shall assume Counterparty had made a Cash Election with respect to such Relevant</w:t>
            </w:r>
          </w:p>
        </w:tc>
      </w:tr>
      <w:tr>
        <w:trPr>
          <w:trHeight w:val="220"/>
        </w:trPr>
        <w:tc>
          <w:tcPr>
            <w:tcW w:w="3460" w:type="dxa"/>
            <w:vAlign w:val="bottom"/>
          </w:tcPr>
          <w:p>
            <w:pPr>
              <w:spacing w:after="0"/>
              <w:rPr>
                <w:sz w:val="19"/>
                <w:szCs w:val="19"/>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6"/>
              </w:rPr>
              <w:t>Convertible Securities (a “</w:t>
            </w:r>
            <w:r>
              <w:rPr>
                <w:rFonts w:ascii="Arial" w:cs="Arial" w:eastAsia="Arial" w:hAnsi="Arial"/>
                <w:sz w:val="18"/>
                <w:szCs w:val="18"/>
                <w:b w:val="1"/>
                <w:bCs w:val="1"/>
                <w:color w:val="auto"/>
                <w:w w:val="96"/>
              </w:rPr>
              <w:t>Deemed Cash Election</w:t>
            </w:r>
            <w:r>
              <w:rPr>
                <w:rFonts w:ascii="Arial" w:cs="Arial" w:eastAsia="Arial" w:hAnsi="Arial"/>
                <w:sz w:val="18"/>
                <w:szCs w:val="18"/>
                <w:color w:val="auto"/>
                <w:w w:val="96"/>
              </w:rPr>
              <w:t>”) with a Specified Dollar Amount of USD1,000</w:t>
            </w:r>
          </w:p>
        </w:tc>
      </w:tr>
      <w:tr>
        <w:trPr>
          <w:trHeight w:val="216"/>
        </w:trPr>
        <w:tc>
          <w:tcPr>
            <w:tcW w:w="3460" w:type="dxa"/>
            <w:vAlign w:val="bottom"/>
          </w:tcPr>
          <w:p>
            <w:pPr>
              <w:spacing w:after="0"/>
              <w:rPr>
                <w:sz w:val="18"/>
                <w:szCs w:val="18"/>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w w:val="92"/>
              </w:rPr>
              <w:t>per Relevant Convertible Security and the Delivery Obligation shall be determined by the Calculation</w:t>
            </w:r>
          </w:p>
        </w:tc>
      </w:tr>
      <w:tr>
        <w:trPr>
          <w:trHeight w:val="230"/>
        </w:trPr>
        <w:tc>
          <w:tcPr>
            <w:tcW w:w="3460" w:type="dxa"/>
            <w:vAlign w:val="bottom"/>
          </w:tcPr>
          <w:p>
            <w:pPr>
              <w:spacing w:after="0"/>
              <w:rPr>
                <w:sz w:val="20"/>
                <w:szCs w:val="20"/>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rPr>
              <w:t>Agent as if the relevant “Observation Period” pursuant to Section</w:t>
            </w:r>
          </w:p>
        </w:tc>
      </w:tr>
      <w:tr>
        <w:trPr>
          <w:trHeight w:val="432"/>
        </w:trPr>
        <w:tc>
          <w:tcPr>
            <w:tcW w:w="3460" w:type="dxa"/>
            <w:vAlign w:val="bottom"/>
          </w:tcPr>
          <w:p>
            <w:pPr>
              <w:spacing w:after="0"/>
              <w:rPr>
                <w:sz w:val="24"/>
                <w:szCs w:val="24"/>
                <w:color w:val="auto"/>
              </w:rPr>
            </w:pPr>
          </w:p>
        </w:tc>
        <w:tc>
          <w:tcPr>
            <w:tcW w:w="8000" w:type="dxa"/>
            <w:vAlign w:val="bottom"/>
          </w:tcPr>
          <w:p>
            <w:pPr>
              <w:ind w:left="2200"/>
              <w:spacing w:after="0"/>
              <w:rPr>
                <w:sz w:val="20"/>
                <w:szCs w:val="20"/>
                <w:color w:val="auto"/>
              </w:rPr>
            </w:pPr>
            <w:r>
              <w:rPr>
                <w:rFonts w:ascii="Arial" w:cs="Arial" w:eastAsia="Arial" w:hAnsi="Arial"/>
                <w:sz w:val="18"/>
                <w:szCs w:val="18"/>
                <w:color w:val="auto"/>
              </w:rPr>
              <w:t>7</w:t>
            </w:r>
          </w:p>
        </w:tc>
      </w:tr>
      <w:tr>
        <w:trPr>
          <w:trHeight w:val="132"/>
        </w:trPr>
        <w:tc>
          <w:tcPr>
            <w:tcW w:w="3460" w:type="dxa"/>
            <w:vAlign w:val="bottom"/>
            <w:tcBorders>
              <w:bottom w:val="single" w:sz="8" w:color="808080"/>
            </w:tcBorders>
          </w:tcPr>
          <w:p>
            <w:pPr>
              <w:spacing w:after="0"/>
              <w:rPr>
                <w:sz w:val="11"/>
                <w:szCs w:val="11"/>
                <w:color w:val="auto"/>
              </w:rPr>
            </w:pPr>
          </w:p>
        </w:tc>
        <w:tc>
          <w:tcPr>
            <w:tcW w:w="8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rPr>
              <w:t>5.03(B)(i) of the Indenture were the Cash Settlement Averaging Period.</w:t>
            </w:r>
          </w:p>
        </w:tc>
      </w:tr>
      <w:tr>
        <w:trPr>
          <w:trHeight w:val="418"/>
        </w:trPr>
        <w:tc>
          <w:tcPr>
            <w:tcW w:w="3880" w:type="dxa"/>
            <w:vAlign w:val="bottom"/>
          </w:tcPr>
          <w:p>
            <w:pPr>
              <w:ind w:left="660"/>
              <w:spacing w:after="0"/>
              <w:rPr>
                <w:sz w:val="20"/>
                <w:szCs w:val="20"/>
                <w:color w:val="auto"/>
              </w:rPr>
            </w:pPr>
            <w:r>
              <w:rPr>
                <w:rFonts w:ascii="Arial" w:cs="Arial" w:eastAsia="Arial" w:hAnsi="Arial"/>
                <w:sz w:val="18"/>
                <w:szCs w:val="18"/>
                <w:color w:val="auto"/>
              </w:rPr>
              <w:t>Cash Settlement Averaging Period:</w:t>
            </w:r>
          </w:p>
        </w:tc>
        <w:tc>
          <w:tcPr>
            <w:tcW w:w="7580" w:type="dxa"/>
            <w:vAlign w:val="bottom"/>
          </w:tcPr>
          <w:p>
            <w:pPr>
              <w:ind w:left="360"/>
              <w:spacing w:after="0"/>
              <w:rPr>
                <w:sz w:val="20"/>
                <w:szCs w:val="20"/>
                <w:color w:val="auto"/>
              </w:rPr>
            </w:pPr>
            <w:r>
              <w:rPr>
                <w:rFonts w:ascii="Arial" w:cs="Arial" w:eastAsia="Arial" w:hAnsi="Arial"/>
                <w:sz w:val="18"/>
                <w:szCs w:val="18"/>
                <w:color w:val="auto"/>
                <w:w w:val="96"/>
              </w:rPr>
              <w:t>The 40 “Trading Days” (as defined in the Indenture) commencing on (I) the third “Trading Day”</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w w:val="93"/>
              </w:rPr>
              <w:t>(as defined in the Indenture) after the Conversion Date for conversions with a related Conversion</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w w:val="95"/>
              </w:rPr>
              <w:t>Date occurring prior to the Final Conversion Period or (II) the 41st “Scheduled Trading Day” (as</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w w:val="93"/>
              </w:rPr>
              <w:t>defined in the Indenture) prior to the “Maturity Date” (as defined in the Indenture) for conversions</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w w:val="93"/>
              </w:rPr>
              <w:t xml:space="preserve">with a related Conversion Date occurring during the Final Conversion Period;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in the</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w w:val="93"/>
              </w:rPr>
              <w:t>case of a Deemed Cash Election, the Cash Settlement Averaging Period shall be the 80 “Trading</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w w:val="92"/>
              </w:rPr>
              <w:t>Days” (as defined in the Indenture) commencing on (I) the second “Trading Day” (as defined in the</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w w:val="96"/>
              </w:rPr>
              <w:t>Indenture) after the Conversion Date for conversions with a related Conversion Date occurring</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line="216" w:lineRule="exact"/>
              <w:rPr>
                <w:sz w:val="20"/>
                <w:szCs w:val="20"/>
                <w:color w:val="auto"/>
              </w:rPr>
            </w:pPr>
            <w:r>
              <w:rPr>
                <w:rFonts w:ascii="Arial" w:cs="Arial" w:eastAsia="Arial" w:hAnsi="Arial"/>
                <w:sz w:val="18"/>
                <w:szCs w:val="18"/>
                <w:color w:val="auto"/>
                <w:w w:val="95"/>
              </w:rPr>
              <w:t>prior to the Final Conversion Period or (II) the 82</w:t>
            </w:r>
            <w:r>
              <w:rPr>
                <w:rFonts w:ascii="Arial" w:cs="Arial" w:eastAsia="Arial" w:hAnsi="Arial"/>
                <w:sz w:val="23"/>
                <w:szCs w:val="23"/>
                <w:color w:val="auto"/>
                <w:w w:val="95"/>
                <w:vertAlign w:val="superscript"/>
              </w:rPr>
              <w:t>nd</w:t>
            </w:r>
            <w:r>
              <w:rPr>
                <w:rFonts w:ascii="Arial" w:cs="Arial" w:eastAsia="Arial" w:hAnsi="Arial"/>
                <w:sz w:val="18"/>
                <w:szCs w:val="18"/>
                <w:color w:val="auto"/>
                <w:w w:val="95"/>
              </w:rPr>
              <w:t xml:space="preserve"> “Scheduled Trading Day” (as defined in the</w:t>
            </w:r>
          </w:p>
        </w:tc>
      </w:tr>
      <w:tr>
        <w:trPr>
          <w:trHeight w:val="216"/>
        </w:trPr>
        <w:tc>
          <w:tcPr>
            <w:tcW w:w="388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w w:val="93"/>
              </w:rPr>
              <w:t>Indenture) prior to the “Maturity Date” (as defined in the Indenture) for conversions with a related</w:t>
            </w:r>
          </w:p>
        </w:tc>
      </w:tr>
      <w:tr>
        <w:trPr>
          <w:trHeight w:val="230"/>
        </w:trPr>
        <w:tc>
          <w:tcPr>
            <w:tcW w:w="3880" w:type="dxa"/>
            <w:vAlign w:val="bottom"/>
          </w:tcPr>
          <w:p>
            <w:pPr>
              <w:spacing w:after="0"/>
              <w:rPr>
                <w:sz w:val="20"/>
                <w:szCs w:val="20"/>
                <w:color w:val="auto"/>
              </w:rPr>
            </w:pPr>
          </w:p>
        </w:tc>
        <w:tc>
          <w:tcPr>
            <w:tcW w:w="7580" w:type="dxa"/>
            <w:vAlign w:val="bottom"/>
          </w:tcPr>
          <w:p>
            <w:pPr>
              <w:ind w:left="360"/>
              <w:spacing w:after="0"/>
              <w:rPr>
                <w:sz w:val="20"/>
                <w:szCs w:val="20"/>
                <w:color w:val="auto"/>
              </w:rPr>
            </w:pPr>
            <w:r>
              <w:rPr>
                <w:rFonts w:ascii="Arial" w:cs="Arial" w:eastAsia="Arial" w:hAnsi="Arial"/>
                <w:sz w:val="18"/>
                <w:szCs w:val="18"/>
                <w:color w:val="auto"/>
              </w:rPr>
              <w:t>Conversion Date occurring during the Final Conversion Period.</w:t>
            </w:r>
          </w:p>
        </w:tc>
      </w:tr>
      <w:tr>
        <w:trPr>
          <w:trHeight w:val="418"/>
        </w:trPr>
        <w:tc>
          <w:tcPr>
            <w:tcW w:w="3880" w:type="dxa"/>
            <w:vAlign w:val="bottom"/>
          </w:tcPr>
          <w:p>
            <w:pPr>
              <w:ind w:left="660"/>
              <w:spacing w:after="0"/>
              <w:rPr>
                <w:sz w:val="20"/>
                <w:szCs w:val="20"/>
                <w:color w:val="auto"/>
              </w:rPr>
            </w:pPr>
            <w:r>
              <w:rPr>
                <w:rFonts w:ascii="Arial" w:cs="Arial" w:eastAsia="Arial" w:hAnsi="Arial"/>
                <w:sz w:val="18"/>
                <w:szCs w:val="18"/>
                <w:color w:val="auto"/>
              </w:rPr>
              <w:t>Settlement Method Election Provisions:</w:t>
            </w:r>
          </w:p>
        </w:tc>
        <w:tc>
          <w:tcPr>
            <w:tcW w:w="7580" w:type="dxa"/>
            <w:vAlign w:val="bottom"/>
          </w:tcPr>
          <w:p>
            <w:pPr>
              <w:ind w:left="340"/>
              <w:spacing w:after="0"/>
              <w:rPr>
                <w:sz w:val="20"/>
                <w:szCs w:val="20"/>
                <w:color w:val="auto"/>
              </w:rPr>
            </w:pPr>
            <w:r>
              <w:rPr>
                <w:rFonts w:ascii="Arial" w:cs="Arial" w:eastAsia="Arial" w:hAnsi="Arial"/>
                <w:sz w:val="18"/>
                <w:szCs w:val="18"/>
                <w:color w:val="auto"/>
                <w:w w:val="93"/>
              </w:rPr>
              <w:t>In order for the Applicable Settlement Method to be the Convertible Securities Settlement Method</w:t>
            </w:r>
          </w:p>
        </w:tc>
      </w:tr>
      <w:tr>
        <w:trPr>
          <w:trHeight w:val="216"/>
        </w:trPr>
        <w:tc>
          <w:tcPr>
            <w:tcW w:w="388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w w:val="98"/>
              </w:rPr>
              <w:t>in accordance with “Applicable Settlement Method” above, the related Notice of Exercise (or</w:t>
            </w:r>
          </w:p>
        </w:tc>
      </w:tr>
      <w:tr>
        <w:trPr>
          <w:trHeight w:val="216"/>
        </w:trPr>
        <w:tc>
          <w:tcPr>
            <w:tcW w:w="388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w w:val="98"/>
              </w:rPr>
              <w:t>Notice of Final Convertible Security Settlement Method, as the case may be) must contain in</w:t>
            </w:r>
          </w:p>
        </w:tc>
      </w:tr>
      <w:tr>
        <w:trPr>
          <w:trHeight w:val="216"/>
        </w:trPr>
        <w:tc>
          <w:tcPr>
            <w:tcW w:w="388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w w:val="92"/>
              </w:rPr>
              <w:t>writing the following representations and warranties from Counterparty to Dealer as of such notice</w:t>
            </w:r>
          </w:p>
        </w:tc>
      </w:tr>
      <w:tr>
        <w:trPr>
          <w:trHeight w:val="230"/>
        </w:trPr>
        <w:tc>
          <w:tcPr>
            <w:tcW w:w="3880" w:type="dxa"/>
            <w:vAlign w:val="bottom"/>
          </w:tcPr>
          <w:p>
            <w:pPr>
              <w:spacing w:after="0"/>
              <w:rPr>
                <w:sz w:val="20"/>
                <w:szCs w:val="20"/>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delivery date:</w:t>
            </w:r>
          </w:p>
        </w:tc>
      </w:tr>
      <w:tr>
        <w:trPr>
          <w:trHeight w:val="418"/>
        </w:trPr>
        <w:tc>
          <w:tcPr>
            <w:tcW w:w="3880" w:type="dxa"/>
            <w:vAlign w:val="bottom"/>
          </w:tcPr>
          <w:p>
            <w:pPr>
              <w:spacing w:after="0"/>
              <w:rPr>
                <w:sz w:val="24"/>
                <w:szCs w:val="24"/>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w w:val="95"/>
              </w:rPr>
              <w:t>(i) none of Counterparty and its officers or directors, or any person that controls, potentially</w:t>
            </w:r>
          </w:p>
        </w:tc>
      </w:tr>
      <w:tr>
        <w:trPr>
          <w:trHeight w:val="216"/>
        </w:trPr>
        <w:tc>
          <w:tcPr>
            <w:tcW w:w="3880" w:type="dxa"/>
            <w:vAlign w:val="bottom"/>
          </w:tcPr>
          <w:p>
            <w:pPr>
              <w:spacing w:after="0"/>
              <w:rPr>
                <w:sz w:val="18"/>
                <w:szCs w:val="18"/>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rPr>
              <w:t>controls, or otherwise exercises influence over, Counterparty’s decision to elect the</w:t>
            </w:r>
          </w:p>
        </w:tc>
      </w:tr>
      <w:tr>
        <w:trPr>
          <w:trHeight w:val="216"/>
        </w:trPr>
        <w:tc>
          <w:tcPr>
            <w:tcW w:w="3880" w:type="dxa"/>
            <w:vAlign w:val="bottom"/>
          </w:tcPr>
          <w:p>
            <w:pPr>
              <w:spacing w:after="0"/>
              <w:rPr>
                <w:sz w:val="18"/>
                <w:szCs w:val="18"/>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rPr>
              <w:t>Convertible Security Settlement Method is aware of any material nonpublic information</w:t>
            </w:r>
          </w:p>
        </w:tc>
      </w:tr>
      <w:tr>
        <w:trPr>
          <w:trHeight w:val="230"/>
        </w:trPr>
        <w:tc>
          <w:tcPr>
            <w:tcW w:w="3880" w:type="dxa"/>
            <w:vAlign w:val="bottom"/>
          </w:tcPr>
          <w:p>
            <w:pPr>
              <w:spacing w:after="0"/>
              <w:rPr>
                <w:sz w:val="20"/>
                <w:szCs w:val="20"/>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rPr>
              <w:t>regarding Counterparty or the Shares;</w:t>
            </w:r>
          </w:p>
        </w:tc>
      </w:tr>
      <w:tr>
        <w:trPr>
          <w:trHeight w:val="418"/>
        </w:trPr>
        <w:tc>
          <w:tcPr>
            <w:tcW w:w="3880" w:type="dxa"/>
            <w:vAlign w:val="bottom"/>
          </w:tcPr>
          <w:p>
            <w:pPr>
              <w:spacing w:after="0"/>
              <w:rPr>
                <w:sz w:val="24"/>
                <w:szCs w:val="24"/>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w w:val="93"/>
              </w:rPr>
              <w:t>(ii) Counterparty is electing the Convertible Security Settlement Method in good faith and not</w:t>
            </w:r>
          </w:p>
        </w:tc>
      </w:tr>
      <w:tr>
        <w:trPr>
          <w:trHeight w:val="216"/>
        </w:trPr>
        <w:tc>
          <w:tcPr>
            <w:tcW w:w="3880" w:type="dxa"/>
            <w:vAlign w:val="bottom"/>
          </w:tcPr>
          <w:p>
            <w:pPr>
              <w:spacing w:after="0"/>
              <w:rPr>
                <w:sz w:val="18"/>
                <w:szCs w:val="18"/>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rPr>
              <w:t>as part of a plan or scheme to evade compliance with the U.S. federal securities laws;</w:t>
            </w:r>
          </w:p>
        </w:tc>
      </w:tr>
      <w:tr>
        <w:trPr>
          <w:trHeight w:val="216"/>
        </w:trPr>
        <w:tc>
          <w:tcPr>
            <w:tcW w:w="3880" w:type="dxa"/>
            <w:vAlign w:val="bottom"/>
          </w:tcPr>
          <w:p>
            <w:pPr>
              <w:spacing w:after="0"/>
              <w:rPr>
                <w:sz w:val="18"/>
                <w:szCs w:val="18"/>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w w:val="95"/>
              </w:rPr>
              <w:t>Counterparty is not electing the Convertible Security Settlement Method to create actual or</w:t>
            </w:r>
          </w:p>
        </w:tc>
      </w:tr>
      <w:tr>
        <w:trPr>
          <w:trHeight w:val="216"/>
        </w:trPr>
        <w:tc>
          <w:tcPr>
            <w:tcW w:w="3880" w:type="dxa"/>
            <w:vAlign w:val="bottom"/>
          </w:tcPr>
          <w:p>
            <w:pPr>
              <w:spacing w:after="0"/>
              <w:rPr>
                <w:sz w:val="18"/>
                <w:szCs w:val="18"/>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w w:val="95"/>
              </w:rPr>
              <w:t>apparent trading activity in the Shares (or any security convertible into or exchangeable for</w:t>
            </w:r>
          </w:p>
        </w:tc>
      </w:tr>
      <w:tr>
        <w:trPr>
          <w:trHeight w:val="216"/>
        </w:trPr>
        <w:tc>
          <w:tcPr>
            <w:tcW w:w="3880" w:type="dxa"/>
            <w:vAlign w:val="bottom"/>
          </w:tcPr>
          <w:p>
            <w:pPr>
              <w:spacing w:after="0"/>
              <w:rPr>
                <w:sz w:val="18"/>
                <w:szCs w:val="18"/>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w w:val="92"/>
              </w:rPr>
              <w:t>Shares) or to raise or depress or otherwise manipulate the price of the Shares (or any security</w:t>
            </w:r>
          </w:p>
        </w:tc>
      </w:tr>
      <w:tr>
        <w:trPr>
          <w:trHeight w:val="216"/>
        </w:trPr>
        <w:tc>
          <w:tcPr>
            <w:tcW w:w="3880" w:type="dxa"/>
            <w:vAlign w:val="bottom"/>
          </w:tcPr>
          <w:p>
            <w:pPr>
              <w:spacing w:after="0"/>
              <w:rPr>
                <w:sz w:val="18"/>
                <w:szCs w:val="18"/>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w w:val="96"/>
              </w:rPr>
              <w:t>convertible into or exchangeable for Shares) or otherwise in violation of the Exchange Act;</w:t>
            </w:r>
          </w:p>
        </w:tc>
      </w:tr>
      <w:tr>
        <w:trPr>
          <w:trHeight w:val="216"/>
        </w:trPr>
        <w:tc>
          <w:tcPr>
            <w:tcW w:w="3880" w:type="dxa"/>
            <w:vAlign w:val="bottom"/>
          </w:tcPr>
          <w:p>
            <w:pPr>
              <w:spacing w:after="0"/>
              <w:rPr>
                <w:sz w:val="18"/>
                <w:szCs w:val="18"/>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w w:val="91"/>
              </w:rPr>
              <w:t>and Counterparty has not entered into or altered any hedging transaction relating to the Shares</w:t>
            </w:r>
          </w:p>
        </w:tc>
      </w:tr>
      <w:tr>
        <w:trPr>
          <w:trHeight w:val="230"/>
        </w:trPr>
        <w:tc>
          <w:tcPr>
            <w:tcW w:w="3880" w:type="dxa"/>
            <w:vAlign w:val="bottom"/>
          </w:tcPr>
          <w:p>
            <w:pPr>
              <w:spacing w:after="0"/>
              <w:rPr>
                <w:sz w:val="20"/>
                <w:szCs w:val="20"/>
                <w:color w:val="auto"/>
              </w:rPr>
            </w:pPr>
          </w:p>
        </w:tc>
        <w:tc>
          <w:tcPr>
            <w:tcW w:w="7580" w:type="dxa"/>
            <w:vAlign w:val="bottom"/>
          </w:tcPr>
          <w:p>
            <w:pPr>
              <w:ind w:left="660"/>
              <w:spacing w:after="0"/>
              <w:rPr>
                <w:sz w:val="20"/>
                <w:szCs w:val="20"/>
                <w:color w:val="auto"/>
              </w:rPr>
            </w:pPr>
            <w:r>
              <w:rPr>
                <w:rFonts w:ascii="Arial" w:cs="Arial" w:eastAsia="Arial" w:hAnsi="Arial"/>
                <w:sz w:val="18"/>
                <w:szCs w:val="18"/>
                <w:color w:val="auto"/>
              </w:rPr>
              <w:t>corresponding to or offsetting the Transaction;</w:t>
            </w:r>
          </w:p>
        </w:tc>
      </w:tr>
      <w:tr>
        <w:trPr>
          <w:trHeight w:val="432"/>
        </w:trPr>
        <w:tc>
          <w:tcPr>
            <w:tcW w:w="3880" w:type="dxa"/>
            <w:vAlign w:val="bottom"/>
          </w:tcPr>
          <w:p>
            <w:pPr>
              <w:spacing w:after="0"/>
              <w:rPr>
                <w:sz w:val="24"/>
                <w:szCs w:val="24"/>
                <w:color w:val="auto"/>
              </w:rPr>
            </w:pPr>
          </w:p>
        </w:tc>
        <w:tc>
          <w:tcPr>
            <w:tcW w:w="7580" w:type="dxa"/>
            <w:vAlign w:val="bottom"/>
          </w:tcPr>
          <w:p>
            <w:pPr>
              <w:ind w:left="1780"/>
              <w:spacing w:after="0"/>
              <w:rPr>
                <w:sz w:val="20"/>
                <w:szCs w:val="20"/>
                <w:color w:val="auto"/>
              </w:rPr>
            </w:pPr>
            <w:r>
              <w:rPr>
                <w:rFonts w:ascii="Arial" w:cs="Arial" w:eastAsia="Arial" w:hAnsi="Arial"/>
                <w:sz w:val="18"/>
                <w:szCs w:val="18"/>
                <w:color w:val="auto"/>
              </w:rPr>
              <w:t>8</w:t>
            </w:r>
          </w:p>
        </w:tc>
      </w:tr>
      <w:tr>
        <w:trPr>
          <w:trHeight w:val="132"/>
        </w:trPr>
        <w:tc>
          <w:tcPr>
            <w:tcW w:w="3880" w:type="dxa"/>
            <w:vAlign w:val="bottom"/>
            <w:tcBorders>
              <w:bottom w:val="single" w:sz="8" w:color="808080"/>
            </w:tcBorders>
          </w:tcPr>
          <w:p>
            <w:pPr>
              <w:spacing w:after="0"/>
              <w:rPr>
                <w:sz w:val="11"/>
                <w:szCs w:val="11"/>
                <w:color w:val="auto"/>
              </w:rPr>
            </w:pPr>
          </w:p>
        </w:tc>
        <w:tc>
          <w:tcPr>
            <w:tcW w:w="75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(iii) Counterparty has the power to make such election and to execute and deliver any</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5"/>
              </w:rPr>
              <w:t>documentation relating to such election that it is required by this Confirmation to deliver and to</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5"/>
              </w:rPr>
              <w:t>perform its obligations under this Confirmation and has taken all necessary action to authorize</w:t>
            </w:r>
          </w:p>
        </w:tc>
      </w:tr>
      <w:tr>
        <w:trPr>
          <w:trHeight w:val="230"/>
        </w:trPr>
        <w:tc>
          <w:tcPr>
            <w:tcW w:w="380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such election, execution, delivery and performance;</w:t>
            </w:r>
          </w:p>
        </w:tc>
      </w:tr>
      <w:tr>
        <w:trPr>
          <w:trHeight w:val="418"/>
        </w:trPr>
        <w:tc>
          <w:tcPr>
            <w:tcW w:w="3800" w:type="dxa"/>
            <w:vAlign w:val="bottom"/>
          </w:tcPr>
          <w:p>
            <w:pPr>
              <w:spacing w:after="0"/>
              <w:rPr>
                <w:sz w:val="24"/>
                <w:szCs w:val="24"/>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6"/>
              </w:rPr>
              <w:t>(iv) such election and performance of its obligations under this Confirmation do not violate or</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5"/>
              </w:rPr>
              <w:t>conflict with any law applicable to it, any provision of its constitutional documents, any order or</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4"/>
              </w:rPr>
              <w:t>judgment of any court or other agency of government applicable to it or any of its assets or any</w:t>
            </w:r>
          </w:p>
        </w:tc>
      </w:tr>
      <w:tr>
        <w:trPr>
          <w:trHeight w:val="230"/>
        </w:trPr>
        <w:tc>
          <w:tcPr>
            <w:tcW w:w="380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contractual restriction binding on or affecting it or any of its assets; and</w:t>
            </w:r>
          </w:p>
        </w:tc>
      </w:tr>
      <w:tr>
        <w:trPr>
          <w:trHeight w:val="418"/>
        </w:trPr>
        <w:tc>
          <w:tcPr>
            <w:tcW w:w="3800" w:type="dxa"/>
            <w:vAlign w:val="bottom"/>
          </w:tcPr>
          <w:p>
            <w:pPr>
              <w:spacing w:after="0"/>
              <w:rPr>
                <w:sz w:val="24"/>
                <w:szCs w:val="24"/>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0"/>
              </w:rPr>
              <w:t>(v) any transaction that Dealer makes with respect to the Shares during the period beginning at the</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1"/>
              </w:rPr>
              <w:t>time that Counterparty delivers such notice and ending at the close of business on the final day of</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5"/>
              </w:rPr>
              <w:t>the Cash Settlement Averaging Period shall be made by Dealer at Dealer’s sole discretion for</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6"/>
              </w:rPr>
              <w:t>Dealer’s own account and Counterparty shall not have, and shall not attempt to exercise, any</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4"/>
              </w:rPr>
              <w:t>influence over how, when, whether or at what price Dealer effects such transactions, including,</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3"/>
              </w:rPr>
              <w:t>without limitation, the prices paid or received by Dealer per Share pursuant to such transactions,</w:t>
            </w:r>
          </w:p>
        </w:tc>
      </w:tr>
      <w:tr>
        <w:trPr>
          <w:trHeight w:val="230"/>
        </w:trPr>
        <w:tc>
          <w:tcPr>
            <w:tcW w:w="380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or whether such transactions are made on any securities exchange or privately.</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rPr>
              <w:t>Notice of Delivery Obligation:</w:t>
            </w: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No later than the Exchange Business Day immediately following the last day of the relevant Cash</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Settlement Averaging Period, Counterparty shall give Dealer notice of the final number of Shares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and/or amount of cash included in the Total Convertible Share Obligation Value (as defined below);</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i w:val="1"/>
                <w:iCs w:val="1"/>
                <w:color w:val="auto"/>
                <w:w w:val="99"/>
              </w:rPr>
              <w:t xml:space="preserve">provided </w:t>
            </w:r>
            <w:r>
              <w:rPr>
                <w:rFonts w:ascii="Arial" w:cs="Arial" w:eastAsia="Arial" w:hAnsi="Arial"/>
                <w:sz w:val="18"/>
                <w:szCs w:val="18"/>
                <w:color w:val="auto"/>
                <w:w w:val="99"/>
              </w:rPr>
              <w:t>that, with respect to any Exercise Date occurring during the Final Conversion Period,</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Counterparty may provide Dealer with a single notice of the aggregate number of Shares and/or</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amount of cash included in the Total Convertible Share Obligation Value for all Exercise Dates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occurring during such period (it being understood, for the avoidance of doubt, that the requirement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Counterparty to deliver such notice shall not limit Counterparty’s obligations with respect to a Notice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of Exercise or Notice of Final Convertible Security Settlement Method, as the case may be, as set forth</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above, in any way).</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w w:val="97"/>
              </w:rPr>
              <w:t>Net Convertible Share Obligation Value:</w:t>
            </w: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With respect to Relevant Convertible Securities as to a Conversion Date, the product of (i) the</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Applicable Percentage and (ii)(A) the Total Convertible Share</w:t>
            </w:r>
          </w:p>
        </w:tc>
      </w:tr>
      <w:tr>
        <w:trPr>
          <w:trHeight w:val="432"/>
        </w:trPr>
        <w:tc>
          <w:tcPr>
            <w:tcW w:w="380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9</w:t>
            </w:r>
          </w:p>
        </w:tc>
      </w:tr>
      <w:tr>
        <w:trPr>
          <w:trHeight w:val="132"/>
        </w:trPr>
        <w:tc>
          <w:tcPr>
            <w:tcW w:w="38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 xml:space="preserve">Obligation Value of such Relevant Convertible Securities for such Conversion Date </w:t>
            </w:r>
            <w:r>
              <w:rPr>
                <w:rFonts w:ascii="Arial" w:cs="Arial" w:eastAsia="Arial" w:hAnsi="Arial"/>
                <w:sz w:val="18"/>
                <w:szCs w:val="18"/>
                <w:i w:val="1"/>
                <w:iCs w:val="1"/>
                <w:color w:val="auto"/>
                <w:w w:val="96"/>
              </w:rPr>
              <w:t>minus</w:t>
            </w:r>
            <w:r>
              <w:rPr>
                <w:rFonts w:ascii="Arial" w:cs="Arial" w:eastAsia="Arial" w:hAnsi="Arial"/>
                <w:sz w:val="18"/>
                <w:szCs w:val="18"/>
                <w:color w:val="auto"/>
                <w:w w:val="96"/>
              </w:rPr>
              <w:t xml:space="preserve"> (B) the</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aggregate principal amount of such Relevant Convertible Securities for such Conversion Date.</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w w:val="95"/>
              </w:rPr>
              <w:t>Total Convertible Share Obligation Value:</w:t>
            </w: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With respect to Relevant Convertible Securities with respect to a Conversion Date, (i) (A) the number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5"/>
              </w:rPr>
              <w:t>of Shares equal to the aggregate number of Shares that Counterparty is obligated to deliver to the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5"/>
              </w:rPr>
              <w:t>holder(s) of Relevant Convertible Securities for such Conversion Date pursuant to the Indenture (it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being understood that such number of Shares shall be determined taking into consideration any</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8"/>
              </w:rPr>
              <w:t xml:space="preserve">rounding pursuant to Section 5.03(B)(ii) of the Indenture) </w:t>
            </w:r>
            <w:r>
              <w:rPr>
                <w:rFonts w:ascii="Arial" w:cs="Arial" w:eastAsia="Arial" w:hAnsi="Arial"/>
                <w:sz w:val="18"/>
                <w:szCs w:val="18"/>
                <w:i w:val="1"/>
                <w:iCs w:val="1"/>
                <w:color w:val="auto"/>
                <w:w w:val="98"/>
              </w:rPr>
              <w:t>multiplied by</w:t>
            </w:r>
            <w:r>
              <w:rPr>
                <w:rFonts w:ascii="Arial" w:cs="Arial" w:eastAsia="Arial" w:hAnsi="Arial"/>
                <w:sz w:val="18"/>
                <w:szCs w:val="18"/>
                <w:color w:val="auto"/>
                <w:w w:val="98"/>
              </w:rPr>
              <w:t xml:space="preserve"> (B) the Share Obligation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 xml:space="preserve">Value Price </w:t>
            </w:r>
            <w:r>
              <w:rPr>
                <w:rFonts w:ascii="Arial" w:cs="Arial" w:eastAsia="Arial" w:hAnsi="Arial"/>
                <w:sz w:val="18"/>
                <w:szCs w:val="18"/>
                <w:i w:val="1"/>
                <w:iCs w:val="1"/>
                <w:color w:val="auto"/>
                <w:w w:val="94"/>
              </w:rPr>
              <w:t>plus</w:t>
            </w:r>
            <w:r>
              <w:rPr>
                <w:rFonts w:ascii="Arial" w:cs="Arial" w:eastAsia="Arial" w:hAnsi="Arial"/>
                <w:sz w:val="18"/>
                <w:szCs w:val="18"/>
                <w:color w:val="auto"/>
                <w:w w:val="94"/>
              </w:rPr>
              <w:t xml:space="preserve"> (ii) an amount of cash equal to the aggregate amount of cash that Counterparty is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obligated to deliver to the holder(s) of Relevant Convertible Securities for such Conversion Date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pursuant to the Indenture (including, for the avoidance of doubt, any cash payable by Counterparty in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 xml:space="preserve">lieu of fractional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Convertible Share Obligation Value shall be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determined excluding any Shares and/or cash that Counterparty is obligated to deliver to holder(s) of</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the Relevant Convertible Securities as a direct or indirect result of any adjustments to the Conversion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Rate pursuant to a Fundamental Change Adjustment or a Discretionary Adjustment and any interest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payment that Counterparty is (or would have been) obligated to deliver to holder(s) of the Relevant</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Convertible Securities for such Conversion Date.</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Share Obligation Value Price:</w:t>
            </w: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The opening price as displayed under the heading “Op” on Bloomberg page “WGO.N &lt;Equity&gt;“ (or</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any successor thereto) on the applicable Settlement Date or other date of delivery.</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Other Applicable Provisions:</w:t>
            </w: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To the extent Dealer is obligated to deliver Shares hereunder, the provisions of Sections 9.8, 9.9 and</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9.11 of the Equity Definitions will be applicable as if “Physical Settlement” applied to the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 xml:space="preserve">Transaction;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the Representation and Agreement contained in Section 9.11 of the Equity</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Definitions shall be modified by excluding any representations therein relating to restrictions,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5"/>
              </w:rPr>
              <w:t>obligations, limitations or requirements under applicable securities laws that exist as a result of the</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fact that Counterparty is the issuer of the Shares.</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Restricted Certificated Shares:</w:t>
            </w: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Notwithstanding anything to the contrary in the Equity Definitions, Dealer may, in whole or in part,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deliver Shares required to be delivered to Counterparty hereunder in certificated form in lieu of</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delivery through the Clearance System. With respect to such certificated Shares, the Representation</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and Agreement contained in Section 9.11 of the Equity</w:t>
            </w:r>
          </w:p>
        </w:tc>
      </w:tr>
      <w:tr>
        <w:trPr>
          <w:trHeight w:val="432"/>
        </w:trPr>
        <w:tc>
          <w:tcPr>
            <w:tcW w:w="3840" w:type="dxa"/>
            <w:vAlign w:val="bottom"/>
          </w:tcPr>
          <w:p>
            <w:pPr>
              <w:spacing w:after="0"/>
              <w:rPr>
                <w:sz w:val="24"/>
                <w:szCs w:val="24"/>
                <w:color w:val="auto"/>
              </w:rPr>
            </w:pPr>
          </w:p>
        </w:tc>
        <w:tc>
          <w:tcPr>
            <w:tcW w:w="7620" w:type="dxa"/>
            <w:vAlign w:val="bottom"/>
          </w:tcPr>
          <w:p>
            <w:pPr>
              <w:ind w:left="1780"/>
              <w:spacing w:after="0"/>
              <w:rPr>
                <w:sz w:val="20"/>
                <w:szCs w:val="20"/>
                <w:color w:val="auto"/>
              </w:rPr>
            </w:pPr>
            <w:r>
              <w:rPr>
                <w:rFonts w:ascii="Arial" w:cs="Arial" w:eastAsia="Arial" w:hAnsi="Arial"/>
                <w:sz w:val="18"/>
                <w:szCs w:val="18"/>
                <w:color w:val="auto"/>
              </w:rPr>
              <w:t>10</w:t>
            </w:r>
          </w:p>
        </w:tc>
      </w:tr>
      <w:tr>
        <w:trPr>
          <w:trHeight w:val="132"/>
        </w:trPr>
        <w:tc>
          <w:tcPr>
            <w:tcW w:w="38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2"/>
              </w:rPr>
              <w:t>Definitions shall be modified by deleting the remainder of the provision after the word “encumbrance”</w:t>
            </w:r>
          </w:p>
        </w:tc>
      </w:tr>
      <w:tr>
        <w:trPr>
          <w:trHeight w:val="230"/>
        </w:trPr>
        <w:tc>
          <w:tcPr>
            <w:tcW w:w="3180" w:type="dxa"/>
            <w:vAlign w:val="bottom"/>
          </w:tcPr>
          <w:p>
            <w:pPr>
              <w:spacing w:after="0"/>
              <w:rPr>
                <w:sz w:val="20"/>
                <w:szCs w:val="20"/>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rPr>
              <w:t>in the fourth line thereof.</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Adjustments:</w:t>
            </w:r>
          </w:p>
        </w:tc>
        <w:tc>
          <w:tcPr>
            <w:tcW w:w="8280" w:type="dxa"/>
            <w:vAlign w:val="bottom"/>
          </w:tcPr>
          <w:p>
            <w:pPr>
              <w:spacing w:after="0"/>
              <w:rPr>
                <w:sz w:val="24"/>
                <w:szCs w:val="24"/>
                <w:color w:val="auto"/>
              </w:rPr>
            </w:pPr>
          </w:p>
        </w:tc>
      </w:tr>
      <w:tr>
        <w:trPr>
          <w:trHeight w:val="418"/>
        </w:trPr>
        <w:tc>
          <w:tcPr>
            <w:tcW w:w="3180" w:type="dxa"/>
            <w:vAlign w:val="bottom"/>
          </w:tcPr>
          <w:p>
            <w:pPr>
              <w:ind w:left="660"/>
              <w:spacing w:after="0"/>
              <w:rPr>
                <w:sz w:val="20"/>
                <w:szCs w:val="20"/>
                <w:color w:val="auto"/>
              </w:rPr>
            </w:pPr>
            <w:r>
              <w:rPr>
                <w:rFonts w:ascii="Arial" w:cs="Arial" w:eastAsia="Arial" w:hAnsi="Arial"/>
                <w:sz w:val="18"/>
                <w:szCs w:val="18"/>
                <w:color w:val="auto"/>
              </w:rPr>
              <w:t>Method of Adjustment:</w:t>
            </w:r>
          </w:p>
        </w:tc>
        <w:tc>
          <w:tcPr>
            <w:tcW w:w="8280" w:type="dxa"/>
            <w:vAlign w:val="bottom"/>
          </w:tcPr>
          <w:p>
            <w:pPr>
              <w:ind w:left="840"/>
              <w:spacing w:after="0"/>
              <w:rPr>
                <w:sz w:val="20"/>
                <w:szCs w:val="20"/>
                <w:color w:val="auto"/>
              </w:rPr>
            </w:pPr>
            <w:r>
              <w:rPr>
                <w:rFonts w:ascii="Arial" w:cs="Arial" w:eastAsia="Arial" w:hAnsi="Arial"/>
                <w:sz w:val="18"/>
                <w:szCs w:val="18"/>
                <w:color w:val="auto"/>
                <w:w w:val="92"/>
              </w:rPr>
              <w:t>Notwithstanding Section 11.2 of the Equity Definitions, upon the occurrence of any event or condition</w:t>
            </w:r>
          </w:p>
        </w:tc>
      </w:tr>
      <w:tr>
        <w:trPr>
          <w:trHeight w:val="212"/>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rPr>
              <w:t>set forth in Sections 5.05(A)(i), (ii), (iii), (iv) and (v), and Section 5.05(H) of the Indenture (a</w:t>
            </w:r>
          </w:p>
        </w:tc>
      </w:tr>
      <w:tr>
        <w:trPr>
          <w:trHeight w:val="220"/>
        </w:trPr>
        <w:tc>
          <w:tcPr>
            <w:tcW w:w="3180" w:type="dxa"/>
            <w:vAlign w:val="bottom"/>
          </w:tcPr>
          <w:p>
            <w:pPr>
              <w:spacing w:after="0"/>
              <w:rPr>
                <w:sz w:val="19"/>
                <w:szCs w:val="19"/>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Potential Adjustment Event</w:t>
            </w:r>
            <w:r>
              <w:rPr>
                <w:rFonts w:ascii="Arial" w:cs="Arial" w:eastAsia="Arial" w:hAnsi="Arial"/>
                <w:sz w:val="18"/>
                <w:szCs w:val="18"/>
                <w:color w:val="auto"/>
                <w:w w:val="92"/>
              </w:rPr>
              <w:t>”) that the Calculation Agent determines (by reference to such Section)</w:t>
            </w:r>
          </w:p>
        </w:tc>
      </w:tr>
      <w:tr>
        <w:trPr>
          <w:trHeight w:val="216"/>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2"/>
              </w:rPr>
              <w:t>would result in an adjustment under the Indenture, the Calculation Agent shall make a corresponding</w:t>
            </w:r>
          </w:p>
        </w:tc>
      </w:tr>
      <w:tr>
        <w:trPr>
          <w:trHeight w:val="216"/>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7"/>
              </w:rPr>
              <w:t>adjustment in respect of any one or more of the Strike Price, the Number of Options, the Option</w:t>
            </w:r>
          </w:p>
        </w:tc>
      </w:tr>
      <w:tr>
        <w:trPr>
          <w:trHeight w:val="216"/>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5"/>
              </w:rPr>
              <w:t>Entitlement and any other term relevant to the exercise, settlement or payment of the Transaction,</w:t>
            </w:r>
          </w:p>
        </w:tc>
      </w:tr>
      <w:tr>
        <w:trPr>
          <w:trHeight w:val="216"/>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7"/>
              </w:rPr>
              <w:t>subject to “Discretionary Adjustments” below. Immediately upon the occurrence of any Potential</w:t>
            </w:r>
          </w:p>
        </w:tc>
      </w:tr>
      <w:tr>
        <w:trPr>
          <w:trHeight w:val="216"/>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8"/>
              </w:rPr>
              <w:t>Adjustment Event, Counterparty shall notify the Calculation Agent of such Potential Adjustment</w:t>
            </w:r>
          </w:p>
        </w:tc>
      </w:tr>
      <w:tr>
        <w:trPr>
          <w:trHeight w:val="216"/>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9"/>
              </w:rPr>
              <w:t>Event; and once the adjustments to be made to the terms of the Indenture and the Convertible</w:t>
            </w:r>
          </w:p>
        </w:tc>
      </w:tr>
      <w:tr>
        <w:trPr>
          <w:trHeight w:val="216"/>
        </w:trPr>
        <w:tc>
          <w:tcPr>
            <w:tcW w:w="3180" w:type="dxa"/>
            <w:vAlign w:val="bottom"/>
          </w:tcPr>
          <w:p>
            <w:pPr>
              <w:spacing w:after="0"/>
              <w:rPr>
                <w:sz w:val="18"/>
                <w:szCs w:val="18"/>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w w:val="94"/>
              </w:rPr>
              <w:t>Securities in respect of such Potential Adjustment Event have been determined, Counterparty shall</w:t>
            </w:r>
          </w:p>
        </w:tc>
      </w:tr>
      <w:tr>
        <w:trPr>
          <w:trHeight w:val="230"/>
        </w:trPr>
        <w:tc>
          <w:tcPr>
            <w:tcW w:w="3180" w:type="dxa"/>
            <w:vAlign w:val="bottom"/>
          </w:tcPr>
          <w:p>
            <w:pPr>
              <w:spacing w:after="0"/>
              <w:rPr>
                <w:sz w:val="20"/>
                <w:szCs w:val="20"/>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rPr>
              <w:t>immediately notify the Calculation Agent in writing of the details of such adjustments.</w:t>
            </w:r>
          </w:p>
        </w:tc>
      </w:tr>
      <w:tr>
        <w:trPr>
          <w:trHeight w:val="432"/>
        </w:trPr>
        <w:tc>
          <w:tcPr>
            <w:tcW w:w="3180" w:type="dxa"/>
            <w:vAlign w:val="bottom"/>
          </w:tcPr>
          <w:p>
            <w:pPr>
              <w:spacing w:after="0"/>
              <w:rPr>
                <w:sz w:val="24"/>
                <w:szCs w:val="24"/>
                <w:color w:val="auto"/>
              </w:rPr>
            </w:pPr>
          </w:p>
        </w:tc>
        <w:tc>
          <w:tcPr>
            <w:tcW w:w="8280" w:type="dxa"/>
            <w:vAlign w:val="bottom"/>
          </w:tcPr>
          <w:p>
            <w:pPr>
              <w:ind w:left="840"/>
              <w:spacing w:after="0"/>
              <w:rPr>
                <w:sz w:val="20"/>
                <w:szCs w:val="20"/>
                <w:color w:val="auto"/>
              </w:rPr>
            </w:pPr>
            <w:r>
              <w:rPr>
                <w:rFonts w:ascii="Arial" w:cs="Arial" w:eastAsia="Arial" w:hAnsi="Arial"/>
                <w:sz w:val="18"/>
                <w:szCs w:val="18"/>
                <w:color w:val="auto"/>
              </w:rPr>
              <w:t>Notwithstanding anything to the contrary herein or in the Equity Definitions:</w:t>
            </w:r>
          </w:p>
        </w:tc>
      </w:tr>
      <w:tr>
        <w:trPr>
          <w:trHeight w:val="418"/>
        </w:trPr>
        <w:tc>
          <w:tcPr>
            <w:tcW w:w="3180" w:type="dxa"/>
            <w:vAlign w:val="bottom"/>
          </w:tcPr>
          <w:p>
            <w:pPr>
              <w:spacing w:after="0"/>
              <w:rPr>
                <w:sz w:val="24"/>
                <w:szCs w:val="24"/>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6"/>
              </w:rPr>
              <w:t>(i)  in connection with any Potential Adjustment Event as a result of an event or condition set</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5"/>
              </w:rPr>
              <w:t>forth in Section 5.05(A)(ii) of the Indenture or Section 5.05(A)(iii)(1) of the Indenture where, in</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7"/>
              </w:rPr>
              <w:t>either case, the period for determining “Y” (as such term is used in Section 5.05(A)(ii) of the</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4"/>
              </w:rPr>
              <w:t>Indenture) or “SP” (as such term is used in Section 5.05(A)(iii)(1) of the Indenture), as the case</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3"/>
              </w:rPr>
              <w:t>may be, begins before Counterparty has publicly announced the event or condition giving rise to</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5"/>
              </w:rPr>
              <w:t>such Potential Adjustment Event, then the Calculation Agent shall have the right to adjust any</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0"/>
              </w:rPr>
              <w:t>variable relevant to the exercise, settlement or payment of the Transaction as appropriate to reflect</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5"/>
              </w:rPr>
              <w:t>the costs (including, but not limited to, hedging mismatches and market losses) and expenses</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3"/>
              </w:rPr>
              <w:t>incurred by Dealer in connection with its hedging activities as a result of such event or condition</w:t>
            </w:r>
          </w:p>
        </w:tc>
      </w:tr>
      <w:tr>
        <w:trPr>
          <w:trHeight w:val="230"/>
        </w:trPr>
        <w:tc>
          <w:tcPr>
            <w:tcW w:w="3180" w:type="dxa"/>
            <w:vAlign w:val="bottom"/>
          </w:tcPr>
          <w:p>
            <w:pPr>
              <w:spacing w:after="0"/>
              <w:rPr>
                <w:sz w:val="20"/>
                <w:szCs w:val="20"/>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rPr>
              <w:t>not having been publicly announced prior to the beginning of such period; and</w:t>
            </w:r>
          </w:p>
        </w:tc>
      </w:tr>
      <w:tr>
        <w:trPr>
          <w:trHeight w:val="418"/>
        </w:trPr>
        <w:tc>
          <w:tcPr>
            <w:tcW w:w="3180" w:type="dxa"/>
            <w:vAlign w:val="bottom"/>
          </w:tcPr>
          <w:p>
            <w:pPr>
              <w:spacing w:after="0"/>
              <w:rPr>
                <w:sz w:val="24"/>
                <w:szCs w:val="24"/>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2"/>
              </w:rPr>
              <w:t>(ii) if any Potential Adjustment Event is declared and (a) the event or condition giving rise to such</w:t>
            </w:r>
          </w:p>
        </w:tc>
      </w:tr>
      <w:tr>
        <w:trPr>
          <w:trHeight w:val="216"/>
        </w:trPr>
        <w:tc>
          <w:tcPr>
            <w:tcW w:w="3180" w:type="dxa"/>
            <w:vAlign w:val="bottom"/>
          </w:tcPr>
          <w:p>
            <w:pPr>
              <w:spacing w:after="0"/>
              <w:rPr>
                <w:sz w:val="18"/>
                <w:szCs w:val="18"/>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w w:val="92"/>
              </w:rPr>
              <w:t>Potential Adjustment Event is subsequently amended, modified, cancelled or abandoned, (b) the</w:t>
            </w:r>
          </w:p>
        </w:tc>
      </w:tr>
      <w:tr>
        <w:trPr>
          <w:trHeight w:val="230"/>
        </w:trPr>
        <w:tc>
          <w:tcPr>
            <w:tcW w:w="3180" w:type="dxa"/>
            <w:vAlign w:val="bottom"/>
          </w:tcPr>
          <w:p>
            <w:pPr>
              <w:spacing w:after="0"/>
              <w:rPr>
                <w:sz w:val="20"/>
                <w:szCs w:val="20"/>
                <w:color w:val="auto"/>
              </w:rPr>
            </w:pPr>
          </w:p>
        </w:tc>
        <w:tc>
          <w:tcPr>
            <w:tcW w:w="8280" w:type="dxa"/>
            <w:vAlign w:val="bottom"/>
          </w:tcPr>
          <w:p>
            <w:pPr>
              <w:ind w:left="1160"/>
              <w:spacing w:after="0"/>
              <w:rPr>
                <w:sz w:val="20"/>
                <w:szCs w:val="20"/>
                <w:color w:val="auto"/>
              </w:rPr>
            </w:pPr>
            <w:r>
              <w:rPr>
                <w:rFonts w:ascii="Arial" w:cs="Arial" w:eastAsia="Arial" w:hAnsi="Arial"/>
                <w:sz w:val="18"/>
                <w:szCs w:val="18"/>
                <w:color w:val="auto"/>
              </w:rPr>
              <w:t>Conversion Rate is otherwise not adjusted at</w:t>
            </w:r>
          </w:p>
        </w:tc>
      </w:tr>
      <w:tr>
        <w:trPr>
          <w:trHeight w:val="432"/>
        </w:trPr>
        <w:tc>
          <w:tcPr>
            <w:tcW w:w="3180" w:type="dxa"/>
            <w:vAlign w:val="bottom"/>
          </w:tcPr>
          <w:p>
            <w:pPr>
              <w:spacing w:after="0"/>
              <w:rPr>
                <w:sz w:val="24"/>
                <w:szCs w:val="24"/>
                <w:color w:val="auto"/>
              </w:rPr>
            </w:pPr>
          </w:p>
        </w:tc>
        <w:tc>
          <w:tcPr>
            <w:tcW w:w="8280" w:type="dxa"/>
            <w:vAlign w:val="bottom"/>
          </w:tcPr>
          <w:p>
            <w:pPr>
              <w:ind w:left="2440"/>
              <w:spacing w:after="0"/>
              <w:rPr>
                <w:sz w:val="20"/>
                <w:szCs w:val="20"/>
                <w:color w:val="auto"/>
              </w:rPr>
            </w:pPr>
            <w:r>
              <w:rPr>
                <w:rFonts w:ascii="Arial" w:cs="Arial" w:eastAsia="Arial" w:hAnsi="Arial"/>
                <w:sz w:val="18"/>
                <w:szCs w:val="18"/>
                <w:color w:val="auto"/>
              </w:rPr>
              <w:t>11</w:t>
            </w:r>
          </w:p>
        </w:tc>
      </w:tr>
      <w:tr>
        <w:trPr>
          <w:trHeight w:val="132"/>
        </w:trPr>
        <w:tc>
          <w:tcPr>
            <w:tcW w:w="318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10" w:name="page211"/>
    <w:bookmarkEnd w:id="210"/>
    <w:p>
      <w:pPr>
        <w:ind w:left="4320" w:right="220"/>
        <w:spacing w:after="0" w:line="291" w:lineRule="auto"/>
        <w:rPr>
          <w:sz w:val="20"/>
          <w:szCs w:val="20"/>
          <w:color w:val="auto"/>
        </w:rPr>
      </w:pPr>
      <w:r>
        <w:rPr>
          <w:rFonts w:ascii="Arial" w:cs="Arial" w:eastAsia="Arial" w:hAnsi="Arial"/>
          <w:sz w:val="16"/>
          <w:szCs w:val="16"/>
          <w:color w:val="auto"/>
        </w:rPr>
        <w:t>the time or in the manner contemplated by the Indenture based on such declaration or (c) the Conversion Rate is adjusted as a result of such Potential Adjustment Event and subsequently re-adjusted (each of clauses (a), (b) and (c), a “</w:t>
      </w:r>
      <w:r>
        <w:rPr>
          <w:rFonts w:ascii="Arial" w:cs="Arial" w:eastAsia="Arial" w:hAnsi="Arial"/>
          <w:sz w:val="16"/>
          <w:szCs w:val="16"/>
          <w:b w:val="1"/>
          <w:bCs w:val="1"/>
          <w:color w:val="auto"/>
        </w:rPr>
        <w:t>Potential Adjustment Event Change</w:t>
      </w:r>
      <w:r>
        <w:rPr>
          <w:rFonts w:ascii="Arial" w:cs="Arial" w:eastAsia="Arial" w:hAnsi="Arial"/>
          <w:sz w:val="16"/>
          <w:szCs w:val="16"/>
          <w:color w:val="auto"/>
        </w:rPr>
        <w:t>”),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Potential Adjustment Event Change.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6"/>
              </w:rPr>
              <w:t>Upon the occurrence of any Potential Adjustment Event Change, Counterparty shall immediately</w:t>
            </w:r>
          </w:p>
        </w:tc>
      </w:tr>
      <w:tr>
        <w:trPr>
          <w:trHeight w:val="230"/>
        </w:trPr>
        <w:tc>
          <w:tcPr>
            <w:tcW w:w="3320" w:type="dxa"/>
            <w:vAlign w:val="bottom"/>
          </w:tcPr>
          <w:p>
            <w:pPr>
              <w:spacing w:after="0"/>
              <w:rPr>
                <w:sz w:val="20"/>
                <w:szCs w:val="20"/>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7"/>
              </w:rPr>
              <w:t>notify the Calculation Agent in writing of the details of such Potential Adjustment Event Change.</w:t>
            </w:r>
          </w:p>
        </w:tc>
      </w:tr>
      <w:tr>
        <w:trPr>
          <w:trHeight w:val="418"/>
        </w:trPr>
        <w:tc>
          <w:tcPr>
            <w:tcW w:w="3320" w:type="dxa"/>
            <w:vAlign w:val="bottom"/>
          </w:tcPr>
          <w:p>
            <w:pPr>
              <w:spacing w:after="0"/>
              <w:rPr>
                <w:sz w:val="24"/>
                <w:szCs w:val="24"/>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5"/>
              </w:rPr>
              <w:t>For the avoidance of doubt, Dealer shall not have any payment or delivery obligation hereunder in</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5"/>
              </w:rPr>
              <w:t>respect of, and no adjustment shall be made to the terms of the Transaction on account of, (x) any</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5"/>
              </w:rPr>
              <w:t>distribution of cash, property or securities by Counterparty to the holders of Convertible Securities</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2"/>
              </w:rPr>
              <w:t>(upon conversion or otherwise) or (y) any other transaction in which holders of Convertible Securities</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4"/>
              </w:rPr>
              <w:t>are entitled to participate, in each case, in lieu of an adjustment under the Indenture in respect of a</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6"/>
              </w:rPr>
              <w:t>Potential Adjustment Event (including, without limitation, under the proviso to the first sentence of</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6"/>
              </w:rPr>
              <w:t>Section 5.05(A)(iii)(1) of the Indenture or the proviso to the first sentence of Section 5.05(A)(iv) of</w:t>
            </w:r>
          </w:p>
        </w:tc>
      </w:tr>
      <w:tr>
        <w:trPr>
          <w:trHeight w:val="230"/>
        </w:trPr>
        <w:tc>
          <w:tcPr>
            <w:tcW w:w="3320" w:type="dxa"/>
            <w:vAlign w:val="bottom"/>
          </w:tcPr>
          <w:p>
            <w:pPr>
              <w:spacing w:after="0"/>
              <w:rPr>
                <w:sz w:val="20"/>
                <w:szCs w:val="20"/>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rPr>
              <w:t>the Indenture).</w:t>
            </w:r>
          </w:p>
        </w:tc>
      </w:tr>
      <w:tr>
        <w:trPr>
          <w:trHeight w:val="418"/>
        </w:trPr>
        <w:tc>
          <w:tcPr>
            <w:tcW w:w="3320" w:type="dxa"/>
            <w:vAlign w:val="bottom"/>
          </w:tcPr>
          <w:p>
            <w:pPr>
              <w:ind w:left="660"/>
              <w:spacing w:after="0"/>
              <w:rPr>
                <w:sz w:val="20"/>
                <w:szCs w:val="20"/>
                <w:color w:val="auto"/>
              </w:rPr>
            </w:pPr>
            <w:r>
              <w:rPr>
                <w:rFonts w:ascii="Arial" w:cs="Arial" w:eastAsia="Arial" w:hAnsi="Arial"/>
                <w:sz w:val="18"/>
                <w:szCs w:val="18"/>
                <w:color w:val="auto"/>
              </w:rPr>
              <w:t>Discretionary Adjustments:</w:t>
            </w:r>
          </w:p>
        </w:tc>
        <w:tc>
          <w:tcPr>
            <w:tcW w:w="8140" w:type="dxa"/>
            <w:vAlign w:val="bottom"/>
          </w:tcPr>
          <w:p>
            <w:pPr>
              <w:ind w:left="680"/>
              <w:spacing w:after="0"/>
              <w:rPr>
                <w:sz w:val="20"/>
                <w:szCs w:val="20"/>
                <w:color w:val="auto"/>
              </w:rPr>
            </w:pPr>
            <w:r>
              <w:rPr>
                <w:rFonts w:ascii="Arial" w:cs="Arial" w:eastAsia="Arial" w:hAnsi="Arial"/>
                <w:sz w:val="18"/>
                <w:szCs w:val="18"/>
                <w:color w:val="auto"/>
                <w:w w:val="94"/>
              </w:rPr>
              <w:t>Notwithstanding anything to the contrary herein or in the Equity Definitions, if the Calculation Agent</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1"/>
              </w:rPr>
              <w:t>in good faith disagrees with any adjustment under the Indenture that involves an exercise of discretion</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3"/>
              </w:rPr>
              <w:t>by Counterparty or its board of directors (including, without limitation, pursuant to Section 5.05(H) of</w:t>
            </w:r>
          </w:p>
        </w:tc>
      </w:tr>
      <w:tr>
        <w:trPr>
          <w:trHeight w:val="212"/>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3"/>
              </w:rPr>
              <w:t>the Indenture or pursuant to Section 5.08(A) of the Indenture or any supplemental indenture entered</w:t>
            </w:r>
          </w:p>
        </w:tc>
      </w:tr>
      <w:tr>
        <w:trPr>
          <w:trHeight w:val="220"/>
        </w:trPr>
        <w:tc>
          <w:tcPr>
            <w:tcW w:w="3320" w:type="dxa"/>
            <w:vAlign w:val="bottom"/>
          </w:tcPr>
          <w:p>
            <w:pPr>
              <w:spacing w:after="0"/>
              <w:rPr>
                <w:sz w:val="19"/>
                <w:szCs w:val="19"/>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3"/>
              </w:rPr>
              <w:t>into thereunder (a “</w:t>
            </w:r>
            <w:r>
              <w:rPr>
                <w:rFonts w:ascii="Arial" w:cs="Arial" w:eastAsia="Arial" w:hAnsi="Arial"/>
                <w:sz w:val="18"/>
                <w:szCs w:val="18"/>
                <w:b w:val="1"/>
                <w:bCs w:val="1"/>
                <w:color w:val="auto"/>
                <w:w w:val="93"/>
              </w:rPr>
              <w:t>Merger Supplemental Indenture</w:t>
            </w:r>
            <w:r>
              <w:rPr>
                <w:rFonts w:ascii="Arial" w:cs="Arial" w:eastAsia="Arial" w:hAnsi="Arial"/>
                <w:sz w:val="18"/>
                <w:szCs w:val="18"/>
                <w:color w:val="auto"/>
                <w:w w:val="93"/>
              </w:rPr>
              <w:t>”) or in connection with the determination of the</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2"/>
              </w:rPr>
              <w:t>fair value of any securities, property, rights or other assets), then the Calculation Agent will determine</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rPr>
              <w:t>the adjustment to be made to any one or more of the Strike Price, Number of Options, Option</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6"/>
              </w:rPr>
              <w:t>Entitlement and any other variable relevant to the exercise, settlement or payment of or under the</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8"/>
              </w:rPr>
              <w:t>Transaction in a commercially reasonable manner and, for the avoidance of doubt, the Delivery</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5"/>
              </w:rPr>
              <w:t xml:space="preserve">Obligation shall be calculated on the basis of such adjustments by the Calculation Agent; </w:t>
            </w:r>
            <w:r>
              <w:rPr>
                <w:rFonts w:ascii="Arial" w:cs="Arial" w:eastAsia="Arial" w:hAnsi="Arial"/>
                <w:sz w:val="18"/>
                <w:szCs w:val="18"/>
                <w:i w:val="1"/>
                <w:iCs w:val="1"/>
                <w:color w:val="auto"/>
                <w:w w:val="95"/>
              </w:rPr>
              <w:t>provided</w:t>
            </w:r>
          </w:p>
        </w:tc>
      </w:tr>
      <w:tr>
        <w:trPr>
          <w:trHeight w:val="230"/>
        </w:trPr>
        <w:tc>
          <w:tcPr>
            <w:tcW w:w="3320" w:type="dxa"/>
            <w:vAlign w:val="bottom"/>
          </w:tcPr>
          <w:p>
            <w:pPr>
              <w:spacing w:after="0"/>
              <w:rPr>
                <w:sz w:val="20"/>
                <w:szCs w:val="20"/>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rPr>
              <w:t>that, notwithstanding the</w:t>
            </w:r>
          </w:p>
        </w:tc>
      </w:tr>
      <w:tr>
        <w:trPr>
          <w:trHeight w:val="432"/>
        </w:trPr>
        <w:tc>
          <w:tcPr>
            <w:tcW w:w="3320" w:type="dxa"/>
            <w:vAlign w:val="bottom"/>
          </w:tcPr>
          <w:p>
            <w:pPr>
              <w:spacing w:after="0"/>
              <w:rPr>
                <w:sz w:val="24"/>
                <w:szCs w:val="24"/>
                <w:color w:val="auto"/>
              </w:rPr>
            </w:pPr>
          </w:p>
        </w:tc>
        <w:tc>
          <w:tcPr>
            <w:tcW w:w="8140" w:type="dxa"/>
            <w:vAlign w:val="bottom"/>
          </w:tcPr>
          <w:p>
            <w:pPr>
              <w:ind w:left="2300"/>
              <w:spacing w:after="0"/>
              <w:rPr>
                <w:sz w:val="20"/>
                <w:szCs w:val="20"/>
                <w:color w:val="auto"/>
              </w:rPr>
            </w:pPr>
            <w:r>
              <w:rPr>
                <w:rFonts w:ascii="Arial" w:cs="Arial" w:eastAsia="Arial" w:hAnsi="Arial"/>
                <w:sz w:val="18"/>
                <w:szCs w:val="18"/>
                <w:color w:val="auto"/>
              </w:rPr>
              <w:t>12</w:t>
            </w:r>
          </w:p>
        </w:tc>
      </w:tr>
      <w:tr>
        <w:trPr>
          <w:trHeight w:val="132"/>
        </w:trPr>
        <w:tc>
          <w:tcPr>
            <w:tcW w:w="3320" w:type="dxa"/>
            <w:vAlign w:val="bottom"/>
            <w:tcBorders>
              <w:bottom w:val="single" w:sz="8" w:color="808080"/>
            </w:tcBorders>
          </w:tcPr>
          <w:p>
            <w:pPr>
              <w:spacing w:after="0"/>
              <w:rPr>
                <w:sz w:val="11"/>
                <w:szCs w:val="11"/>
                <w:color w:val="auto"/>
              </w:rPr>
            </w:pPr>
          </w:p>
        </w:tc>
        <w:tc>
          <w:tcPr>
            <w:tcW w:w="8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foregoing, in any Potential Adjustment Event occurs during the Cash Settlement Averaging Period but</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1"/>
              </w:rPr>
              <w:t>no adjustment was made to any Convertible Note under the Indenture because the relevant Holder (as</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such term is defined in the Indenture) was deemed to be a record holder of the underlying Shares on</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the related Conversion Date, then the Calculation Agent shall made an adjustment, as determined by</w:t>
            </w:r>
          </w:p>
        </w:tc>
      </w:tr>
      <w:tr>
        <w:trPr>
          <w:trHeight w:val="230"/>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it, to the terms hereof in order to account for such Potential Adjustment Event.</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Dividends:</w:t>
            </w: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If (i) at any time during the period from and including the Trade Date, to but excluding the Expiration</w:t>
            </w:r>
          </w:p>
        </w:tc>
      </w:tr>
      <w:tr>
        <w:trPr>
          <w:trHeight w:val="212"/>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Date, an ex-dividend date for a regular quarterly cash dividend occurs with respect to the Shares (an</w:t>
            </w:r>
          </w:p>
        </w:tc>
      </w:tr>
      <w:tr>
        <w:trPr>
          <w:trHeight w:val="220"/>
        </w:trPr>
        <w:tc>
          <w:tcPr>
            <w:tcW w:w="3520" w:type="dxa"/>
            <w:vAlign w:val="bottom"/>
          </w:tcPr>
          <w:p>
            <w:pPr>
              <w:spacing w:after="0"/>
              <w:rPr>
                <w:sz w:val="19"/>
                <w:szCs w:val="19"/>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Ex-Dividend Date</w:t>
            </w:r>
            <w:r>
              <w:rPr>
                <w:rFonts w:ascii="Arial" w:cs="Arial" w:eastAsia="Arial" w:hAnsi="Arial"/>
                <w:sz w:val="18"/>
                <w:szCs w:val="18"/>
                <w:color w:val="auto"/>
                <w:w w:val="96"/>
              </w:rPr>
              <w:t>”) and that dividend is less than the Regular Dividend on a per Share basis or</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(ii) no Ex-Dividend Date for a regular quarterly cash dividend occurs with respect to the Shares in any</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quarterly dividend period of Counterparty, then the Calculation Agent will make a corresponding</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8"/>
              </w:rPr>
              <w:t>adjustment in respect of any one or more of the Strike Price, the Number of Options, the Option</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Entitlement and any other term relevant to the exercise, settlement or payment of the Transaction to</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account for the economic effect on the Transaction of such dividend or lack thereof, and, for the</w:t>
            </w:r>
          </w:p>
        </w:tc>
      </w:tr>
      <w:tr>
        <w:trPr>
          <w:trHeight w:val="212"/>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avoidance of doubt, any such adjustments shall be taken into account in calculating the Delivery</w:t>
            </w:r>
          </w:p>
        </w:tc>
      </w:tr>
      <w:tr>
        <w:trPr>
          <w:trHeight w:val="234"/>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Obligation. “</w:t>
            </w:r>
            <w:r>
              <w:rPr>
                <w:rFonts w:ascii="Arial" w:cs="Arial" w:eastAsia="Arial" w:hAnsi="Arial"/>
                <w:sz w:val="18"/>
                <w:szCs w:val="18"/>
                <w:b w:val="1"/>
                <w:bCs w:val="1"/>
                <w:color w:val="auto"/>
              </w:rPr>
              <w:t>Regular Dividend</w:t>
            </w:r>
            <w:r>
              <w:rPr>
                <w:rFonts w:ascii="Arial" w:cs="Arial" w:eastAsia="Arial" w:hAnsi="Arial"/>
                <w:sz w:val="18"/>
                <w:szCs w:val="18"/>
                <w:color w:val="auto"/>
              </w:rPr>
              <w:t>” shall mean USD0.11 per Share.</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Notice of Certain Other Events:</w:t>
            </w: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Counterparty shall give Dealer commercially reasonable advance (but in no event less than one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Exchange Business Day) written notice of the section or sections of the Indenture and, if applicable,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5"/>
              </w:rPr>
              <w:t>the formula therein, pursuant to which any adjustment will be made to the Convertible Securities in</w:t>
            </w:r>
          </w:p>
        </w:tc>
      </w:tr>
      <w:tr>
        <w:trPr>
          <w:trHeight w:val="230"/>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connection with any Potential Adjustment Event, Merger Event or Tender Offer.</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Extraordinary Events:</w:t>
            </w:r>
          </w:p>
        </w:tc>
        <w:tc>
          <w:tcPr>
            <w:tcW w:w="7940" w:type="dxa"/>
            <w:vAlign w:val="bottom"/>
          </w:tcPr>
          <w:p>
            <w:pPr>
              <w:spacing w:after="0"/>
              <w:rPr>
                <w:sz w:val="24"/>
                <w:szCs w:val="24"/>
                <w:color w:val="auto"/>
              </w:rPr>
            </w:pP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Merger Events:</w:t>
            </w: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Notwithstanding Section 12.1(b) of the Equity Definitions, “Merger Event” shall mean the occurrence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of any event or condition set forth in the definition of “Common Stock Change Event” as set forth in</w:t>
            </w:r>
          </w:p>
        </w:tc>
      </w:tr>
      <w:tr>
        <w:trPr>
          <w:trHeight w:val="230"/>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Section 5.08(A) of the Indenture.</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Consequences of Merger Events:</w:t>
            </w: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Notwithstanding Section 12.2 of the Equity Definitions, upon the occurrence of a Merger Event, the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8"/>
              </w:rPr>
              <w:t>Calculation Agent shall make an adjustment to the terms relevant to the exercise, settlement or</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8"/>
              </w:rPr>
              <w:t>payment of the Transaction corresponding to the adjustment required under Section 5.08 of the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Indenture in respect of such Merger Event, as determined by the Calculation Agent (by reference to</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 xml:space="preserve">such Section), subject to “Discretionary Adjustments” above;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such adjustment shall be</w:t>
            </w:r>
          </w:p>
        </w:tc>
      </w:tr>
      <w:tr>
        <w:trPr>
          <w:trHeight w:val="230"/>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made without regard to any adjustment to the</w:t>
            </w:r>
          </w:p>
        </w:tc>
      </w:tr>
      <w:tr>
        <w:trPr>
          <w:trHeight w:val="432"/>
        </w:trPr>
        <w:tc>
          <w:tcPr>
            <w:tcW w:w="3520" w:type="dxa"/>
            <w:vAlign w:val="bottom"/>
          </w:tcPr>
          <w:p>
            <w:pPr>
              <w:spacing w:after="0"/>
              <w:rPr>
                <w:sz w:val="24"/>
                <w:szCs w:val="24"/>
                <w:color w:val="auto"/>
              </w:rPr>
            </w:pPr>
          </w:p>
        </w:tc>
        <w:tc>
          <w:tcPr>
            <w:tcW w:w="7940" w:type="dxa"/>
            <w:vAlign w:val="bottom"/>
          </w:tcPr>
          <w:p>
            <w:pPr>
              <w:ind w:left="2100"/>
              <w:spacing w:after="0"/>
              <w:rPr>
                <w:sz w:val="20"/>
                <w:szCs w:val="20"/>
                <w:color w:val="auto"/>
              </w:rPr>
            </w:pPr>
            <w:r>
              <w:rPr>
                <w:rFonts w:ascii="Arial" w:cs="Arial" w:eastAsia="Arial" w:hAnsi="Arial"/>
                <w:sz w:val="18"/>
                <w:szCs w:val="18"/>
                <w:color w:val="auto"/>
              </w:rPr>
              <w:t>13</w:t>
            </w:r>
          </w:p>
        </w:tc>
      </w:tr>
      <w:tr>
        <w:trPr>
          <w:trHeight w:val="132"/>
        </w:trPr>
        <w:tc>
          <w:tcPr>
            <w:tcW w:w="3520" w:type="dxa"/>
            <w:vAlign w:val="bottom"/>
            <w:tcBorders>
              <w:bottom w:val="single" w:sz="8" w:color="808080"/>
            </w:tcBorders>
          </w:tcPr>
          <w:p>
            <w:pPr>
              <w:spacing w:after="0"/>
              <w:rPr>
                <w:sz w:val="11"/>
                <w:szCs w:val="11"/>
                <w:color w:val="auto"/>
              </w:rPr>
            </w:pPr>
          </w:p>
        </w:tc>
        <w:tc>
          <w:tcPr>
            <w:tcW w:w="7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Conversion Rate pursuant to a Fundamental Change Adjustment or a Discretionary Adjustment; and</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i w:val="1"/>
                <w:iCs w:val="1"/>
                <w:color w:val="auto"/>
                <w:w w:val="95"/>
              </w:rPr>
              <w:t xml:space="preserve">provided further </w:t>
            </w:r>
            <w:r>
              <w:rPr>
                <w:rFonts w:ascii="Arial" w:cs="Arial" w:eastAsia="Arial" w:hAnsi="Arial"/>
                <w:sz w:val="18"/>
                <w:szCs w:val="18"/>
                <w:color w:val="auto"/>
                <w:w w:val="95"/>
              </w:rPr>
              <w:t>that the Calculation Agent may make such further adjustments to the terms of the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Transaction as may be necessary to ensure that the fair value of the Transaction to Dealer is not</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adversely affected as a result of any adjustment referenced in this paragraph and, for the avoidance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doubt, any such further adjustments shall be taken into account in calculating the Delivery Obligation;</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 xml:space="preserve">and </w:t>
            </w:r>
            <w:r>
              <w:rPr>
                <w:rFonts w:ascii="Arial" w:cs="Arial" w:eastAsia="Arial" w:hAnsi="Arial"/>
                <w:sz w:val="18"/>
                <w:szCs w:val="18"/>
                <w:i w:val="1"/>
                <w:iCs w:val="1"/>
                <w:color w:val="auto"/>
                <w:w w:val="99"/>
              </w:rPr>
              <w:t>provided further</w:t>
            </w:r>
            <w:r>
              <w:rPr>
                <w:rFonts w:ascii="Arial" w:cs="Arial" w:eastAsia="Arial" w:hAnsi="Arial"/>
                <w:sz w:val="18"/>
                <w:szCs w:val="18"/>
                <w:color w:val="auto"/>
                <w:w w:val="99"/>
              </w:rPr>
              <w:t xml:space="preserve"> that if, with respect to a Merger Event, (i) the consideration for the Shares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includes (or, at the option of a holder of Shares, may include) shares of an entity or person that is not a</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corporation organized under the laws of the United States, any state thereof or the District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Columbia or (ii) the Counterparty to the Transaction, following such Merger Event, will not be a</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corporation organized under the laws of the United States, any state thereof or the District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Columbia and/or will not be the Issuer, Dealer may elect in its sole discretion that Cancellation and</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Payment (Calculation Agent Determination) shall apply.</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rPr>
              <w:t>Notice of Merger Consideration and</w:t>
            </w: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Upon the occurrence of a Merger Event, Counterparty shall reasonably promptly (but in any event</w:t>
            </w:r>
          </w:p>
        </w:tc>
      </w:tr>
      <w:tr>
        <w:trPr>
          <w:trHeight w:val="216"/>
        </w:trPr>
        <w:tc>
          <w:tcPr>
            <w:tcW w:w="3800" w:type="dxa"/>
            <w:vAlign w:val="bottom"/>
          </w:tcPr>
          <w:p>
            <w:pPr>
              <w:ind w:left="660"/>
              <w:spacing w:after="0"/>
              <w:rPr>
                <w:sz w:val="20"/>
                <w:szCs w:val="20"/>
                <w:color w:val="auto"/>
              </w:rPr>
            </w:pPr>
            <w:r>
              <w:rPr>
                <w:rFonts w:ascii="Arial" w:cs="Arial" w:eastAsia="Arial" w:hAnsi="Arial"/>
                <w:sz w:val="18"/>
                <w:szCs w:val="18"/>
                <w:color w:val="auto"/>
              </w:rPr>
              <w:t>Consequences:</w:t>
            </w: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prior to the relevant merger date) notify the Calculation Agent of (i) in the case of a Merger Event that</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causes the Shares to be converted into the right to receive more than a single type of consideration</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(determined based in part upon any form of stockholder election), the types and amount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0"/>
              </w:rPr>
              <w:t>consideration actually received by such holders, and (ii) the details of the adjustment to be made under</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the Indenture in respect of such Merger Event.</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w w:val="99"/>
              </w:rPr>
              <w:t>Nationalization, Insolvency or Delisting:</w:t>
            </w:r>
          </w:p>
        </w:tc>
        <w:tc>
          <w:tcPr>
            <w:tcW w:w="7660" w:type="dxa"/>
            <w:vAlign w:val="bottom"/>
          </w:tcPr>
          <w:p>
            <w:pPr>
              <w:ind w:left="20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addition to the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provisions of Section 12.6(a)(iii) of the Equity Definitions, it will also constitute a Delisting if the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Shares are not immediately re-listed, re-traded or re-quoted on any of the New York Stock Exchange,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The NASDAQ Global Select Market or The NASDAQ Global Market (or their respective successors);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if the Shares are immediately re-listed, re-traded or re-quoted on any such exchange or quotation</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system, such exchange or quotation system shall thereafter be deemed to be the Exchange.</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rPr>
              <w:t>Additional Termination Event(s):</w:t>
            </w: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Notwithstanding anything to the contrary in the Equity Definitions, if, as a result of an Extraordinary</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Event, the Transaction would be cancelled or terminated (whether in whole or in part) pursuant to</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Article 12 of the Equity Definitions, an Additional Termination Event (with the Transaction (or the</w:t>
            </w:r>
          </w:p>
        </w:tc>
      </w:tr>
      <w:tr>
        <w:trPr>
          <w:trHeight w:val="432"/>
        </w:trPr>
        <w:tc>
          <w:tcPr>
            <w:tcW w:w="3800" w:type="dxa"/>
            <w:vAlign w:val="bottom"/>
          </w:tcPr>
          <w:p>
            <w:pPr>
              <w:spacing w:after="0"/>
              <w:rPr>
                <w:sz w:val="24"/>
                <w:szCs w:val="24"/>
                <w:color w:val="auto"/>
              </w:rPr>
            </w:pPr>
          </w:p>
        </w:tc>
        <w:tc>
          <w:tcPr>
            <w:tcW w:w="7660" w:type="dxa"/>
            <w:vAlign w:val="bottom"/>
          </w:tcPr>
          <w:p>
            <w:pPr>
              <w:ind w:left="1820"/>
              <w:spacing w:after="0"/>
              <w:rPr>
                <w:sz w:val="20"/>
                <w:szCs w:val="20"/>
                <w:color w:val="auto"/>
              </w:rPr>
            </w:pPr>
            <w:r>
              <w:rPr>
                <w:rFonts w:ascii="Arial" w:cs="Arial" w:eastAsia="Arial" w:hAnsi="Arial"/>
                <w:sz w:val="18"/>
                <w:szCs w:val="18"/>
                <w:color w:val="auto"/>
              </w:rPr>
              <w:t>14</w:t>
            </w:r>
          </w:p>
        </w:tc>
      </w:tr>
      <w:tr>
        <w:trPr>
          <w:trHeight w:val="132"/>
        </w:trPr>
        <w:tc>
          <w:tcPr>
            <w:tcW w:w="38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3"/>
              </w:rPr>
              <w:t>cancelled or terminated portion thereof) being the Affected Transaction and Counterparty being the</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5"/>
              </w:rPr>
              <w:t>sole Affected Party) shall be deemed to occur, and, in lieu of Sections 12.7, 12.8 and 12.9 of the</w:t>
            </w:r>
          </w:p>
        </w:tc>
      </w:tr>
      <w:tr>
        <w:trPr>
          <w:trHeight w:val="230"/>
        </w:trPr>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rPr>
              <w:t>Equity Definitions, Section 6 of the Agreement shall apply to such Affected Transaction.</w:t>
            </w:r>
          </w:p>
        </w:tc>
      </w:tr>
      <w:tr>
        <w:trPr>
          <w:trHeight w:val="432"/>
        </w:trPr>
        <w:tc>
          <w:tcPr>
            <w:tcW w:w="2760" w:type="dxa"/>
            <w:vAlign w:val="bottom"/>
            <w:gridSpan w:val="2"/>
          </w:tcPr>
          <w:p>
            <w:pPr>
              <w:spacing w:after="0"/>
              <w:rPr>
                <w:sz w:val="20"/>
                <w:szCs w:val="20"/>
                <w:color w:val="auto"/>
              </w:rPr>
            </w:pPr>
            <w:r>
              <w:rPr>
                <w:rFonts w:ascii="Arial" w:cs="Arial" w:eastAsia="Arial" w:hAnsi="Arial"/>
                <w:sz w:val="18"/>
                <w:szCs w:val="18"/>
                <w:color w:val="auto"/>
              </w:rPr>
              <w:t>Additional Disruption Events:</w:t>
            </w:r>
          </w:p>
        </w:tc>
        <w:tc>
          <w:tcPr>
            <w:tcW w:w="7920" w:type="dxa"/>
            <w:vAlign w:val="bottom"/>
          </w:tcPr>
          <w:p>
            <w:pPr>
              <w:spacing w:after="0"/>
              <w:rPr>
                <w:sz w:val="24"/>
                <w:szCs w:val="24"/>
                <w:color w:val="auto"/>
              </w:rPr>
            </w:pPr>
          </w:p>
        </w:tc>
      </w:tr>
      <w:tr>
        <w:trPr>
          <w:trHeight w:val="418"/>
        </w:trPr>
        <w:tc>
          <w:tcPr>
            <w:tcW w:w="600" w:type="dxa"/>
            <w:vAlign w:val="bottom"/>
          </w:tcPr>
          <w:p>
            <w:pPr>
              <w:ind w:left="320"/>
              <w:spacing w:after="0"/>
              <w:rPr>
                <w:sz w:val="20"/>
                <w:szCs w:val="20"/>
                <w:color w:val="auto"/>
              </w:rPr>
            </w:pPr>
            <w:r>
              <w:rPr>
                <w:rFonts w:ascii="Arial" w:cs="Arial" w:eastAsia="Arial" w:hAnsi="Arial"/>
                <w:sz w:val="18"/>
                <w:szCs w:val="18"/>
                <w:color w:val="auto"/>
              </w:rPr>
              <w:t>(a)</w:t>
            </w:r>
          </w:p>
        </w:tc>
        <w:tc>
          <w:tcPr>
            <w:tcW w:w="2160" w:type="dxa"/>
            <w:vAlign w:val="bottom"/>
          </w:tcPr>
          <w:p>
            <w:pPr>
              <w:ind w:left="60"/>
              <w:spacing w:after="0"/>
              <w:rPr>
                <w:sz w:val="20"/>
                <w:szCs w:val="20"/>
                <w:color w:val="auto"/>
              </w:rPr>
            </w:pPr>
            <w:r>
              <w:rPr>
                <w:rFonts w:ascii="Arial" w:cs="Arial" w:eastAsia="Arial" w:hAnsi="Arial"/>
                <w:sz w:val="18"/>
                <w:szCs w:val="18"/>
                <w:color w:val="auto"/>
              </w:rPr>
              <w:t>Change in Law:</w:t>
            </w:r>
          </w:p>
        </w:tc>
        <w:tc>
          <w:tcPr>
            <w:tcW w:w="7920" w:type="dxa"/>
            <w:vAlign w:val="bottom"/>
          </w:tcPr>
          <w:p>
            <w:pPr>
              <w:ind w:left="5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is hereby amended by</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9"/>
              </w:rPr>
              <w:t>(i) replacing the phrase “the interpretation” in the third line thereof with the phrase “, or public</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6"/>
              </w:rPr>
              <w:t>announcement of, the formal or informal interpretation”, (ii) by adding the phrase “and/or Hedge</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5"/>
              </w:rPr>
              <w:t>Position” after the word “Shares” in clause (X) thereof and (iii) by immediately following the word</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3"/>
              </w:rPr>
              <w:t>“Transaction” in clause (X) thereof, adding the phrase “in the manner contemplated by the Hedging</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5"/>
              </w:rPr>
              <w:t xml:space="preserve">Party on the Trade Date”; and </w:t>
            </w:r>
            <w:r>
              <w:rPr>
                <w:rFonts w:ascii="Arial" w:cs="Arial" w:eastAsia="Arial" w:hAnsi="Arial"/>
                <w:sz w:val="18"/>
                <w:szCs w:val="18"/>
                <w:i w:val="1"/>
                <w:iCs w:val="1"/>
                <w:color w:val="auto"/>
                <w:w w:val="95"/>
              </w:rPr>
              <w:t>provided further</w:t>
            </w:r>
            <w:r>
              <w:rPr>
                <w:rFonts w:ascii="Arial" w:cs="Arial" w:eastAsia="Arial" w:hAnsi="Arial"/>
                <w:sz w:val="18"/>
                <w:szCs w:val="18"/>
                <w:color w:val="auto"/>
                <w:w w:val="95"/>
              </w:rPr>
              <w:t xml:space="preserve"> that Section 12.9(a)(ii) of the Equity Definitions is</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1"/>
              </w:rPr>
              <w:t>hereby amended by (i) replacing the parenthetical beginning after the word “regulation” in the second</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4"/>
              </w:rPr>
              <w:t>line thereof the words “(including, for the avoidance of doubt and without limitation, (x) any tax law</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2"/>
              </w:rPr>
              <w:t>or (y) adoption or promulgation of new regulations authorized or mandated by existing statute)” and</w:t>
            </w:r>
          </w:p>
        </w:tc>
      </w:tr>
      <w:tr>
        <w:trPr>
          <w:trHeight w:val="216"/>
        </w:trPr>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3"/>
              </w:rPr>
              <w:t>(ii) adding the words “, or holding, acquiring or disposing of Shares or any Hedge Positions relating</w:t>
            </w:r>
          </w:p>
        </w:tc>
      </w:tr>
      <w:tr>
        <w:trPr>
          <w:trHeight w:val="230"/>
        </w:trPr>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rPr>
              <w:t>to,” after the words “obligations under” in clause (Y) thereof.</w:t>
            </w:r>
          </w:p>
        </w:tc>
      </w:tr>
      <w:tr>
        <w:trPr>
          <w:trHeight w:val="432"/>
        </w:trPr>
        <w:tc>
          <w:tcPr>
            <w:tcW w:w="600" w:type="dxa"/>
            <w:vAlign w:val="bottom"/>
          </w:tcPr>
          <w:p>
            <w:pPr>
              <w:ind w:left="320"/>
              <w:spacing w:after="0"/>
              <w:rPr>
                <w:sz w:val="20"/>
                <w:szCs w:val="20"/>
                <w:color w:val="auto"/>
              </w:rPr>
            </w:pPr>
            <w:r>
              <w:rPr>
                <w:rFonts w:ascii="Arial" w:cs="Arial" w:eastAsia="Arial" w:hAnsi="Arial"/>
                <w:sz w:val="18"/>
                <w:szCs w:val="18"/>
                <w:color w:val="auto"/>
              </w:rPr>
              <w:t>(b)</w:t>
            </w:r>
          </w:p>
        </w:tc>
        <w:tc>
          <w:tcPr>
            <w:tcW w:w="2160" w:type="dxa"/>
            <w:vAlign w:val="bottom"/>
          </w:tcPr>
          <w:p>
            <w:pPr>
              <w:ind w:left="60"/>
              <w:spacing w:after="0"/>
              <w:rPr>
                <w:sz w:val="20"/>
                <w:szCs w:val="20"/>
                <w:color w:val="auto"/>
              </w:rPr>
            </w:pPr>
            <w:r>
              <w:rPr>
                <w:rFonts w:ascii="Arial" w:cs="Arial" w:eastAsia="Arial" w:hAnsi="Arial"/>
                <w:sz w:val="18"/>
                <w:szCs w:val="18"/>
                <w:color w:val="auto"/>
              </w:rPr>
              <w:t>Failure to Deliver:</w:t>
            </w:r>
          </w:p>
        </w:tc>
        <w:tc>
          <w:tcPr>
            <w:tcW w:w="7920" w:type="dxa"/>
            <w:vAlign w:val="bottom"/>
          </w:tcPr>
          <w:p>
            <w:pPr>
              <w:ind w:left="580"/>
              <w:spacing w:after="0"/>
              <w:rPr>
                <w:sz w:val="20"/>
                <w:szCs w:val="20"/>
                <w:color w:val="auto"/>
              </w:rPr>
            </w:pPr>
            <w:r>
              <w:rPr>
                <w:rFonts w:ascii="Arial" w:cs="Arial" w:eastAsia="Arial" w:hAnsi="Arial"/>
                <w:sz w:val="18"/>
                <w:szCs w:val="18"/>
                <w:color w:val="auto"/>
              </w:rPr>
              <w:t>Applicable</w:t>
            </w:r>
          </w:p>
        </w:tc>
      </w:tr>
      <w:tr>
        <w:trPr>
          <w:trHeight w:val="432"/>
        </w:trPr>
        <w:tc>
          <w:tcPr>
            <w:tcW w:w="600" w:type="dxa"/>
            <w:vAlign w:val="bottom"/>
          </w:tcPr>
          <w:p>
            <w:pPr>
              <w:ind w:left="320"/>
              <w:spacing w:after="0"/>
              <w:rPr>
                <w:sz w:val="20"/>
                <w:szCs w:val="20"/>
                <w:color w:val="auto"/>
              </w:rPr>
            </w:pPr>
            <w:r>
              <w:rPr>
                <w:rFonts w:ascii="Arial" w:cs="Arial" w:eastAsia="Arial" w:hAnsi="Arial"/>
                <w:sz w:val="18"/>
                <w:szCs w:val="18"/>
                <w:color w:val="auto"/>
              </w:rPr>
              <w:t>(c)</w:t>
            </w:r>
          </w:p>
        </w:tc>
        <w:tc>
          <w:tcPr>
            <w:tcW w:w="2160" w:type="dxa"/>
            <w:vAlign w:val="bottom"/>
          </w:tcPr>
          <w:p>
            <w:pPr>
              <w:ind w:left="60"/>
              <w:spacing w:after="0"/>
              <w:rPr>
                <w:sz w:val="20"/>
                <w:szCs w:val="20"/>
                <w:color w:val="auto"/>
              </w:rPr>
            </w:pPr>
            <w:r>
              <w:rPr>
                <w:rFonts w:ascii="Arial" w:cs="Arial" w:eastAsia="Arial" w:hAnsi="Arial"/>
                <w:sz w:val="18"/>
                <w:szCs w:val="18"/>
                <w:color w:val="auto"/>
              </w:rPr>
              <w:t>Insolvency Filing:</w:t>
            </w:r>
          </w:p>
        </w:tc>
        <w:tc>
          <w:tcPr>
            <w:tcW w:w="7920" w:type="dxa"/>
            <w:vAlign w:val="bottom"/>
          </w:tcPr>
          <w:p>
            <w:pPr>
              <w:ind w:left="580"/>
              <w:spacing w:after="0"/>
              <w:rPr>
                <w:sz w:val="20"/>
                <w:szCs w:val="20"/>
                <w:color w:val="auto"/>
              </w:rPr>
            </w:pPr>
            <w:r>
              <w:rPr>
                <w:rFonts w:ascii="Arial" w:cs="Arial" w:eastAsia="Arial" w:hAnsi="Arial"/>
                <w:sz w:val="18"/>
                <w:szCs w:val="18"/>
                <w:color w:val="auto"/>
              </w:rPr>
              <w:t>Applicable</w:t>
            </w:r>
          </w:p>
        </w:tc>
      </w:tr>
      <w:tr>
        <w:trPr>
          <w:trHeight w:val="432"/>
        </w:trPr>
        <w:tc>
          <w:tcPr>
            <w:tcW w:w="600" w:type="dxa"/>
            <w:vAlign w:val="bottom"/>
          </w:tcPr>
          <w:p>
            <w:pPr>
              <w:ind w:left="320"/>
              <w:spacing w:after="0"/>
              <w:rPr>
                <w:sz w:val="20"/>
                <w:szCs w:val="20"/>
                <w:color w:val="auto"/>
              </w:rPr>
            </w:pPr>
            <w:r>
              <w:rPr>
                <w:rFonts w:ascii="Arial" w:cs="Arial" w:eastAsia="Arial" w:hAnsi="Arial"/>
                <w:sz w:val="18"/>
                <w:szCs w:val="18"/>
                <w:color w:val="auto"/>
              </w:rPr>
              <w:t>(d)</w:t>
            </w:r>
          </w:p>
        </w:tc>
        <w:tc>
          <w:tcPr>
            <w:tcW w:w="2160" w:type="dxa"/>
            <w:vAlign w:val="bottom"/>
          </w:tcPr>
          <w:p>
            <w:pPr>
              <w:ind w:left="60"/>
              <w:spacing w:after="0"/>
              <w:rPr>
                <w:sz w:val="20"/>
                <w:szCs w:val="20"/>
                <w:color w:val="auto"/>
              </w:rPr>
            </w:pPr>
            <w:r>
              <w:rPr>
                <w:rFonts w:ascii="Arial" w:cs="Arial" w:eastAsia="Arial" w:hAnsi="Arial"/>
                <w:sz w:val="18"/>
                <w:szCs w:val="18"/>
                <w:color w:val="auto"/>
              </w:rPr>
              <w:t>Hedging Disruption:</w:t>
            </w:r>
          </w:p>
        </w:tc>
        <w:tc>
          <w:tcPr>
            <w:tcW w:w="7920" w:type="dxa"/>
            <w:vAlign w:val="bottom"/>
          </w:tcPr>
          <w:p>
            <w:pPr>
              <w:ind w:left="5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32"/>
        </w:trPr>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rPr>
              <w:t>(i)  Section 12.9(a)(v) of the Equity Definitions is hereby amended by:</w:t>
            </w:r>
          </w:p>
        </w:tc>
      </w:tr>
    </w:tbl>
    <w:p>
      <w:pPr>
        <w:spacing w:after="0" w:line="202" w:lineRule="exact"/>
        <w:rPr>
          <w:sz w:val="20"/>
          <w:szCs w:val="20"/>
          <w:color w:val="auto"/>
        </w:rPr>
      </w:pPr>
    </w:p>
    <w:p>
      <w:pPr>
        <w:ind w:left="4000" w:right="120" w:hanging="323"/>
        <w:spacing w:after="0" w:line="277" w:lineRule="auto"/>
        <w:rPr>
          <w:sz w:val="20"/>
          <w:szCs w:val="20"/>
          <w:color w:val="auto"/>
        </w:rPr>
      </w:pPr>
      <w:r>
        <w:rPr>
          <w:rFonts w:ascii="Arial" w:cs="Arial" w:eastAsia="Arial" w:hAnsi="Arial"/>
          <w:sz w:val="18"/>
          <w:szCs w:val="18"/>
          <w:color w:val="auto"/>
        </w:rPr>
        <w:t>(a) inserting the following words at the end of clause (A) thereof: “in the manner contemplated by the Hedging Party on the Trade Date” and</w:t>
      </w:r>
    </w:p>
    <w:p>
      <w:pPr>
        <w:spacing w:after="0" w:line="17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  inserting the following sentence at the end of such Section:</w:t>
      </w:r>
    </w:p>
    <w:p>
      <w:pPr>
        <w:spacing w:after="0" w:line="225" w:lineRule="exact"/>
        <w:rPr>
          <w:sz w:val="20"/>
          <w:szCs w:val="20"/>
          <w:color w:val="auto"/>
        </w:rPr>
      </w:pPr>
    </w:p>
    <w:p>
      <w:pPr>
        <w:ind w:left="4000"/>
        <w:spacing w:after="0" w:line="259" w:lineRule="auto"/>
        <w:rPr>
          <w:sz w:val="20"/>
          <w:szCs w:val="20"/>
          <w:color w:val="auto"/>
        </w:rPr>
      </w:pPr>
      <w:r>
        <w:rPr>
          <w:rFonts w:ascii="Arial" w:cs="Arial" w:eastAsia="Arial" w:hAnsi="Arial"/>
          <w:sz w:val="18"/>
          <w:szCs w:val="18"/>
          <w:color w:val="auto"/>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p>
      <w:pPr>
        <w:spacing w:after="0" w:line="187" w:lineRule="exact"/>
        <w:rPr>
          <w:sz w:val="20"/>
          <w:szCs w:val="20"/>
          <w:color w:val="auto"/>
        </w:rPr>
      </w:pPr>
    </w:p>
    <w:p>
      <w:pPr>
        <w:ind w:left="4960" w:right="340" w:hanging="1617"/>
        <w:spacing w:after="0" w:line="528" w:lineRule="auto"/>
        <w:rPr>
          <w:sz w:val="20"/>
          <w:szCs w:val="20"/>
          <w:color w:val="auto"/>
        </w:rPr>
      </w:pPr>
      <w:r>
        <w:rPr>
          <w:rFonts w:ascii="Arial" w:cs="Arial" w:eastAsia="Arial" w:hAnsi="Arial"/>
          <w:sz w:val="18"/>
          <w:szCs w:val="18"/>
          <w:color w:val="auto"/>
        </w:rPr>
        <w:t>(ii) Section 12.9(b)(iii) of the Equity Definitions is hereby amended by inserting in the third line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-90170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900" w:top="341" w:right="299" w:bottom="1440" w:gutter="0" w:footer="0" w:header="0"/>
        </w:sectPr>
      </w:pPr>
    </w:p>
    <w:bookmarkStart w:id="214" w:name="page215"/>
    <w:bookmarkEnd w:id="214"/>
    <w:tbl>
      <w:tblPr>
        <w:tblLayout w:type="fixed"/>
        <w:tblInd w:w="4"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80" w:type="dxa"/>
            <w:vAlign w:val="bottom"/>
          </w:tcPr>
          <w:p>
            <w:pPr>
              <w:ind w:left="660"/>
              <w:spacing w:after="0"/>
              <w:rPr>
                <w:sz w:val="20"/>
                <w:szCs w:val="20"/>
                <w:color w:val="auto"/>
              </w:rPr>
            </w:pPr>
            <w:r>
              <w:rPr>
                <w:rFonts w:ascii="Arial" w:cs="Arial" w:eastAsia="Arial" w:hAnsi="Arial"/>
                <w:sz w:val="18"/>
                <w:szCs w:val="18"/>
                <w:color w:val="auto"/>
                <w:w w:val="91"/>
              </w:rPr>
              <w:t>thereof, after the words “to terminate the Transaction”, the words “or a portion of the Transaction</w:t>
            </w:r>
          </w:p>
        </w:tc>
      </w:tr>
      <w:tr>
        <w:trPr>
          <w:trHeight w:val="230"/>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80" w:type="dxa"/>
            <w:vAlign w:val="bottom"/>
          </w:tcPr>
          <w:p>
            <w:pPr>
              <w:ind w:left="660"/>
              <w:spacing w:after="0"/>
              <w:rPr>
                <w:sz w:val="20"/>
                <w:szCs w:val="20"/>
                <w:color w:val="auto"/>
              </w:rPr>
            </w:pPr>
            <w:r>
              <w:rPr>
                <w:rFonts w:ascii="Arial" w:cs="Arial" w:eastAsia="Arial" w:hAnsi="Arial"/>
                <w:sz w:val="18"/>
                <w:szCs w:val="18"/>
                <w:color w:val="auto"/>
              </w:rPr>
              <w:t>affected by such Hedging Disruption”.</w:t>
            </w:r>
          </w:p>
        </w:tc>
      </w:tr>
      <w:tr>
        <w:trPr>
          <w:trHeight w:val="432"/>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(e)  Increased Cost of Hedging:</w:t>
            </w:r>
          </w:p>
        </w:tc>
        <w:tc>
          <w:tcPr>
            <w:tcW w:w="7680" w:type="dxa"/>
            <w:vAlign w:val="bottom"/>
          </w:tcPr>
          <w:p>
            <w:pPr>
              <w:ind w:left="360"/>
              <w:spacing w:after="0"/>
              <w:rPr>
                <w:sz w:val="20"/>
                <w:szCs w:val="20"/>
                <w:color w:val="auto"/>
              </w:rPr>
            </w:pPr>
            <w:r>
              <w:rPr>
                <w:rFonts w:ascii="Arial" w:cs="Arial" w:eastAsia="Arial" w:hAnsi="Arial"/>
                <w:sz w:val="18"/>
                <w:szCs w:val="18"/>
                <w:color w:val="auto"/>
              </w:rPr>
              <w:t>Applicable</w:t>
            </w:r>
          </w:p>
        </w:tc>
      </w:tr>
      <w:tr>
        <w:trPr>
          <w:trHeight w:val="432"/>
        </w:trPr>
        <w:tc>
          <w:tcPr>
            <w:tcW w:w="3000" w:type="dxa"/>
            <w:vAlign w:val="bottom"/>
            <w:gridSpan w:val="6"/>
          </w:tcPr>
          <w:p>
            <w:pPr>
              <w:spacing w:after="0"/>
              <w:rPr>
                <w:sz w:val="20"/>
                <w:szCs w:val="20"/>
                <w:color w:val="auto"/>
              </w:rPr>
            </w:pPr>
            <w:r>
              <w:rPr>
                <w:rFonts w:ascii="Arial" w:cs="Arial" w:eastAsia="Arial" w:hAnsi="Arial"/>
                <w:sz w:val="18"/>
                <w:szCs w:val="18"/>
                <w:color w:val="auto"/>
              </w:rPr>
              <w:t>Hedging Party:</w:t>
            </w:r>
          </w:p>
        </w:tc>
        <w:tc>
          <w:tcPr>
            <w:tcW w:w="7680" w:type="dxa"/>
            <w:vAlign w:val="bottom"/>
          </w:tcPr>
          <w:p>
            <w:pPr>
              <w:ind w:left="360"/>
              <w:spacing w:after="0"/>
              <w:rPr>
                <w:sz w:val="20"/>
                <w:szCs w:val="20"/>
                <w:color w:val="auto"/>
              </w:rPr>
            </w:pPr>
            <w:r>
              <w:rPr>
                <w:rFonts w:ascii="Arial" w:cs="Arial" w:eastAsia="Arial" w:hAnsi="Arial"/>
                <w:sz w:val="18"/>
                <w:szCs w:val="18"/>
                <w:color w:val="auto"/>
              </w:rPr>
              <w:t>Dealer</w:t>
            </w:r>
          </w:p>
        </w:tc>
      </w:tr>
      <w:tr>
        <w:trPr>
          <w:trHeight w:val="432"/>
        </w:trPr>
        <w:tc>
          <w:tcPr>
            <w:tcW w:w="3000" w:type="dxa"/>
            <w:vAlign w:val="bottom"/>
            <w:gridSpan w:val="6"/>
          </w:tcPr>
          <w:p>
            <w:pPr>
              <w:spacing w:after="0"/>
              <w:rPr>
                <w:sz w:val="20"/>
                <w:szCs w:val="20"/>
                <w:color w:val="auto"/>
              </w:rPr>
            </w:pPr>
            <w:r>
              <w:rPr>
                <w:rFonts w:ascii="Arial" w:cs="Arial" w:eastAsia="Arial" w:hAnsi="Arial"/>
                <w:sz w:val="18"/>
                <w:szCs w:val="18"/>
                <w:color w:val="auto"/>
              </w:rPr>
              <w:t>Determining Party:</w:t>
            </w:r>
          </w:p>
        </w:tc>
        <w:tc>
          <w:tcPr>
            <w:tcW w:w="7680" w:type="dxa"/>
            <w:vAlign w:val="bottom"/>
          </w:tcPr>
          <w:p>
            <w:pPr>
              <w:ind w:left="360"/>
              <w:spacing w:after="0"/>
              <w:rPr>
                <w:sz w:val="20"/>
                <w:szCs w:val="20"/>
                <w:color w:val="auto"/>
              </w:rPr>
            </w:pPr>
            <w:r>
              <w:rPr>
                <w:rFonts w:ascii="Arial" w:cs="Arial" w:eastAsia="Arial" w:hAnsi="Arial"/>
                <w:sz w:val="18"/>
                <w:szCs w:val="18"/>
                <w:color w:val="auto"/>
              </w:rPr>
              <w:t>Dealer</w:t>
            </w:r>
          </w:p>
        </w:tc>
      </w:tr>
      <w:tr>
        <w:trPr>
          <w:trHeight w:val="432"/>
        </w:trPr>
        <w:tc>
          <w:tcPr>
            <w:tcW w:w="3000" w:type="dxa"/>
            <w:vAlign w:val="bottom"/>
            <w:gridSpan w:val="6"/>
          </w:tcPr>
          <w:p>
            <w:pPr>
              <w:spacing w:after="0"/>
              <w:rPr>
                <w:sz w:val="20"/>
                <w:szCs w:val="20"/>
                <w:color w:val="auto"/>
              </w:rPr>
            </w:pPr>
            <w:r>
              <w:rPr>
                <w:rFonts w:ascii="Arial" w:cs="Arial" w:eastAsia="Arial" w:hAnsi="Arial"/>
                <w:sz w:val="18"/>
                <w:szCs w:val="18"/>
                <w:color w:val="auto"/>
              </w:rPr>
              <w:t>Non-Reliance:</w:t>
            </w:r>
          </w:p>
        </w:tc>
        <w:tc>
          <w:tcPr>
            <w:tcW w:w="7680" w:type="dxa"/>
            <w:vAlign w:val="bottom"/>
          </w:tcPr>
          <w:p>
            <w:pPr>
              <w:ind w:left="360"/>
              <w:spacing w:after="0"/>
              <w:rPr>
                <w:sz w:val="20"/>
                <w:szCs w:val="20"/>
                <w:color w:val="auto"/>
              </w:rPr>
            </w:pPr>
            <w:r>
              <w:rPr>
                <w:rFonts w:ascii="Arial" w:cs="Arial" w:eastAsia="Arial" w:hAnsi="Arial"/>
                <w:sz w:val="18"/>
                <w:szCs w:val="18"/>
                <w:color w:val="auto"/>
              </w:rPr>
              <w:t>Applicable</w:t>
            </w:r>
          </w:p>
        </w:tc>
      </w:tr>
      <w:tr>
        <w:trPr>
          <w:trHeight w:val="418"/>
        </w:trPr>
        <w:tc>
          <w:tcPr>
            <w:tcW w:w="3000" w:type="dxa"/>
            <w:vAlign w:val="bottom"/>
            <w:gridSpan w:val="6"/>
          </w:tcPr>
          <w:p>
            <w:pPr>
              <w:spacing w:after="0"/>
              <w:rPr>
                <w:sz w:val="20"/>
                <w:szCs w:val="20"/>
                <w:color w:val="auto"/>
              </w:rPr>
            </w:pPr>
            <w:r>
              <w:rPr>
                <w:rFonts w:ascii="Arial" w:cs="Arial" w:eastAsia="Arial" w:hAnsi="Arial"/>
                <w:sz w:val="18"/>
                <w:szCs w:val="18"/>
                <w:color w:val="auto"/>
              </w:rPr>
              <w:t>Agreements and Acknowledgments</w:t>
            </w:r>
          </w:p>
        </w:tc>
        <w:tc>
          <w:tcPr>
            <w:tcW w:w="7680" w:type="dxa"/>
            <w:vAlign w:val="bottom"/>
          </w:tcPr>
          <w:p>
            <w:pPr>
              <w:ind w:left="360"/>
              <w:spacing w:after="0"/>
              <w:rPr>
                <w:sz w:val="20"/>
                <w:szCs w:val="20"/>
                <w:color w:val="auto"/>
              </w:rPr>
            </w:pPr>
            <w:r>
              <w:rPr>
                <w:rFonts w:ascii="Arial" w:cs="Arial" w:eastAsia="Arial" w:hAnsi="Arial"/>
                <w:sz w:val="18"/>
                <w:szCs w:val="18"/>
                <w:color w:val="auto"/>
              </w:rPr>
              <w:t>Applicable</w:t>
            </w:r>
          </w:p>
        </w:tc>
      </w:tr>
      <w:tr>
        <w:trPr>
          <w:trHeight w:val="230"/>
        </w:trPr>
        <w:tc>
          <w:tcPr>
            <w:tcW w:w="3000" w:type="dxa"/>
            <w:vAlign w:val="bottom"/>
            <w:gridSpan w:val="6"/>
          </w:tcPr>
          <w:p>
            <w:pPr>
              <w:spacing w:after="0"/>
              <w:rPr>
                <w:sz w:val="20"/>
                <w:szCs w:val="20"/>
                <w:color w:val="auto"/>
              </w:rPr>
            </w:pPr>
            <w:r>
              <w:rPr>
                <w:rFonts w:ascii="Arial" w:cs="Arial" w:eastAsia="Arial" w:hAnsi="Arial"/>
                <w:sz w:val="18"/>
                <w:szCs w:val="18"/>
                <w:color w:val="auto"/>
              </w:rPr>
              <w:t>Regarding Hedging Activities:</w:t>
            </w:r>
          </w:p>
        </w:tc>
        <w:tc>
          <w:tcPr>
            <w:tcW w:w="7680" w:type="dxa"/>
            <w:vAlign w:val="bottom"/>
          </w:tcPr>
          <w:p>
            <w:pPr>
              <w:spacing w:after="0"/>
              <w:rPr>
                <w:sz w:val="20"/>
                <w:szCs w:val="20"/>
                <w:color w:val="auto"/>
              </w:rPr>
            </w:pPr>
          </w:p>
        </w:tc>
      </w:tr>
      <w:tr>
        <w:trPr>
          <w:trHeight w:val="432"/>
        </w:trPr>
        <w:tc>
          <w:tcPr>
            <w:tcW w:w="3000" w:type="dxa"/>
            <w:vAlign w:val="bottom"/>
            <w:gridSpan w:val="6"/>
          </w:tcPr>
          <w:p>
            <w:pPr>
              <w:spacing w:after="0"/>
              <w:rPr>
                <w:sz w:val="20"/>
                <w:szCs w:val="20"/>
                <w:color w:val="auto"/>
              </w:rPr>
            </w:pPr>
            <w:r>
              <w:rPr>
                <w:rFonts w:ascii="Arial" w:cs="Arial" w:eastAsia="Arial" w:hAnsi="Arial"/>
                <w:sz w:val="18"/>
                <w:szCs w:val="18"/>
                <w:color w:val="auto"/>
              </w:rPr>
              <w:t>Additional Acknowledgments:</w:t>
            </w:r>
          </w:p>
        </w:tc>
        <w:tc>
          <w:tcPr>
            <w:tcW w:w="7680" w:type="dxa"/>
            <w:vAlign w:val="bottom"/>
          </w:tcPr>
          <w:p>
            <w:pPr>
              <w:ind w:left="360"/>
              <w:spacing w:after="0"/>
              <w:rPr>
                <w:sz w:val="20"/>
                <w:szCs w:val="20"/>
                <w:color w:val="auto"/>
              </w:rPr>
            </w:pPr>
            <w:r>
              <w:rPr>
                <w:rFonts w:ascii="Arial" w:cs="Arial" w:eastAsia="Arial" w:hAnsi="Arial"/>
                <w:sz w:val="18"/>
                <w:szCs w:val="18"/>
                <w:color w:val="auto"/>
              </w:rPr>
              <w:t>Applicable</w:t>
            </w:r>
          </w:p>
        </w:tc>
      </w:tr>
      <w:tr>
        <w:trPr>
          <w:trHeight w:val="392"/>
        </w:trPr>
        <w:tc>
          <w:tcPr>
            <w:tcW w:w="220" w:type="dxa"/>
            <w:vAlign w:val="bottom"/>
          </w:tcPr>
          <w:p>
            <w:pPr>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Calculation Agent:</w:t>
            </w:r>
          </w:p>
        </w:tc>
        <w:tc>
          <w:tcPr>
            <w:tcW w:w="7680" w:type="dxa"/>
            <w:vAlign w:val="bottom"/>
          </w:tcPr>
          <w:p>
            <w:pPr>
              <w:ind w:left="360"/>
              <w:spacing w:after="0"/>
              <w:rPr>
                <w:sz w:val="20"/>
                <w:szCs w:val="20"/>
                <w:color w:val="auto"/>
              </w:rPr>
            </w:pPr>
            <w:r>
              <w:rPr>
                <w:rFonts w:ascii="Arial" w:cs="Arial" w:eastAsia="Arial" w:hAnsi="Arial"/>
                <w:sz w:val="18"/>
                <w:szCs w:val="18"/>
                <w:color w:val="auto"/>
              </w:rPr>
              <w:t>Dealer.</w:t>
            </w:r>
          </w:p>
        </w:tc>
      </w:tr>
      <w:tr>
        <w:trPr>
          <w:trHeight w:val="412"/>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Account Details:</w:t>
            </w:r>
          </w:p>
        </w:tc>
        <w:tc>
          <w:tcPr>
            <w:tcW w:w="136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453"/>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Dealer Payment Instructions:</w:t>
            </w:r>
          </w:p>
        </w:tc>
        <w:tc>
          <w:tcPr>
            <w:tcW w:w="7680" w:type="dxa"/>
            <w:vAlign w:val="bottom"/>
          </w:tcPr>
          <w:p>
            <w:pPr>
              <w:spacing w:after="0"/>
              <w:rPr>
                <w:sz w:val="24"/>
                <w:szCs w:val="24"/>
                <w:color w:val="auto"/>
              </w:rPr>
            </w:pPr>
          </w:p>
        </w:tc>
      </w:tr>
    </w:tbl>
    <w:p>
      <w:pPr>
        <w:spacing w:after="0" w:line="20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Chase Manhattan Bank New York</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For A/C Goldman Sachs &amp; Co. LLC</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A/C #930-1-011483</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ABA: 021-000021</w:t>
      </w:r>
    </w:p>
    <w:p>
      <w:pPr>
        <w:spacing w:after="0" w:line="211" w:lineRule="exact"/>
        <w:rPr>
          <w:sz w:val="20"/>
          <w:szCs w:val="20"/>
          <w:color w:val="auto"/>
        </w:rPr>
      </w:pPr>
    </w:p>
    <w:p>
      <w:pPr>
        <w:ind w:left="324"/>
        <w:spacing w:after="0"/>
        <w:rPr>
          <w:sz w:val="20"/>
          <w:szCs w:val="20"/>
          <w:color w:val="auto"/>
        </w:rPr>
      </w:pPr>
      <w:r>
        <w:rPr>
          <w:rFonts w:ascii="Arial" w:cs="Arial" w:eastAsia="Arial" w:hAnsi="Arial"/>
          <w:sz w:val="18"/>
          <w:szCs w:val="18"/>
          <w:color w:val="auto"/>
        </w:rPr>
        <w:t>Counterparty Payment Instructions: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To be provided by Counterparty.</w:t>
      </w:r>
    </w:p>
    <w:p>
      <w:pPr>
        <w:spacing w:after="0" w:line="225" w:lineRule="exact"/>
        <w:rPr>
          <w:sz w:val="20"/>
          <w:szCs w:val="20"/>
          <w:color w:val="auto"/>
        </w:rPr>
      </w:pPr>
    </w:p>
    <w:p>
      <w:pPr>
        <w:ind w:left="364" w:hanging="364"/>
        <w:spacing w:after="0"/>
        <w:tabs>
          <w:tab w:leader="none" w:pos="36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color w:val="auto"/>
        </w:rPr>
        <w:t>The Office of Dealer for the Transaction is: 200 West Street, New York, New York 10282-2198.</w:t>
      </w:r>
    </w:p>
    <w:p>
      <w:pPr>
        <w:spacing w:after="0" w:line="225"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color w:val="auto"/>
        </w:rPr>
        <w:t>The Office of Counterparty for the Transaction is: Inapplicable, Counterparty is not a Multibranch Party.</w:t>
      </w:r>
    </w:p>
    <w:p>
      <w:pPr>
        <w:spacing w:after="0" w:line="225" w:lineRule="exact"/>
        <w:rPr>
          <w:rFonts w:ascii="Arial" w:cs="Arial" w:eastAsia="Arial" w:hAnsi="Arial"/>
          <w:sz w:val="18"/>
          <w:szCs w:val="18"/>
          <w:color w:val="auto"/>
        </w:rPr>
      </w:pPr>
    </w:p>
    <w:p>
      <w:pPr>
        <w:ind w:left="364" w:hanging="364"/>
        <w:spacing w:after="0"/>
        <w:tabs>
          <w:tab w:leader="none" w:pos="36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sz w:val="20"/>
          <w:szCs w:val="20"/>
          <w:color w:val="auto"/>
        </w:rPr>
      </w:pPr>
    </w:p>
    <w:p>
      <w:pPr>
        <w:ind w:left="704" w:hanging="704"/>
        <w:spacing w:after="0"/>
        <w:tabs>
          <w:tab w:leader="none" w:pos="70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13200 Pioneer Trail, Suite 150</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Eden Prarie, MN 55347</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Bert Jameson, Treasurer</w:t>
      </w:r>
    </w:p>
    <w:p>
      <w:pPr>
        <w:spacing w:after="0" w:line="211" w:lineRule="exact"/>
        <w:rPr>
          <w:sz w:val="20"/>
          <w:szCs w:val="20"/>
          <w:color w:val="auto"/>
        </w:rPr>
      </w:pPr>
    </w:p>
    <w:p>
      <w:pPr>
        <w:ind w:left="664" w:hanging="664"/>
        <w:spacing w:after="0"/>
        <w:tabs>
          <w:tab w:leader="none" w:pos="6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ectPr>
          <w:pgSz w:w="11900" w:h="16838" w:orient="portrait"/>
          <w:cols w:equalWidth="0" w:num="1">
            <w:col w:w="10684"/>
          </w:cols>
          <w:pgMar w:left="896" w:top="341" w:right="319" w:bottom="1440" w:gutter="0" w:footer="0" w:header="0"/>
        </w:sectPr>
      </w:pP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644"/>
        <w:spacing w:after="0"/>
        <w:rPr>
          <w:sz w:val="20"/>
          <w:szCs w:val="20"/>
          <w:color w:val="auto"/>
        </w:rPr>
      </w:pPr>
      <w:r>
        <w:rPr>
          <w:rFonts w:ascii="Arial" w:cs="Arial" w:eastAsia="Arial" w:hAnsi="Arial"/>
          <w:sz w:val="17"/>
          <w:szCs w:val="17"/>
          <w:color w:val="auto"/>
        </w:rPr>
        <w:t>Facsimile:</w:t>
      </w:r>
    </w:p>
    <w:p>
      <w:pPr>
        <w:spacing w:after="0" w:line="2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10282-2198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Michael Voris,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212-902-4895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212-291-5027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michael.voris@gs.com</w:t>
      </w:r>
    </w:p>
    <w:p>
      <w:pPr>
        <w:spacing w:after="0" w:line="200" w:lineRule="exact"/>
        <w:rPr>
          <w:sz w:val="20"/>
          <w:szCs w:val="20"/>
          <w:color w:val="auto"/>
        </w:rPr>
      </w:pPr>
    </w:p>
    <w:p>
      <w:pPr>
        <w:sectPr>
          <w:pgSz w:w="11900" w:h="16838" w:orient="portrait"/>
          <w:cols w:equalWidth="0" w:num="2">
            <w:col w:w="2064" w:space="720"/>
            <w:col w:w="7900"/>
          </w:cols>
          <w:pgMar w:left="896" w:top="341" w:right="319" w:bottom="1440" w:gutter="0" w:footer="0" w:header="0"/>
          <w:type w:val="continuous"/>
        </w:sectPr>
      </w:pPr>
    </w:p>
    <w:p>
      <w:pPr>
        <w:spacing w:after="0" w:line="11"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0684"/>
          </w:cols>
          <w:pgMar w:left="896" w:top="341" w:right="319" w:bottom="1440" w:gutter="0" w:footer="0" w:header="0"/>
          <w:type w:val="continuous"/>
        </w:sectPr>
      </w:pPr>
    </w:p>
    <w:p>
      <w:pPr>
        <w:spacing w:after="0" w:line="248" w:lineRule="exact"/>
        <w:rPr>
          <w:sz w:val="20"/>
          <w:szCs w:val="20"/>
          <w:color w:val="auto"/>
        </w:rPr>
      </w:pPr>
    </w:p>
    <w:p>
      <w:pPr>
        <w:ind w:left="644"/>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Adam Bilali</w:t>
      </w:r>
    </w:p>
    <w:p>
      <w:pPr>
        <w:spacing w:after="0" w:line="200" w:lineRule="exact"/>
        <w:rPr>
          <w:sz w:val="20"/>
          <w:szCs w:val="20"/>
          <w:color w:val="auto"/>
        </w:rPr>
      </w:pPr>
    </w:p>
    <w:p>
      <w:pPr>
        <w:sectPr>
          <w:pgSz w:w="11900" w:h="16838" w:orient="portrait"/>
          <w:cols w:equalWidth="0" w:num="2">
            <w:col w:w="1384" w:space="560"/>
            <w:col w:w="8740"/>
          </w:cols>
          <w:pgMar w:left="896" w:top="341" w:right="319" w:bottom="1440" w:gutter="0" w:footer="0" w:header="0"/>
          <w:type w:val="continuous"/>
        </w:sectPr>
      </w:pPr>
    </w:p>
    <w:p>
      <w:pPr>
        <w:spacing w:after="0" w:line="37"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95885</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type w:val="continuous"/>
        </w:sectPr>
      </w:pPr>
    </w:p>
    <w:bookmarkStart w:id="215" w:name="page216"/>
    <w:bookmarkEnd w:id="215"/>
    <w:p>
      <w:pPr>
        <w:ind w:left="1280"/>
        <w:spacing w:after="0"/>
        <w:tabs>
          <w:tab w:leader="none" w:pos="25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212-357-2021</w:t>
      </w:r>
    </w:p>
    <w:p>
      <w:pPr>
        <w:spacing w:after="0" w:line="23"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adam.bilali@gs.com</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And email notification to the following address:</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Eq-derivs-notifications@am.ibd.gs.com</w:t>
      </w:r>
    </w:p>
    <w:p>
      <w:pPr>
        <w:spacing w:after="0" w:line="211" w:lineRule="exact"/>
        <w:rPr>
          <w:sz w:val="20"/>
          <w:szCs w:val="20"/>
          <w:color w:val="auto"/>
        </w:rPr>
      </w:pPr>
    </w:p>
    <w:p>
      <w:pPr>
        <w:ind w:left="1000" w:hanging="364"/>
        <w:spacing w:after="0"/>
        <w:tabs>
          <w:tab w:leader="none" w:pos="100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left="-20" w:right="460" w:firstLine="656"/>
        <w:spacing w:after="0" w:line="277" w:lineRule="auto"/>
        <w:tabs>
          <w:tab w:leader="none" w:pos="132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40" w:firstLine="645"/>
        <w:spacing w:after="0" w:line="255" w:lineRule="auto"/>
        <w:tabs>
          <w:tab w:leader="none" w:pos="199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jc w:val="both"/>
        <w:ind w:left="640" w:right="20" w:firstLine="645"/>
        <w:spacing w:after="0" w:line="279" w:lineRule="auto"/>
        <w:tabs>
          <w:tab w:leader="none" w:pos="2003"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 On the Trade Date, the Shares or securities that are convertible into, or exchangeable or exercisable for Shares, are not subject to a “restricted period,” as such term is defined in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spacing w:after="0" w:line="171" w:lineRule="exact"/>
        <w:rPr>
          <w:rFonts w:ascii="Arial" w:cs="Arial" w:eastAsia="Arial" w:hAnsi="Arial"/>
          <w:sz w:val="17"/>
          <w:szCs w:val="17"/>
          <w:color w:val="auto"/>
        </w:rPr>
      </w:pPr>
    </w:p>
    <w:p>
      <w:pPr>
        <w:ind w:left="640" w:firstLine="645"/>
        <w:spacing w:after="0" w:line="257" w:lineRule="auto"/>
        <w:tabs>
          <w:tab w:leader="none" w:pos="200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188" w:lineRule="exact"/>
        <w:rPr>
          <w:rFonts w:ascii="Arial" w:cs="Arial" w:eastAsia="Arial" w:hAnsi="Arial"/>
          <w:sz w:val="18"/>
          <w:szCs w:val="18"/>
          <w:color w:val="auto"/>
        </w:rPr>
      </w:pPr>
    </w:p>
    <w:p>
      <w:pPr>
        <w:ind w:left="640" w:right="280" w:firstLine="645"/>
        <w:spacing w:after="0" w:line="277" w:lineRule="auto"/>
        <w:tabs>
          <w:tab w:leader="none" w:pos="199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40" w:right="240" w:firstLine="645"/>
        <w:spacing w:after="0" w:line="297" w:lineRule="auto"/>
        <w:tabs>
          <w:tab w:leader="none" w:pos="1993" w:val="left"/>
        </w:tabs>
        <w:numPr>
          <w:ilvl w:val="1"/>
          <w:numId w:val="233"/>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490.1110 of the Iowa Business Corporation Act as an “interested stockholder”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spacing w:after="0" w:line="158" w:lineRule="exact"/>
        <w:rPr>
          <w:rFonts w:ascii="Arial" w:cs="Arial" w:eastAsia="Arial" w:hAnsi="Arial"/>
          <w:sz w:val="16"/>
          <w:szCs w:val="16"/>
          <w:color w:val="auto"/>
        </w:rPr>
      </w:pPr>
    </w:p>
    <w:p>
      <w:pPr>
        <w:ind w:left="640" w:right="40" w:firstLine="645"/>
        <w:spacing w:after="0" w:line="264" w:lineRule="auto"/>
        <w:tabs>
          <w:tab w:leader="none" w:pos="199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40" w:right="700" w:firstLine="645"/>
        <w:spacing w:after="0" w:line="277" w:lineRule="auto"/>
        <w:tabs>
          <w:tab w:leader="none" w:pos="200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16" w:name="page217"/>
    <w:bookmarkEnd w:id="216"/>
    <w:p>
      <w:pPr>
        <w:ind w:left="640" w:right="300" w:firstLine="645"/>
        <w:spacing w:after="0" w:line="286" w:lineRule="auto"/>
        <w:tabs>
          <w:tab w:leader="none" w:pos="200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On each of the Trade Date and the Premium Payment Date, Counterparty is not “insolvent” (as such term is defined under Section 101(32) of the U.S. Bankruptcy Code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and Counterparty would be able to purchase the Number of Shares in compliance with the laws of the jurisdiction of Counterparty’s incorporation.</w:t>
      </w:r>
    </w:p>
    <w:p>
      <w:pPr>
        <w:spacing w:after="0" w:line="165" w:lineRule="exact"/>
        <w:rPr>
          <w:rFonts w:ascii="Arial" w:cs="Arial" w:eastAsia="Arial" w:hAnsi="Arial"/>
          <w:sz w:val="17"/>
          <w:szCs w:val="17"/>
          <w:color w:val="auto"/>
        </w:rPr>
      </w:pPr>
    </w:p>
    <w:p>
      <w:pPr>
        <w:jc w:val="both"/>
        <w:ind w:left="640" w:right="80" w:firstLine="645"/>
        <w:spacing w:after="0" w:line="259" w:lineRule="auto"/>
        <w:tabs>
          <w:tab w:leader="none" w:pos="199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representations and warranties of Counterparty set forth in Section 3 of the Agreement and Section 1 of the Purchase Agreement, dated as of October 29, 2019, between Goldman Sachs &amp; Co. LLC and BMO Capital Markets Corp. as the Representatives and Counterparty (the “</w:t>
      </w:r>
      <w:r>
        <w:rPr>
          <w:rFonts w:ascii="Arial" w:cs="Arial" w:eastAsia="Arial" w:hAnsi="Arial"/>
          <w:sz w:val="18"/>
          <w:szCs w:val="18"/>
          <w:b w:val="1"/>
          <w:bCs w:val="1"/>
          <w:color w:val="auto"/>
        </w:rPr>
        <w:t>Purchase Agreement</w:t>
      </w:r>
      <w:r>
        <w:rPr>
          <w:rFonts w:ascii="Arial" w:cs="Arial" w:eastAsia="Arial" w:hAnsi="Arial"/>
          <w:sz w:val="18"/>
          <w:szCs w:val="18"/>
          <w:color w:val="auto"/>
        </w:rPr>
        <w:t>”) are true and correct as of the Trade Date and the Effective Date and are hereby deemed to be repeated to Dealer as if set forth herein.</w:t>
      </w:r>
    </w:p>
    <w:p>
      <w:pPr>
        <w:spacing w:after="0" w:line="186" w:lineRule="exact"/>
        <w:rPr>
          <w:rFonts w:ascii="Arial" w:cs="Arial" w:eastAsia="Arial" w:hAnsi="Arial"/>
          <w:sz w:val="18"/>
          <w:szCs w:val="18"/>
          <w:color w:val="auto"/>
        </w:rPr>
      </w:pPr>
    </w:p>
    <w:p>
      <w:pPr>
        <w:ind w:left="640" w:right="100" w:firstLine="645"/>
        <w:spacing w:after="0" w:line="264" w:lineRule="auto"/>
        <w:tabs>
          <w:tab w:leader="none" w:pos="199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81" w:lineRule="exact"/>
        <w:rPr>
          <w:rFonts w:ascii="Arial" w:cs="Arial" w:eastAsia="Arial" w:hAnsi="Arial"/>
          <w:sz w:val="18"/>
          <w:szCs w:val="18"/>
          <w:color w:val="auto"/>
        </w:rPr>
      </w:pPr>
    </w:p>
    <w:p>
      <w:pPr>
        <w:jc w:val="both"/>
        <w:ind w:left="640" w:right="180" w:firstLine="645"/>
        <w:spacing w:after="0" w:line="288" w:lineRule="auto"/>
        <w:tabs>
          <w:tab w:leader="none" w:pos="199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w:t>
      </w:r>
    </w:p>
    <w:p>
      <w:pPr>
        <w:ind w:left="640"/>
        <w:spacing w:after="0"/>
        <w:rPr>
          <w:sz w:val="20"/>
          <w:szCs w:val="20"/>
          <w:color w:val="auto"/>
        </w:rPr>
      </w:pPr>
      <w:r>
        <w:rPr>
          <w:rFonts w:ascii="Arial" w:cs="Arial" w:eastAsia="Arial" w:hAnsi="Arial"/>
          <w:sz w:val="16"/>
          <w:szCs w:val="16"/>
          <w:color w:val="auto"/>
        </w:rPr>
        <w:t>affiliates or associated persons with regard to any such securities transactions or strategies unless it has otherwise notified Dealer in writing; and</w:t>
      </w:r>
    </w:p>
    <w:p>
      <w:pPr>
        <w:spacing w:after="0" w:line="32" w:lineRule="exact"/>
        <w:rPr>
          <w:sz w:val="20"/>
          <w:szCs w:val="20"/>
          <w:color w:val="auto"/>
        </w:rPr>
      </w:pPr>
    </w:p>
    <w:p>
      <w:pPr>
        <w:ind w:left="640" w:right="420" w:hanging="4"/>
        <w:spacing w:after="0" w:line="261" w:lineRule="auto"/>
        <w:tabs>
          <w:tab w:leader="none" w:pos="92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has total assets of at least $50 million. Counterparty will notify Dealer if the immediately preceding statement contained in this Section 7(a) (xi) ceases to be true.</w:t>
      </w:r>
    </w:p>
    <w:p>
      <w:pPr>
        <w:spacing w:after="0" w:line="183" w:lineRule="exact"/>
        <w:rPr>
          <w:rFonts w:ascii="Arial" w:cs="Arial" w:eastAsia="Arial" w:hAnsi="Arial"/>
          <w:sz w:val="18"/>
          <w:szCs w:val="18"/>
          <w:color w:val="auto"/>
        </w:rPr>
      </w:pPr>
    </w:p>
    <w:p>
      <w:pPr>
        <w:ind w:left="640" w:right="40" w:firstLine="645"/>
        <w:spacing w:after="0" w:line="272" w:lineRule="auto"/>
        <w:tabs>
          <w:tab w:leader="none" w:pos="2003" w:val="left"/>
        </w:tabs>
        <w:numPr>
          <w:ilvl w:val="1"/>
          <w:numId w:val="235"/>
        </w:numPr>
        <w:rPr>
          <w:rFonts w:ascii="Arial" w:cs="Arial" w:eastAsia="Arial" w:hAnsi="Arial"/>
          <w:sz w:val="17"/>
          <w:szCs w:val="17"/>
          <w:color w:val="auto"/>
        </w:rPr>
      </w:pPr>
      <w:r>
        <w:rPr>
          <w:rFonts w:ascii="Arial" w:cs="Arial" w:eastAsia="Arial" w:hAnsi="Arial"/>
          <w:sz w:val="17"/>
          <w:szCs w:val="17"/>
          <w:color w:val="auto"/>
        </w:rPr>
        <w:t>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31, 2019,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78" w:lineRule="exact"/>
        <w:rPr>
          <w:sz w:val="20"/>
          <w:szCs w:val="20"/>
          <w:color w:val="auto"/>
        </w:rPr>
      </w:pPr>
    </w:p>
    <w:p>
      <w:pPr>
        <w:ind w:left="-20" w:firstLine="656"/>
        <w:spacing w:after="0" w:line="264" w:lineRule="auto"/>
        <w:tabs>
          <w:tab w:leader="none" w:pos="133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left="-20" w:right="20" w:firstLine="656"/>
        <w:spacing w:after="0" w:line="287" w:lineRule="auto"/>
        <w:tabs>
          <w:tab w:leader="none" w:pos="132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17" w:name="page218"/>
    <w:bookmarkEnd w:id="217"/>
    <w:p>
      <w:pPr>
        <w:ind w:left="-20" w:right="140" w:firstLine="656"/>
        <w:spacing w:after="0" w:line="273" w:lineRule="auto"/>
        <w:tabs>
          <w:tab w:leader="none" w:pos="133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178" w:lineRule="exact"/>
        <w:rPr>
          <w:rFonts w:ascii="Arial" w:cs="Arial" w:eastAsia="Arial" w:hAnsi="Arial"/>
          <w:sz w:val="17"/>
          <w:szCs w:val="17"/>
          <w:color w:val="auto"/>
        </w:rPr>
      </w:pPr>
    </w:p>
    <w:p>
      <w:pPr>
        <w:ind w:left="-20" w:right="60" w:firstLine="656"/>
        <w:spacing w:after="0" w:line="259" w:lineRule="auto"/>
        <w:tabs>
          <w:tab w:leader="none" w:pos="132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spacing w:after="0" w:line="186" w:lineRule="exact"/>
        <w:rPr>
          <w:rFonts w:ascii="Arial" w:cs="Arial" w:eastAsia="Arial" w:hAnsi="Arial"/>
          <w:sz w:val="18"/>
          <w:szCs w:val="18"/>
          <w:color w:val="auto"/>
        </w:rPr>
      </w:pPr>
    </w:p>
    <w:p>
      <w:pPr>
        <w:ind w:left="-20" w:right="100" w:firstLine="656"/>
        <w:spacing w:after="0" w:line="312" w:lineRule="auto"/>
        <w:tabs>
          <w:tab w:leader="none" w:pos="134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142" w:lineRule="exact"/>
        <w:rPr>
          <w:rFonts w:ascii="Arial" w:cs="Arial" w:eastAsia="Arial" w:hAnsi="Arial"/>
          <w:sz w:val="16"/>
          <w:szCs w:val="16"/>
          <w:color w:val="auto"/>
        </w:rPr>
      </w:pPr>
    </w:p>
    <w:p>
      <w:pPr>
        <w:ind w:left="-20" w:right="100" w:firstLine="656"/>
        <w:spacing w:after="0" w:line="347" w:lineRule="auto"/>
        <w:tabs>
          <w:tab w:leader="none" w:pos="133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Counterparty represents and warrants that 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20" w:right="160" w:firstLine="656"/>
        <w:spacing w:after="0" w:line="277" w:lineRule="auto"/>
        <w:tabs>
          <w:tab w:leader="none" w:pos="133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rFonts w:ascii="Arial" w:cs="Arial" w:eastAsia="Arial" w:hAnsi="Arial"/>
          <w:sz w:val="18"/>
          <w:szCs w:val="18"/>
          <w:color w:val="auto"/>
        </w:rPr>
      </w:pPr>
    </w:p>
    <w:p>
      <w:pPr>
        <w:ind w:left="-20" w:right="20" w:firstLine="656"/>
        <w:spacing w:after="0" w:line="279" w:lineRule="auto"/>
        <w:tabs>
          <w:tab w:leader="none" w:pos="133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Counterparty represents and warrants that the assets used in the Transaction (i) are not assets of any “plan” (as such term is defined in Section 4975 of the U.S. Internal Revenue Code (the “</w:t>
      </w:r>
      <w:r>
        <w:rPr>
          <w:rFonts w:ascii="Arial" w:cs="Arial" w:eastAsia="Arial" w:hAnsi="Arial"/>
          <w:sz w:val="17"/>
          <w:szCs w:val="17"/>
          <w:b w:val="1"/>
          <w:bCs w:val="1"/>
          <w:color w:val="auto"/>
        </w:rPr>
        <w:t>Code</w:t>
      </w:r>
      <w:r>
        <w:rPr>
          <w:rFonts w:ascii="Arial" w:cs="Arial" w:eastAsia="Arial" w:hAnsi="Arial"/>
          <w:sz w:val="17"/>
          <w:szCs w:val="17"/>
          <w:color w:val="auto"/>
        </w:rPr>
        <w:t>”)) subject to Section 4975 of the Code or any “employee benefit plan” (as such term is defined in Section 3(3) of the U.S.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subject to Title I of ERISA, and (ii) do not constitute “plan assets” within the meaning of Department of Labor Regulation 2510.3-101, 29 CFR Section 2510-3-101.</w:t>
      </w:r>
    </w:p>
    <w:p>
      <w:pPr>
        <w:spacing w:after="0" w:line="171" w:lineRule="exact"/>
        <w:rPr>
          <w:rFonts w:ascii="Arial" w:cs="Arial" w:eastAsia="Arial" w:hAnsi="Arial"/>
          <w:sz w:val="17"/>
          <w:szCs w:val="17"/>
          <w:color w:val="auto"/>
        </w:rPr>
      </w:pPr>
    </w:p>
    <w:p>
      <w:pPr>
        <w:ind w:left="-20" w:right="20" w:firstLine="656"/>
        <w:spacing w:after="0" w:line="257" w:lineRule="auto"/>
        <w:tabs>
          <w:tab w:leader="none" w:pos="13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On the Trade Date, neither Counterparty nor any “affiliate” or “affiliated purchaser” (each as defined in Rule 10b-18 under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8" w:lineRule="exact"/>
        <w:rPr>
          <w:sz w:val="20"/>
          <w:szCs w:val="20"/>
          <w:color w:val="auto"/>
        </w:rPr>
      </w:pPr>
    </w:p>
    <w:p>
      <w:pPr>
        <w:ind w:left="860" w:hanging="224"/>
        <w:spacing w:after="0"/>
        <w:tabs>
          <w:tab w:leader="none" w:pos="86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left="-20" w:firstLine="656"/>
        <w:spacing w:after="0" w:line="290" w:lineRule="auto"/>
        <w:tabs>
          <w:tab w:leader="none" w:pos="1323"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Right to Extend</w:t>
      </w:r>
      <w:r>
        <w:rPr>
          <w:rFonts w:ascii="Arial" w:cs="Arial" w:eastAsia="Arial" w:hAnsi="Arial"/>
          <w:sz w:val="16"/>
          <w:szCs w:val="16"/>
          <w:color w:val="auto"/>
        </w:rPr>
        <w:t>. Dealer may postpone or add, in whole or in part, any Exercise Date or Settlement Date or any other date of valuation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2" w:right="259" w:bottom="1440" w:gutter="0" w:footer="0" w:header="0"/>
        </w:sectPr>
      </w:pPr>
    </w:p>
    <w:bookmarkStart w:id="218" w:name="page219"/>
    <w:bookmarkEnd w:id="218"/>
    <w:p>
      <w:pPr>
        <w:ind w:right="140" w:firstLine="656"/>
        <w:spacing w:after="0" w:line="257" w:lineRule="auto"/>
        <w:tabs>
          <w:tab w:leader="none" w:pos="1353"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Additional Termination Events</w:t>
      </w:r>
      <w:r>
        <w:rPr>
          <w:rFonts w:ascii="Arial" w:cs="Arial" w:eastAsia="Arial" w:hAnsi="Arial"/>
          <w:sz w:val="18"/>
          <w:szCs w:val="18"/>
          <w:color w:val="auto"/>
        </w:rPr>
        <w:t>. The occurrence of (A) an event of default with respect to Counterparty under the terms of the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set forth in Section 7.01 of the Indenture,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w:t>
      </w:r>
    </w:p>
    <w:p>
      <w:pPr>
        <w:spacing w:after="0" w:line="184"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Event</w:t>
      </w:r>
      <w:r>
        <w:rPr>
          <w:rFonts w:ascii="Arial" w:cs="Arial" w:eastAsia="Arial" w:hAnsi="Arial"/>
          <w:sz w:val="17"/>
          <w:szCs w:val="17"/>
          <w:color w:val="auto"/>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spacing w:after="0" w:line="176" w:lineRule="exact"/>
        <w:rPr>
          <w:sz w:val="20"/>
          <w:szCs w:val="20"/>
          <w:color w:val="auto"/>
        </w:rPr>
      </w:pPr>
    </w:p>
    <w:p>
      <w:pPr>
        <w:ind w:right="60" w:firstLine="697"/>
        <w:spacing w:after="0" w:line="286" w:lineRule="auto"/>
        <w:tabs>
          <w:tab w:leader="none" w:pos="1339" w:val="left"/>
        </w:tabs>
        <w:numPr>
          <w:ilvl w:val="0"/>
          <w:numId w:val="241"/>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Dealer shall owe Counterparty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pursuant to Section 6(d)(ii) of the Agreement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8100" w:type="dxa"/>
            <w:vAlign w:val="bottom"/>
          </w:tcPr>
          <w:p>
            <w:pPr>
              <w:ind w:left="640"/>
              <w:spacing w:after="0"/>
              <w:rPr>
                <w:sz w:val="20"/>
                <w:szCs w:val="20"/>
                <w:color w:val="auto"/>
              </w:rPr>
            </w:pPr>
            <w:r>
              <w:rPr>
                <w:rFonts w:ascii="Arial" w:cs="Arial" w:eastAsia="Arial" w:hAnsi="Arial"/>
                <w:sz w:val="18"/>
                <w:szCs w:val="18"/>
                <w:color w:val="auto"/>
                <w:w w:val="92"/>
              </w:rPr>
              <w:t>If applicable, means that Dealer shall deliver to Counterparty the Share Termination Delivery Property</w:t>
            </w:r>
          </w:p>
        </w:tc>
      </w:tr>
      <w:tr>
        <w:trPr>
          <w:trHeight w:val="216"/>
        </w:trPr>
        <w:tc>
          <w:tcPr>
            <w:tcW w:w="336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w w:val="94"/>
              </w:rPr>
              <w:t>on the date on which the Payment Obligation would otherwise be due pursuant to Section 6(d)(ii) of</w:t>
            </w:r>
          </w:p>
        </w:tc>
      </w:tr>
      <w:tr>
        <w:trPr>
          <w:trHeight w:val="212"/>
        </w:trPr>
        <w:tc>
          <w:tcPr>
            <w:tcW w:w="336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w w:val="95"/>
              </w:rPr>
              <w:t>the Agreement or such later date or dates as Dealer may commercially reasonably determine (the</w:t>
            </w:r>
          </w:p>
        </w:tc>
      </w:tr>
      <w:tr>
        <w:trPr>
          <w:trHeight w:val="220"/>
        </w:trPr>
        <w:tc>
          <w:tcPr>
            <w:tcW w:w="3360" w:type="dxa"/>
            <w:vAlign w:val="bottom"/>
          </w:tcPr>
          <w:p>
            <w:pPr>
              <w:spacing w:after="0"/>
              <w:rPr>
                <w:sz w:val="19"/>
                <w:szCs w:val="19"/>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Share Termination Payment Date</w:t>
            </w:r>
            <w:r>
              <w:rPr>
                <w:rFonts w:ascii="Arial" w:cs="Arial" w:eastAsia="Arial" w:hAnsi="Arial"/>
                <w:sz w:val="18"/>
                <w:szCs w:val="18"/>
                <w:color w:val="auto"/>
                <w:w w:val="92"/>
              </w:rPr>
              <w:t>”) taking into account commercially reasonable hedging or hedge</w:t>
            </w:r>
          </w:p>
        </w:tc>
      </w:tr>
      <w:tr>
        <w:trPr>
          <w:trHeight w:val="230"/>
        </w:trPr>
        <w:tc>
          <w:tcPr>
            <w:tcW w:w="3360" w:type="dxa"/>
            <w:vAlign w:val="bottom"/>
          </w:tcPr>
          <w:p>
            <w:pPr>
              <w:spacing w:after="0"/>
              <w:rPr>
                <w:sz w:val="20"/>
                <w:szCs w:val="20"/>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unwind activity, in satisfaction of the Payment Obligation.</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Share Termination Delivery Property:</w:t>
            </w:r>
          </w:p>
        </w:tc>
        <w:tc>
          <w:tcPr>
            <w:tcW w:w="8100" w:type="dxa"/>
            <w:vAlign w:val="bottom"/>
          </w:tcPr>
          <w:p>
            <w:pPr>
              <w:ind w:left="640"/>
              <w:spacing w:after="0"/>
              <w:rPr>
                <w:sz w:val="20"/>
                <w:szCs w:val="20"/>
                <w:color w:val="auto"/>
              </w:rPr>
            </w:pPr>
            <w:r>
              <w:rPr>
                <w:rFonts w:ascii="Arial" w:cs="Arial" w:eastAsia="Arial" w:hAnsi="Arial"/>
                <w:sz w:val="18"/>
                <w:szCs w:val="18"/>
                <w:color w:val="auto"/>
                <w:w w:val="94"/>
              </w:rPr>
              <w:t>A number of Share Termination Delivery Units, as calculated by the Calculation Agent, equal to the</w:t>
            </w:r>
          </w:p>
        </w:tc>
      </w:tr>
      <w:tr>
        <w:trPr>
          <w:trHeight w:val="216"/>
        </w:trPr>
        <w:tc>
          <w:tcPr>
            <w:tcW w:w="336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w w:val="94"/>
              </w:rPr>
              <w:t>Payment Obligation divided by the Share Termination Unit Price. The Calculation Agent shall adjust</w:t>
            </w:r>
          </w:p>
        </w:tc>
      </w:tr>
      <w:tr>
        <w:trPr>
          <w:trHeight w:val="216"/>
        </w:trPr>
        <w:tc>
          <w:tcPr>
            <w:tcW w:w="336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w w:val="93"/>
              </w:rPr>
              <w:t>the Share Termination Delivery Property by replacing any fractional portion of the aggregate amount</w:t>
            </w:r>
          </w:p>
        </w:tc>
      </w:tr>
      <w:tr>
        <w:trPr>
          <w:trHeight w:val="216"/>
        </w:trPr>
        <w:tc>
          <w:tcPr>
            <w:tcW w:w="336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w w:val="91"/>
              </w:rPr>
              <w:t>of a security therein with an amount of cash equal to the value of such fractional security based on the</w:t>
            </w:r>
          </w:p>
        </w:tc>
      </w:tr>
      <w:tr>
        <w:trPr>
          <w:trHeight w:val="230"/>
        </w:trPr>
        <w:tc>
          <w:tcPr>
            <w:tcW w:w="3360" w:type="dxa"/>
            <w:vAlign w:val="bottom"/>
          </w:tcPr>
          <w:p>
            <w:pPr>
              <w:spacing w:after="0"/>
              <w:rPr>
                <w:sz w:val="20"/>
                <w:szCs w:val="20"/>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values used to calculate the Share Termination Unit Price.</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Share Termination Unit Price:</w:t>
            </w:r>
          </w:p>
        </w:tc>
        <w:tc>
          <w:tcPr>
            <w:tcW w:w="8100" w:type="dxa"/>
            <w:vAlign w:val="bottom"/>
          </w:tcPr>
          <w:p>
            <w:pPr>
              <w:ind w:left="640"/>
              <w:spacing w:after="0"/>
              <w:rPr>
                <w:sz w:val="20"/>
                <w:szCs w:val="20"/>
                <w:color w:val="auto"/>
              </w:rPr>
            </w:pPr>
            <w:r>
              <w:rPr>
                <w:rFonts w:ascii="Arial" w:cs="Arial" w:eastAsia="Arial" w:hAnsi="Arial"/>
                <w:sz w:val="18"/>
                <w:szCs w:val="18"/>
                <w:color w:val="auto"/>
              </w:rPr>
              <w:t>The value of property contained in one Share Termination Delivery</w:t>
            </w:r>
          </w:p>
        </w:tc>
      </w:tr>
      <w:tr>
        <w:trPr>
          <w:trHeight w:val="432"/>
        </w:trPr>
        <w:tc>
          <w:tcPr>
            <w:tcW w:w="3360" w:type="dxa"/>
            <w:vAlign w:val="bottom"/>
          </w:tcPr>
          <w:p>
            <w:pPr>
              <w:spacing w:after="0"/>
              <w:rPr>
                <w:sz w:val="24"/>
                <w:szCs w:val="24"/>
                <w:color w:val="auto"/>
              </w:rPr>
            </w:pPr>
          </w:p>
        </w:tc>
        <w:tc>
          <w:tcPr>
            <w:tcW w:w="8100" w:type="dxa"/>
            <w:vAlign w:val="bottom"/>
          </w:tcPr>
          <w:p>
            <w:pPr>
              <w:ind w:left="2260"/>
              <w:spacing w:after="0"/>
              <w:rPr>
                <w:sz w:val="20"/>
                <w:szCs w:val="20"/>
                <w:color w:val="auto"/>
              </w:rPr>
            </w:pPr>
            <w:r>
              <w:rPr>
                <w:rFonts w:ascii="Arial" w:cs="Arial" w:eastAsia="Arial" w:hAnsi="Arial"/>
                <w:sz w:val="18"/>
                <w:szCs w:val="18"/>
                <w:color w:val="auto"/>
              </w:rPr>
              <w:t>20</w:t>
            </w:r>
          </w:p>
        </w:tc>
      </w:tr>
      <w:tr>
        <w:trPr>
          <w:trHeight w:val="132"/>
        </w:trPr>
        <w:tc>
          <w:tcPr>
            <w:tcW w:w="3360" w:type="dxa"/>
            <w:vAlign w:val="bottom"/>
            <w:tcBorders>
              <w:bottom w:val="single" w:sz="8" w:color="808080"/>
            </w:tcBorders>
          </w:tcPr>
          <w:p>
            <w:pPr>
              <w:spacing w:after="0"/>
              <w:rPr>
                <w:sz w:val="11"/>
                <w:szCs w:val="11"/>
                <w:color w:val="auto"/>
              </w:rPr>
            </w:pPr>
          </w:p>
        </w:tc>
        <w:tc>
          <w:tcPr>
            <w:tcW w:w="8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19" w:name="page220"/>
    <w:bookmarkEnd w:id="219"/>
    <w:p>
      <w:pPr>
        <w:ind w:left="4220"/>
        <w:spacing w:after="0" w:line="264" w:lineRule="auto"/>
        <w:rPr>
          <w:sz w:val="20"/>
          <w:szCs w:val="20"/>
          <w:color w:val="auto"/>
        </w:rPr>
      </w:pPr>
      <w:r>
        <w:rPr>
          <w:rFonts w:ascii="Arial" w:cs="Arial" w:eastAsia="Arial" w:hAnsi="Arial"/>
          <w:sz w:val="18"/>
          <w:szCs w:val="18"/>
          <w:color w:val="auto"/>
        </w:rPr>
        <w:t>Unit on the date such Share Termination Delivery Units are to be delivered as Share Termination Delivery Property, as determined by the Calculation Agent and notified by the Calculation Agent to Dealer at the time of notification of the Payment Obligation.</w:t>
      </w:r>
    </w:p>
    <w:p>
      <w:pPr>
        <w:sectPr>
          <w:pgSz w:w="11900" w:h="16838" w:orient="portrait"/>
          <w:cols w:equalWidth="0" w:num="1">
            <w:col w:w="11400"/>
          </w:cols>
          <w:pgMar w:left="240" w:top="341" w:right="25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p>
      <w:pPr>
        <w:spacing w:after="0" w:line="197" w:lineRule="exact"/>
        <w:rPr>
          <w:sz w:val="20"/>
          <w:szCs w:val="20"/>
          <w:color w:val="auto"/>
        </w:rPr>
      </w:pPr>
    </w:p>
    <w:p>
      <w:pPr>
        <w:sectPr>
          <w:pgSz w:w="11900" w:h="16838" w:orient="portrait"/>
          <w:cols w:equalWidth="0" w:num="2">
            <w:col w:w="3500" w:space="720"/>
            <w:col w:w="7180"/>
          </w:cols>
          <w:pgMar w:left="240" w:top="341" w:right="259" w:bottom="1440" w:gutter="0" w:footer="0" w:header="0"/>
          <w:type w:val="continuous"/>
        </w:sect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11" w:lineRule="exact"/>
        <w:rPr>
          <w:sz w:val="20"/>
          <w:szCs w:val="20"/>
          <w:color w:val="auto"/>
        </w:rPr>
      </w:pPr>
    </w:p>
    <w:p>
      <w:pPr>
        <w:sectPr>
          <w:pgSz w:w="11900" w:h="16838" w:orient="portrait"/>
          <w:cols w:equalWidth="0" w:num="2">
            <w:col w:w="3520" w:space="720"/>
            <w:col w:w="7160"/>
          </w:cols>
          <w:pgMar w:left="240" w:top="341"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Representation and Agreement contained in Section 9.11 of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p>
      <w:pPr>
        <w:spacing w:after="0" w:line="163" w:lineRule="exact"/>
        <w:rPr>
          <w:sz w:val="20"/>
          <w:szCs w:val="20"/>
          <w:color w:val="auto"/>
        </w:rPr>
      </w:pPr>
    </w:p>
    <w:p>
      <w:pPr>
        <w:sectPr>
          <w:pgSz w:w="11900" w:h="16838" w:orient="portrait"/>
          <w:cols w:equalWidth="0" w:num="2">
            <w:col w:w="3520" w:space="720"/>
            <w:col w:w="7160"/>
          </w:cols>
          <w:pgMar w:left="240" w:top="341" w:right="259" w:bottom="1440" w:gutter="0" w:footer="0" w:header="0"/>
          <w:type w:val="continuous"/>
        </w:sectPr>
      </w:pPr>
    </w:p>
    <w:p>
      <w:pPr>
        <w:ind w:right="20" w:firstLine="656"/>
        <w:spacing w:after="0" w:line="286" w:lineRule="auto"/>
        <w:tabs>
          <w:tab w:leader="none" w:pos="1353" w:val="left"/>
        </w:tabs>
        <w:numPr>
          <w:ilvl w:val="1"/>
          <w:numId w:val="242"/>
        </w:numPr>
        <w:rPr>
          <w:rFonts w:ascii="Arial" w:cs="Arial" w:eastAsia="Arial" w:hAnsi="Arial"/>
          <w:sz w:val="16"/>
          <w:szCs w:val="16"/>
          <w:color w:val="auto"/>
        </w:rPr>
      </w:pPr>
      <w:r>
        <w:rPr>
          <w:rFonts w:ascii="Arial" w:cs="Arial" w:eastAsia="Arial" w:hAnsi="Arial"/>
          <w:sz w:val="16"/>
          <w:szCs w:val="16"/>
          <w:i w:val="1"/>
          <w:iCs w:val="1"/>
          <w:color w:val="auto"/>
        </w:rPr>
        <w:t>Disposition of Hedge Shares</w:t>
      </w:r>
      <w:r>
        <w:rPr>
          <w:rFonts w:ascii="Arial" w:cs="Arial" w:eastAsia="Arial" w:hAnsi="Arial"/>
          <w:sz w:val="16"/>
          <w:szCs w:val="16"/>
          <w:color w:val="auto"/>
        </w:rPr>
        <w:t>. Counterparty hereby agrees that if, in the good faith reasonable judgment of Dealer, the Shares (the “</w:t>
      </w:r>
      <w:r>
        <w:rPr>
          <w:rFonts w:ascii="Arial" w:cs="Arial" w:eastAsia="Arial" w:hAnsi="Arial"/>
          <w:sz w:val="16"/>
          <w:szCs w:val="16"/>
          <w:b w:val="1"/>
          <w:bCs w:val="1"/>
          <w:color w:val="auto"/>
        </w:rPr>
        <w:t>Hedge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acquired by Dealer for the purpose of hedging its obligations pursuant to the Transaction in a commercially reasonable manner cannot be sold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satisfactory to Dealer, substantially in the form of an underwriting agreement for a registered offering,</w:t>
      </w:r>
    </w:p>
    <w:p>
      <w:pPr>
        <w:spacing w:after="0" w:line="2" w:lineRule="exact"/>
        <w:rPr>
          <w:rFonts w:ascii="Arial" w:cs="Arial" w:eastAsia="Arial" w:hAnsi="Arial"/>
          <w:sz w:val="16"/>
          <w:szCs w:val="16"/>
          <w:color w:val="auto"/>
        </w:rPr>
      </w:pPr>
    </w:p>
    <w:p>
      <w:pPr>
        <w:ind w:firstLine="8"/>
        <w:spacing w:after="0" w:line="267" w:lineRule="auto"/>
        <w:tabs>
          <w:tab w:leader="none" w:pos="28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220" w:name="page221"/>
    <w:bookmarkEnd w:id="220"/>
    <w:p>
      <w:pPr>
        <w:ind w:right="1000"/>
        <w:spacing w:after="0" w:line="277" w:lineRule="auto"/>
        <w:rPr>
          <w:sz w:val="20"/>
          <w:szCs w:val="20"/>
          <w:color w:val="auto"/>
        </w:rPr>
      </w:pPr>
      <w:r>
        <w:rPr>
          <w:rFonts w:ascii="Arial" w:cs="Arial" w:eastAsia="Arial" w:hAnsi="Arial"/>
          <w:sz w:val="18"/>
          <w:szCs w:val="18"/>
          <w:color w:val="auto"/>
        </w:rPr>
        <w:t>VWAP” (as defined in the Indenture) on such Exchange Business Days, and in the amounts, commercially reasonably requested by Dealer. This Section 8(d) shall survive the termination, expiration or early unwind of the Transaction.</w:t>
      </w:r>
    </w:p>
    <w:p>
      <w:pPr>
        <w:spacing w:after="0" w:line="170" w:lineRule="exact"/>
        <w:rPr>
          <w:sz w:val="20"/>
          <w:szCs w:val="20"/>
          <w:color w:val="auto"/>
        </w:rPr>
      </w:pPr>
    </w:p>
    <w:p>
      <w:pPr>
        <w:ind w:firstLine="656"/>
        <w:spacing w:after="0" w:line="284" w:lineRule="auto"/>
        <w:tabs>
          <w:tab w:leader="none" w:pos="1307" w:val="left"/>
        </w:tabs>
        <w:numPr>
          <w:ilvl w:val="1"/>
          <w:numId w:val="244"/>
        </w:numPr>
        <w:rPr>
          <w:rFonts w:ascii="Arial" w:cs="Arial" w:eastAsia="Arial" w:hAnsi="Arial"/>
          <w:sz w:val="16"/>
          <w:szCs w:val="16"/>
          <w:color w:val="auto"/>
        </w:rPr>
      </w:pPr>
      <w:r>
        <w:rPr>
          <w:rFonts w:ascii="Arial" w:cs="Arial" w:eastAsia="Arial" w:hAnsi="Arial"/>
          <w:sz w:val="16"/>
          <w:szCs w:val="16"/>
          <w:i w:val="1"/>
          <w:iCs w:val="1"/>
          <w:color w:val="auto"/>
        </w:rPr>
        <w:t>Repurchase and Conversion Rate Adjustment Notices</w:t>
      </w:r>
      <w:r>
        <w:rPr>
          <w:rFonts w:ascii="Arial" w:cs="Arial" w:eastAsia="Arial" w:hAnsi="Arial"/>
          <w:sz w:val="16"/>
          <w:szCs w:val="16"/>
          <w:color w:val="auto"/>
        </w:rPr>
        <w:t>. Counterparty shall, at least two Exchange Business Days prior to any day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Counterparty effects any repurchase of Shares or consummates or otherwise engages in any transaction or event (a “</w:t>
      </w:r>
      <w:r>
        <w:rPr>
          <w:rFonts w:ascii="Arial" w:cs="Arial" w:eastAsia="Arial" w:hAnsi="Arial"/>
          <w:sz w:val="16"/>
          <w:szCs w:val="16"/>
          <w:b w:val="1"/>
          <w:bCs w:val="1"/>
          <w:color w:val="auto"/>
        </w:rPr>
        <w:t>Conversion Rate Adjustment Event</w:t>
      </w:r>
      <w:r>
        <w:rPr>
          <w:rFonts w:ascii="Arial" w:cs="Arial" w:eastAsia="Arial" w:hAnsi="Arial"/>
          <w:sz w:val="16"/>
          <w:szCs w:val="16"/>
          <w:color w:val="auto"/>
        </w:rPr>
        <w:t>”) that could reasonably be expected to lead to an increase in the Conversion Rate, give Dealer a written notice of such repurchase or Conversion Rate Adjustment Event (a “</w:t>
      </w:r>
      <w:r>
        <w:rPr>
          <w:rFonts w:ascii="Arial" w:cs="Arial" w:eastAsia="Arial" w:hAnsi="Arial"/>
          <w:sz w:val="16"/>
          <w:szCs w:val="16"/>
          <w:b w:val="1"/>
          <w:bCs w:val="1"/>
          <w:color w:val="auto"/>
        </w:rPr>
        <w:t>Repurchase Notice</w:t>
      </w:r>
      <w:r>
        <w:rPr>
          <w:rFonts w:ascii="Arial" w:cs="Arial" w:eastAsia="Arial" w:hAnsi="Arial"/>
          <w:sz w:val="16"/>
          <w:szCs w:val="16"/>
          <w:color w:val="auto"/>
        </w:rPr>
        <w:t>”) on such day if, following such repurchase or Conversion Rate Adjustment Event, the Notice Percentage would reasonably be expected to be (i) greater than 8.0% and (ii) greater by 0.5% than the Notice Percentage included in the immediately preceding Repurchase Notice (or, in the case of the first such Repurchase Notice, greater than the Notice Percentage as of the date hereof). The “</w:t>
      </w:r>
      <w:r>
        <w:rPr>
          <w:rFonts w:ascii="Arial" w:cs="Arial" w:eastAsia="Arial" w:hAnsi="Arial"/>
          <w:sz w:val="16"/>
          <w:szCs w:val="16"/>
          <w:b w:val="1"/>
          <w:bCs w:val="1"/>
          <w:color w:val="auto"/>
        </w:rPr>
        <w:t>Notice Percentage</w:t>
      </w:r>
      <w:r>
        <w:rPr>
          <w:rFonts w:ascii="Arial" w:cs="Arial" w:eastAsia="Arial" w:hAnsi="Arial"/>
          <w:sz w:val="16"/>
          <w:szCs w:val="16"/>
          <w:color w:val="auto"/>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spacing w:after="0" w:line="180" w:lineRule="exact"/>
        <w:rPr>
          <w:rFonts w:ascii="Arial" w:cs="Arial" w:eastAsia="Arial" w:hAnsi="Arial"/>
          <w:sz w:val="16"/>
          <w:szCs w:val="16"/>
          <w:color w:val="auto"/>
        </w:rPr>
      </w:pPr>
    </w:p>
    <w:p>
      <w:pPr>
        <w:ind w:right="180" w:firstLine="638"/>
        <w:spacing w:after="0" w:line="286" w:lineRule="auto"/>
        <w:tabs>
          <w:tab w:leader="none" w:pos="1296"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Transfer and Assignment</w:t>
      </w:r>
      <w:r>
        <w:rPr>
          <w:rFonts w:ascii="Arial" w:cs="Arial" w:eastAsia="Arial" w:hAnsi="Arial"/>
          <w:sz w:val="16"/>
          <w:szCs w:val="16"/>
          <w:color w:val="auto"/>
        </w:rPr>
        <w:t>. Either party may transfer or assign any of its rights or obligations under the Transaction with the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consent of the non-transferring party,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Dealer may transfer or assign without any consent of Counterparty its rights and obligations hereunder, in whole or in part, to (i) any affiliate of Dealer or (ii) any person, or any person whose obligations would be guaranteed by a person, in either case, of credit quality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the Iowa Business Corporation Act or other federal, state or local law, rule, regulation or regulatory order or organizational documents or contracts of Counterparty applicable to ownership of Shares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Restrictions</w:t>
      </w:r>
      <w:r>
        <w:rPr>
          <w:rFonts w:ascii="Arial" w:cs="Arial" w:eastAsia="Arial" w:hAnsi="Arial"/>
          <w:sz w:val="16"/>
          <w:szCs w:val="16"/>
          <w:color w:val="auto"/>
        </w:rPr>
        <w:t>”), owns, beneficially owns, constructively owns, controls, holds the power to vote or otherwise meets a relevant definition of ownership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(either such condition described in clause (1) or (2), an “</w:t>
      </w:r>
      <w:r>
        <w:rPr>
          <w:rFonts w:ascii="Arial" w:cs="Arial" w:eastAsia="Arial" w:hAnsi="Arial"/>
          <w:sz w:val="16"/>
          <w:szCs w:val="16"/>
          <w:b w:val="1"/>
          <w:bCs w:val="1"/>
          <w:color w:val="auto"/>
        </w:rPr>
        <w:t>Excess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1" w:name="page222"/>
    <w:bookmarkEnd w:id="221"/>
    <w:p>
      <w:pPr>
        <w:spacing w:after="0" w:line="284" w:lineRule="auto"/>
        <w:rPr>
          <w:sz w:val="20"/>
          <w:szCs w:val="20"/>
          <w:color w:val="auto"/>
        </w:rPr>
      </w:pPr>
      <w:r>
        <w:rPr>
          <w:rFonts w:ascii="Arial" w:cs="Arial" w:eastAsia="Arial" w:hAnsi="Arial"/>
          <w:sz w:val="16"/>
          <w:szCs w:val="16"/>
          <w:b w:val="1"/>
          <w:bCs w:val="1"/>
          <w:color w:val="auto"/>
        </w:rPr>
        <w:t>Ownership Position</w:t>
      </w:r>
      <w:r>
        <w:rPr>
          <w:rFonts w:ascii="Arial" w:cs="Arial" w:eastAsia="Arial" w:hAnsi="Arial"/>
          <w:sz w:val="16"/>
          <w:szCs w:val="16"/>
          <w:color w:val="auto"/>
        </w:rPr>
        <w:t>”), Dealer, in its discretion, is unable to effect a transfer or assignment to a third party after its commercially reasonable efforts on pricing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terms and within a time period reasonably acceptable to Dealer such that an Excess Ownership Position no longer exists, Dealer may designate any Scheduled Trading Day as an Early Termination Date with respect to a portion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 expressed as a percentage,</w:t>
      </w:r>
    </w:p>
    <w:p>
      <w:pPr>
        <w:spacing w:after="0" w:line="2" w:lineRule="exact"/>
        <w:rPr>
          <w:sz w:val="20"/>
          <w:szCs w:val="20"/>
          <w:color w:val="auto"/>
        </w:rPr>
      </w:pPr>
    </w:p>
    <w:p>
      <w:pPr>
        <w:ind w:left="300" w:hanging="292"/>
        <w:spacing w:after="0"/>
        <w:tabs>
          <w:tab w:leader="none" w:pos="3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numerator of which is the number of Shares that Dealer and any of its affiliates subject to aggregation with Dealer for purposes of the “beneficial</w:t>
      </w:r>
    </w:p>
    <w:p>
      <w:pPr>
        <w:spacing w:after="0" w:line="20" w:lineRule="exact"/>
        <w:rPr>
          <w:rFonts w:ascii="Arial" w:cs="Arial" w:eastAsia="Arial" w:hAnsi="Arial"/>
          <w:sz w:val="17"/>
          <w:szCs w:val="17"/>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ownership” test under Section 13 of the Exchange Act and all persons who may form a “group” (within the meaning of Rule 13d-5(b)(1) under the Exchange Act) with Dealer (collectively, “</w:t>
      </w:r>
      <w:r>
        <w:rPr>
          <w:rFonts w:ascii="Arial" w:cs="Arial" w:eastAsia="Arial" w:hAnsi="Arial"/>
          <w:sz w:val="17"/>
          <w:szCs w:val="17"/>
          <w:b w:val="1"/>
          <w:bCs w:val="1"/>
          <w:color w:val="auto"/>
        </w:rPr>
        <w:t>Dealer Group</w:t>
      </w:r>
      <w:r>
        <w:rPr>
          <w:rFonts w:ascii="Arial" w:cs="Arial" w:eastAsia="Arial" w:hAnsi="Arial"/>
          <w:sz w:val="17"/>
          <w:szCs w:val="17"/>
          <w:color w:val="auto"/>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Arial" w:cs="Arial" w:eastAsia="Arial" w:hAnsi="Arial"/>
          <w:sz w:val="17"/>
          <w:szCs w:val="17"/>
          <w:b w:val="1"/>
          <w:bCs w:val="1"/>
          <w:color w:val="auto"/>
        </w:rPr>
        <w:t>Transfer Options</w:t>
      </w:r>
      <w:r>
        <w:rPr>
          <w:rFonts w:ascii="Arial" w:cs="Arial" w:eastAsia="Arial" w:hAnsi="Arial"/>
          <w:sz w:val="17"/>
          <w:szCs w:val="17"/>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180" w:lineRule="exact"/>
        <w:rPr>
          <w:rFonts w:ascii="Arial" w:cs="Arial" w:eastAsia="Arial" w:hAnsi="Arial"/>
          <w:sz w:val="17"/>
          <w:szCs w:val="17"/>
          <w:color w:val="auto"/>
        </w:rPr>
      </w:pPr>
    </w:p>
    <w:p>
      <w:pPr>
        <w:ind w:left="720" w:right="120" w:firstLine="638"/>
        <w:spacing w:after="0" w:line="277" w:lineRule="auto"/>
        <w:tabs>
          <w:tab w:leader="none" w:pos="196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170" w:lineRule="exact"/>
        <w:rPr>
          <w:rFonts w:ascii="Arial" w:cs="Arial" w:eastAsia="Arial" w:hAnsi="Arial"/>
          <w:sz w:val="18"/>
          <w:szCs w:val="18"/>
          <w:color w:val="auto"/>
        </w:rPr>
      </w:pPr>
    </w:p>
    <w:p>
      <w:pPr>
        <w:ind w:left="720" w:right="80" w:firstLine="638"/>
        <w:spacing w:after="0" w:line="277" w:lineRule="auto"/>
        <w:tabs>
          <w:tab w:leader="none" w:pos="195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United States person (as defined in the Internal Revenue Code of 1986, as amended(the “Code”));</w:t>
      </w:r>
    </w:p>
    <w:p>
      <w:pPr>
        <w:spacing w:after="0" w:line="170" w:lineRule="exact"/>
        <w:rPr>
          <w:rFonts w:ascii="Arial" w:cs="Arial" w:eastAsia="Arial" w:hAnsi="Arial"/>
          <w:sz w:val="18"/>
          <w:szCs w:val="18"/>
          <w:color w:val="auto"/>
        </w:rPr>
      </w:pPr>
    </w:p>
    <w:p>
      <w:pPr>
        <w:jc w:val="both"/>
        <w:ind w:left="720" w:firstLine="638"/>
        <w:spacing w:after="0" w:line="302" w:lineRule="auto"/>
        <w:tabs>
          <w:tab w:leader="none" w:pos="195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spacing w:after="0" w:line="154" w:lineRule="exact"/>
        <w:rPr>
          <w:rFonts w:ascii="Arial" w:cs="Arial" w:eastAsia="Arial" w:hAnsi="Arial"/>
          <w:sz w:val="16"/>
          <w:szCs w:val="16"/>
          <w:color w:val="auto"/>
        </w:rPr>
      </w:pPr>
    </w:p>
    <w:p>
      <w:pPr>
        <w:ind w:left="720" w:right="280" w:firstLine="638"/>
        <w:spacing w:after="0" w:line="264" w:lineRule="auto"/>
        <w:tabs>
          <w:tab w:leader="none" w:pos="196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181" w:lineRule="exact"/>
        <w:rPr>
          <w:rFonts w:ascii="Arial" w:cs="Arial" w:eastAsia="Arial" w:hAnsi="Arial"/>
          <w:sz w:val="18"/>
          <w:szCs w:val="18"/>
          <w:color w:val="auto"/>
        </w:rPr>
      </w:pPr>
    </w:p>
    <w:p>
      <w:pPr>
        <w:ind w:left="1960" w:hanging="602"/>
        <w:spacing w:after="0"/>
        <w:tabs>
          <w:tab w:leader="none" w:pos="196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An Event of Default, Potential Event of Default or Termination Event shall not occur as a result of such transfer and assignment;</w:t>
      </w:r>
    </w:p>
    <w:p>
      <w:pPr>
        <w:spacing w:after="0" w:line="248" w:lineRule="exact"/>
        <w:rPr>
          <w:rFonts w:ascii="Arial" w:cs="Arial" w:eastAsia="Arial" w:hAnsi="Arial"/>
          <w:sz w:val="16"/>
          <w:szCs w:val="16"/>
          <w:color w:val="auto"/>
        </w:rPr>
      </w:pPr>
    </w:p>
    <w:p>
      <w:pPr>
        <w:ind w:left="720" w:right="600" w:firstLine="638"/>
        <w:spacing w:after="0" w:line="286" w:lineRule="auto"/>
        <w:tabs>
          <w:tab w:leader="none" w:pos="1962" w:val="left"/>
        </w:tabs>
        <w:numPr>
          <w:ilvl w:val="1"/>
          <w:numId w:val="246"/>
        </w:numPr>
        <w:rPr>
          <w:rFonts w:ascii="Arial" w:cs="Arial" w:eastAsia="Arial" w:hAnsi="Arial"/>
          <w:sz w:val="17"/>
          <w:szCs w:val="17"/>
          <w:color w:val="auto"/>
        </w:rPr>
      </w:pPr>
      <w:r>
        <w:rPr>
          <w:rFonts w:ascii="Arial" w:cs="Arial" w:eastAsia="Arial" w:hAnsi="Arial"/>
          <w:sz w:val="17"/>
          <w:szCs w:val="17"/>
          <w:color w:val="auto"/>
        </w:rPr>
        <w:t>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2" w:name="page223"/>
    <w:bookmarkEnd w:id="222"/>
    <w:p>
      <w:pPr>
        <w:ind w:left="700" w:right="200" w:firstLine="638"/>
        <w:spacing w:after="0" w:line="277" w:lineRule="auto"/>
        <w:tabs>
          <w:tab w:leader="none" w:pos="1945" w:val="left"/>
        </w:tabs>
        <w:numPr>
          <w:ilvl w:val="2"/>
          <w:numId w:val="247"/>
        </w:numPr>
        <w:rPr>
          <w:rFonts w:ascii="Arial" w:cs="Arial" w:eastAsia="Arial" w:hAnsi="Arial"/>
          <w:sz w:val="18"/>
          <w:szCs w:val="18"/>
          <w:color w:val="auto"/>
        </w:rPr>
      </w:pPr>
      <w:r>
        <w:rPr>
          <w:rFonts w:ascii="Arial" w:cs="Arial" w:eastAsia="Arial" w:hAnsi="Arial"/>
          <w:sz w:val="18"/>
          <w:szCs w:val="18"/>
          <w:color w:val="auto"/>
        </w:rPr>
        <w:t>Counterparty shall be responsible for all reasonable costs and expenses, including reasonable counsel fees, incurred by Dealer in connection with such transfer or assignment.</w:t>
      </w:r>
    </w:p>
    <w:p>
      <w:pPr>
        <w:spacing w:after="0" w:line="170" w:lineRule="exact"/>
        <w:rPr>
          <w:rFonts w:ascii="Arial" w:cs="Arial" w:eastAsia="Arial" w:hAnsi="Arial"/>
          <w:sz w:val="18"/>
          <w:szCs w:val="18"/>
          <w:color w:val="auto"/>
        </w:rPr>
      </w:pPr>
    </w:p>
    <w:p>
      <w:pPr>
        <w:jc w:val="both"/>
        <w:ind w:left="-20" w:right="220" w:firstLine="656"/>
        <w:spacing w:after="0" w:line="279" w:lineRule="auto"/>
        <w:tabs>
          <w:tab w:leader="none" w:pos="1297" w:val="left"/>
        </w:tabs>
        <w:numPr>
          <w:ilvl w:val="1"/>
          <w:numId w:val="248"/>
        </w:numPr>
        <w:rPr>
          <w:rFonts w:ascii="Arial" w:cs="Arial" w:eastAsia="Arial" w:hAnsi="Arial"/>
          <w:sz w:val="17"/>
          <w:szCs w:val="17"/>
          <w:color w:val="auto"/>
        </w:rPr>
      </w:pPr>
      <w:r>
        <w:rPr>
          <w:rFonts w:ascii="Arial" w:cs="Arial" w:eastAsia="Arial" w:hAnsi="Arial"/>
          <w:sz w:val="17"/>
          <w:szCs w:val="17"/>
          <w:i w:val="1"/>
          <w:iCs w:val="1"/>
          <w:color w:val="auto"/>
        </w:rPr>
        <w:t>Delivery of Shares</w:t>
      </w:r>
      <w:r>
        <w:rPr>
          <w:rFonts w:ascii="Arial" w:cs="Arial" w:eastAsia="Arial" w:hAnsi="Arial"/>
          <w:sz w:val="17"/>
          <w:szCs w:val="17"/>
          <w:color w:val="auto"/>
        </w:rPr>
        <w:t>. Notwithstanding anything to the contrary herein, Dealer may, by prior notice to Counterparty, satisfy its obligation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any Shares or other securities on any date due (an “</w:t>
      </w:r>
      <w:r>
        <w:rPr>
          <w:rFonts w:ascii="Arial" w:cs="Arial" w:eastAsia="Arial" w:hAnsi="Arial"/>
          <w:sz w:val="17"/>
          <w:szCs w:val="17"/>
          <w:b w:val="1"/>
          <w:bCs w:val="1"/>
          <w:color w:val="auto"/>
        </w:rPr>
        <w:t>Original Delivery Date</w:t>
      </w:r>
      <w:r>
        <w:rPr>
          <w:rFonts w:ascii="Arial" w:cs="Arial" w:eastAsia="Arial" w:hAnsi="Arial"/>
          <w:sz w:val="17"/>
          <w:szCs w:val="17"/>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71" w:lineRule="exact"/>
        <w:rPr>
          <w:rFonts w:ascii="Arial" w:cs="Arial" w:eastAsia="Arial" w:hAnsi="Arial"/>
          <w:sz w:val="17"/>
          <w:szCs w:val="17"/>
          <w:color w:val="auto"/>
        </w:rPr>
      </w:pPr>
    </w:p>
    <w:p>
      <w:pPr>
        <w:jc w:val="both"/>
        <w:ind w:left="-20" w:right="120" w:firstLine="656"/>
        <w:spacing w:after="0" w:line="312" w:lineRule="auto"/>
        <w:tabs>
          <w:tab w:leader="none" w:pos="1284" w:val="left"/>
        </w:tabs>
        <w:numPr>
          <w:ilvl w:val="1"/>
          <w:numId w:val="248"/>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Effective from the date of commencement of discussions concerning the Transaction, Counterparty and each of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6"/>
          <w:szCs w:val="16"/>
          <w:color w:val="auto"/>
        </w:rPr>
      </w:pPr>
    </w:p>
    <w:p>
      <w:pPr>
        <w:jc w:val="both"/>
        <w:ind w:left="-20" w:right="440" w:firstLine="638"/>
        <w:spacing w:after="0" w:line="312" w:lineRule="auto"/>
        <w:tabs>
          <w:tab w:leader="none" w:pos="969"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 xml:space="preserve">No Netting and Set-off. </w:t>
      </w:r>
      <w:r>
        <w:rPr>
          <w:rFonts w:ascii="Arial" w:cs="Arial" w:eastAsia="Arial" w:hAnsi="Arial"/>
          <w:sz w:val="16"/>
          <w:szCs w:val="16"/>
          <w:color w:val="auto"/>
        </w:rPr>
        <w:t>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6" w:lineRule="exact"/>
        <w:rPr>
          <w:rFonts w:ascii="Arial" w:cs="Arial" w:eastAsia="Arial" w:hAnsi="Arial"/>
          <w:sz w:val="16"/>
          <w:szCs w:val="16"/>
          <w:color w:val="auto"/>
        </w:rPr>
      </w:pPr>
    </w:p>
    <w:p>
      <w:pPr>
        <w:ind w:left="-20" w:right="120" w:firstLine="656"/>
        <w:spacing w:after="0" w:line="297" w:lineRule="auto"/>
        <w:tabs>
          <w:tab w:leader="none" w:pos="960" w:val="left"/>
        </w:tabs>
        <w:numPr>
          <w:ilvl w:val="1"/>
          <w:numId w:val="249"/>
        </w:numPr>
        <w:rPr>
          <w:rFonts w:ascii="Arial" w:cs="Arial" w:eastAsia="Arial" w:hAnsi="Arial"/>
          <w:sz w:val="16"/>
          <w:szCs w:val="16"/>
          <w:color w:val="auto"/>
        </w:rPr>
      </w:pPr>
      <w:r>
        <w:rPr>
          <w:rFonts w:ascii="Arial" w:cs="Arial" w:eastAsia="Arial" w:hAnsi="Arial"/>
          <w:sz w:val="16"/>
          <w:szCs w:val="16"/>
          <w:i w:val="1"/>
          <w:iCs w:val="1"/>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left="-20" w:right="20" w:firstLine="656"/>
        <w:spacing w:after="0" w:line="269" w:lineRule="auto"/>
        <w:tabs>
          <w:tab w:leader="none" w:pos="960" w:val="left"/>
        </w:tabs>
        <w:numPr>
          <w:ilvl w:val="1"/>
          <w:numId w:val="249"/>
        </w:numPr>
        <w:rPr>
          <w:rFonts w:ascii="Arial" w:cs="Arial" w:eastAsia="Arial" w:hAnsi="Arial"/>
          <w:sz w:val="17"/>
          <w:szCs w:val="17"/>
          <w:color w:val="auto"/>
        </w:rPr>
      </w:pPr>
      <w:r>
        <w:rPr>
          <w:rFonts w:ascii="Arial" w:cs="Arial" w:eastAsia="Arial" w:hAnsi="Arial"/>
          <w:sz w:val="17"/>
          <w:szCs w:val="17"/>
          <w:i w:val="1"/>
          <w:iCs w:val="1"/>
          <w:color w:val="auto"/>
        </w:rPr>
        <w:t>Early Unwind</w:t>
      </w:r>
      <w:r>
        <w:rPr>
          <w:rFonts w:ascii="Arial" w:cs="Arial" w:eastAsia="Arial" w:hAnsi="Arial"/>
          <w:sz w:val="17"/>
          <w:szCs w:val="17"/>
          <w:color w:val="auto"/>
        </w:rPr>
        <w:t>. In the event the sale by Counterparty of the Optional Securities is not consummated pursuant to the Purchase Agreement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by the close of business in New York on November 1, 2019 (or such later date as agreed upon by the parties) (November 1, 2019 or such later date being the “</w:t>
      </w:r>
      <w:r>
        <w:rPr>
          <w:rFonts w:ascii="Arial" w:cs="Arial" w:eastAsia="Arial" w:hAnsi="Arial"/>
          <w:sz w:val="17"/>
          <w:szCs w:val="17"/>
          <w:b w:val="1"/>
          <w:bCs w:val="1"/>
          <w:color w:val="auto"/>
        </w:rPr>
        <w:t>Early Unwind Date</w:t>
      </w:r>
      <w:r>
        <w:rPr>
          <w:rFonts w:ascii="Arial" w:cs="Arial" w:eastAsia="Arial" w:hAnsi="Arial"/>
          <w:sz w:val="17"/>
          <w:szCs w:val="17"/>
          <w:color w:val="auto"/>
        </w:rPr>
        <w:t>”), the Transaction shall automatically terminate (the “</w:t>
      </w:r>
      <w:r>
        <w:rPr>
          <w:rFonts w:ascii="Arial" w:cs="Arial" w:eastAsia="Arial" w:hAnsi="Arial"/>
          <w:sz w:val="17"/>
          <w:szCs w:val="17"/>
          <w:b w:val="1"/>
          <w:bCs w:val="1"/>
          <w:color w:val="auto"/>
        </w:rPr>
        <w:t>Early Unwind</w:t>
      </w:r>
      <w:r>
        <w:rPr>
          <w:rFonts w:ascii="Arial" w:cs="Arial" w:eastAsia="Arial" w:hAnsi="Arial"/>
          <w:sz w:val="17"/>
          <w:szCs w:val="17"/>
          <w:color w:val="auto"/>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spacing w:after="0" w:line="182" w:lineRule="exact"/>
        <w:rPr>
          <w:rFonts w:ascii="Arial" w:cs="Arial" w:eastAsia="Arial" w:hAnsi="Arial"/>
          <w:sz w:val="17"/>
          <w:szCs w:val="17"/>
          <w:color w:val="auto"/>
        </w:rPr>
      </w:pPr>
    </w:p>
    <w:p>
      <w:pPr>
        <w:ind w:left="-20" w:firstLine="656"/>
        <w:spacing w:after="0" w:line="272" w:lineRule="auto"/>
        <w:tabs>
          <w:tab w:leader="none" w:pos="974" w:val="left"/>
        </w:tabs>
        <w:numPr>
          <w:ilvl w:val="1"/>
          <w:numId w:val="249"/>
        </w:numPr>
        <w:rPr>
          <w:rFonts w:ascii="Arial" w:cs="Arial" w:eastAsia="Arial" w:hAnsi="Arial"/>
          <w:sz w:val="17"/>
          <w:szCs w:val="17"/>
          <w:color w:val="auto"/>
        </w:rPr>
      </w:pPr>
      <w:r>
        <w:rPr>
          <w:rFonts w:ascii="Arial" w:cs="Arial" w:eastAsia="Arial" w:hAnsi="Arial"/>
          <w:sz w:val="17"/>
          <w:szCs w:val="17"/>
          <w:i w:val="1"/>
          <w:iCs w:val="1"/>
          <w:color w:val="auto"/>
        </w:rPr>
        <w:t>Agreements and Acknowledgements Regarding Hedgin</w:t>
      </w:r>
      <w:r>
        <w:rPr>
          <w:rFonts w:ascii="Arial" w:cs="Arial" w:eastAsia="Arial" w:hAnsi="Arial"/>
          <w:sz w:val="17"/>
          <w:szCs w:val="17"/>
          <w:i w:val="1"/>
          <w:iCs w:val="1"/>
          <w:u w:val="single" w:color="auto"/>
          <w:color w:val="auto"/>
        </w:rPr>
        <w:t>g</w:t>
      </w:r>
      <w:r>
        <w:rPr>
          <w:rFonts w:ascii="Arial" w:cs="Arial" w:eastAsia="Arial" w:hAnsi="Arial"/>
          <w:sz w:val="17"/>
          <w:szCs w:val="17"/>
          <w:color w:val="auto"/>
        </w:rPr>
        <w:t>. Counterparty understands, acknowledges and agrees that: (A) at any time on and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23" w:name="page224"/>
    <w:bookmarkEnd w:id="223"/>
    <w:p>
      <w:pPr>
        <w:ind w:right="180"/>
        <w:spacing w:after="0" w:line="264" w:lineRule="auto"/>
        <w:rPr>
          <w:sz w:val="20"/>
          <w:szCs w:val="20"/>
          <w:color w:val="auto"/>
        </w:rPr>
      </w:pPr>
      <w:r>
        <w:rPr>
          <w:rFonts w:ascii="Arial" w:cs="Arial" w:eastAsia="Arial" w:hAnsi="Arial"/>
          <w:sz w:val="18"/>
          <w:szCs w:val="18"/>
          <w:color w:val="auto"/>
        </w:rPr>
        <w:t>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81" w:lineRule="exact"/>
        <w:rPr>
          <w:sz w:val="20"/>
          <w:szCs w:val="20"/>
          <w:color w:val="auto"/>
        </w:rPr>
      </w:pPr>
    </w:p>
    <w:p>
      <w:pPr>
        <w:ind w:right="20" w:firstLine="656"/>
        <w:spacing w:after="0" w:line="254" w:lineRule="auto"/>
        <w:tabs>
          <w:tab w:leader="none" w:pos="976"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Wall Street Transparency and Accountability Act</w:t>
      </w:r>
      <w:r>
        <w:rPr>
          <w:rFonts w:ascii="Arial" w:cs="Arial" w:eastAsia="Arial" w:hAnsi="Arial"/>
          <w:sz w:val="18"/>
          <w:szCs w:val="18"/>
          <w:color w:val="auto"/>
        </w:rPr>
        <w:t>. In connection with Section 739 of the Wall Street Transparency and Accountability Act of</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w:t>
      </w:r>
      <w:r>
        <w:rPr>
          <w:rFonts w:ascii="Arial" w:cs="Arial" w:eastAsia="Arial" w:hAnsi="Arial"/>
          <w:sz w:val="18"/>
          <w:szCs w:val="18"/>
          <w:b w:val="1"/>
          <w:bCs w:val="1"/>
          <w:color w:val="auto"/>
        </w:rPr>
        <w:t>WSTAA</w:t>
      </w:r>
      <w:r>
        <w:rPr>
          <w:rFonts w:ascii="Arial" w:cs="Arial" w:eastAsia="Arial" w:hAnsi="Arial"/>
          <w:sz w:val="18"/>
          <w:szCs w:val="18"/>
          <w:color w:val="auto"/>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90" w:lineRule="exact"/>
        <w:rPr>
          <w:rFonts w:ascii="Arial" w:cs="Arial" w:eastAsia="Arial" w:hAnsi="Arial"/>
          <w:sz w:val="18"/>
          <w:szCs w:val="18"/>
          <w:color w:val="auto"/>
        </w:rPr>
      </w:pPr>
    </w:p>
    <w:p>
      <w:pPr>
        <w:ind w:right="160" w:firstLine="656"/>
        <w:spacing w:after="0" w:line="277" w:lineRule="auto"/>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This Confirmation and the Agreement may not be modified, amended or supplemented, except in a written instrument signed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Counterparty and Dealer.</w:t>
      </w:r>
    </w:p>
    <w:p>
      <w:pPr>
        <w:spacing w:after="0" w:line="170" w:lineRule="exact"/>
        <w:rPr>
          <w:rFonts w:ascii="Arial" w:cs="Arial" w:eastAsia="Arial" w:hAnsi="Arial"/>
          <w:sz w:val="18"/>
          <w:szCs w:val="18"/>
          <w:color w:val="auto"/>
        </w:rPr>
      </w:pPr>
    </w:p>
    <w:p>
      <w:pPr>
        <w:ind w:right="100" w:firstLine="656"/>
        <w:spacing w:after="0" w:line="277" w:lineRule="auto"/>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and the same instrument.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645"/>
        <w:spacing w:after="0" w:line="272" w:lineRule="auto"/>
        <w:tabs>
          <w:tab w:leader="none" w:pos="1978" w:val="left"/>
        </w:tabs>
        <w:numPr>
          <w:ilvl w:val="1"/>
          <w:numId w:val="250"/>
        </w:numPr>
        <w:rPr>
          <w:rFonts w:ascii="Arial" w:cs="Arial" w:eastAsia="Arial" w:hAnsi="Arial"/>
          <w:sz w:val="17"/>
          <w:szCs w:val="17"/>
          <w:color w:val="auto"/>
        </w:rPr>
      </w:pPr>
      <w:r>
        <w:rPr>
          <w:rFonts w:ascii="Arial" w:cs="Arial" w:eastAsia="Arial" w:hAnsi="Arial"/>
          <w:sz w:val="17"/>
          <w:szCs w:val="17"/>
          <w:color w:val="auto"/>
        </w:rPr>
        <w:t>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7" w:lineRule="exact"/>
        <w:rPr>
          <w:rFonts w:ascii="Arial" w:cs="Arial" w:eastAsia="Arial" w:hAnsi="Arial"/>
          <w:sz w:val="17"/>
          <w:szCs w:val="17"/>
          <w:color w:val="auto"/>
        </w:rPr>
      </w:pPr>
    </w:p>
    <w:p>
      <w:pPr>
        <w:ind w:left="660" w:right="20" w:firstLine="645"/>
        <w:spacing w:after="0" w:line="271" w:lineRule="auto"/>
        <w:tabs>
          <w:tab w:leader="none" w:pos="198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Arial" w:cs="Arial" w:eastAsia="Arial" w:hAnsi="Arial"/>
          <w:sz w:val="17"/>
          <w:szCs w:val="17"/>
          <w:b w:val="1"/>
          <w:bCs w:val="1"/>
          <w:color w:val="auto"/>
        </w:rPr>
        <w:t>871(m) Protocol</w:t>
      </w:r>
      <w:r>
        <w:rPr>
          <w:rFonts w:ascii="Arial" w:cs="Arial" w:eastAsia="Arial" w:hAnsi="Arial"/>
          <w:sz w:val="17"/>
          <w:szCs w:val="17"/>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78" w:lineRule="exact"/>
        <w:rPr>
          <w:rFonts w:ascii="Arial" w:cs="Arial" w:eastAsia="Arial" w:hAnsi="Arial"/>
          <w:sz w:val="17"/>
          <w:szCs w:val="17"/>
          <w:color w:val="auto"/>
        </w:rPr>
      </w:pPr>
    </w:p>
    <w:p>
      <w:pPr>
        <w:ind w:left="660" w:right="180" w:firstLine="645"/>
        <w:spacing w:after="0" w:line="342" w:lineRule="auto"/>
        <w:tabs>
          <w:tab w:leader="none" w:pos="1997"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Tax documentation. Counterparty shall provide to Dealer a valid U.S. Internal Revenue Service Form W-9, or any successor thereto, (i) on or before the date of execution of this Confirmation, (ii) upon reasonable request of Dealer and (iii) promptly upon learning that 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24" w:name="page225"/>
    <w:bookmarkEnd w:id="224"/>
    <w:p>
      <w:pPr>
        <w:jc w:val="both"/>
        <w:ind w:left="4" w:right="360"/>
        <w:spacing w:after="0" w:line="312" w:lineRule="auto"/>
        <w:rPr>
          <w:sz w:val="20"/>
          <w:szCs w:val="20"/>
          <w:color w:val="auto"/>
        </w:rPr>
      </w:pPr>
      <w:r>
        <w:rPr>
          <w:rFonts w:ascii="Arial" w:cs="Arial" w:eastAsia="Arial" w:hAnsi="Arial"/>
          <w:sz w:val="16"/>
          <w:szCs w:val="16"/>
          <w:color w:val="auto"/>
        </w:rPr>
        <w:t>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spacing w:after="0" w:line="147" w:lineRule="exact"/>
        <w:rPr>
          <w:sz w:val="20"/>
          <w:szCs w:val="20"/>
          <w:color w:val="auto"/>
        </w:rPr>
      </w:pPr>
    </w:p>
    <w:p>
      <w:pPr>
        <w:ind w:left="4" w:right="60" w:firstLine="645"/>
        <w:spacing w:after="0" w:line="273" w:lineRule="auto"/>
        <w:tabs>
          <w:tab w:leader="none" w:pos="1317" w:val="left"/>
        </w:tabs>
        <w:numPr>
          <w:ilvl w:val="1"/>
          <w:numId w:val="251"/>
        </w:numPr>
        <w:rPr>
          <w:rFonts w:ascii="Arial" w:cs="Arial" w:eastAsia="Arial" w:hAnsi="Arial"/>
          <w:sz w:val="17"/>
          <w:szCs w:val="17"/>
          <w:color w:val="auto"/>
        </w:rPr>
      </w:pPr>
      <w:r>
        <w:rPr>
          <w:rFonts w:ascii="Arial" w:cs="Arial" w:eastAsia="Arial" w:hAnsi="Arial"/>
          <w:sz w:val="17"/>
          <w:szCs w:val="17"/>
          <w:color w:val="auto"/>
        </w:rPr>
        <w:t>Tax Representations. For the purpose of Section 3(f) of the Agreement, Counterparty is a corporation for U.S. federal income tax purposes and is organized under the laws of the State of Iowa.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spacing w:after="0" w:line="178" w:lineRule="exact"/>
        <w:rPr>
          <w:rFonts w:ascii="Arial" w:cs="Arial" w:eastAsia="Arial" w:hAnsi="Arial"/>
          <w:sz w:val="17"/>
          <w:szCs w:val="17"/>
          <w:color w:val="auto"/>
        </w:rPr>
      </w:pPr>
    </w:p>
    <w:p>
      <w:pPr>
        <w:ind w:left="664" w:hanging="664"/>
        <w:spacing w:after="0"/>
        <w:tabs>
          <w:tab w:leader="none" w:pos="664"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QFC Stay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289" w:lineRule="auto"/>
        <w:tabs>
          <w:tab w:leader="none" w:pos="1322"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spacing w:after="0" w:line="166" w:lineRule="exact"/>
        <w:rPr>
          <w:rFonts w:ascii="Arial" w:cs="Arial" w:eastAsia="Arial" w:hAnsi="Arial"/>
          <w:sz w:val="16"/>
          <w:szCs w:val="16"/>
          <w:color w:val="auto"/>
        </w:rPr>
      </w:pPr>
    </w:p>
    <w:p>
      <w:pPr>
        <w:ind w:left="4" w:right="20" w:firstLine="645"/>
        <w:spacing w:after="0" w:line="271" w:lineRule="auto"/>
        <w:tabs>
          <w:tab w:leader="none" w:pos="1331" w:val="left"/>
        </w:tabs>
        <w:numPr>
          <w:ilvl w:val="1"/>
          <w:numId w:val="25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Arial" w:cs="Arial" w:eastAsia="Arial" w:hAnsi="Arial"/>
          <w:sz w:val="17"/>
          <w:szCs w:val="17"/>
          <w:b w:val="1"/>
          <w:bCs w:val="1"/>
          <w:color w:val="auto"/>
        </w:rPr>
        <w:t>Insolvency</w:t>
      </w:r>
      <w:r>
        <w:rPr>
          <w:rFonts w:ascii="Arial" w:cs="Arial" w:eastAsia="Arial" w:hAnsi="Arial"/>
          <w:sz w:val="17"/>
          <w:szCs w:val="17"/>
          <w:color w:val="auto"/>
        </w:rPr>
        <w:t xml:space="preserve"> </w:t>
      </w:r>
      <w:r>
        <w:rPr>
          <w:rFonts w:ascii="Arial" w:cs="Arial" w:eastAsia="Arial" w:hAnsi="Arial"/>
          <w:sz w:val="17"/>
          <w:szCs w:val="17"/>
          <w:b w:val="1"/>
          <w:bCs w:val="1"/>
          <w:color w:val="auto"/>
        </w:rPr>
        <w:t>Proceeding</w:t>
      </w:r>
      <w:r>
        <w:rPr>
          <w:rFonts w:ascii="Arial" w:cs="Arial" w:eastAsia="Arial" w:hAnsi="Arial"/>
          <w:sz w:val="17"/>
          <w:szCs w:val="17"/>
          <w:color w:val="auto"/>
        </w:rPr>
        <w:t>”), except to the extent that the exercise of such Default Right would be permitted under the provisions of 12 C.F.R. 252.84, 12 C.F.R.</w:t>
      </w:r>
      <w:r>
        <w:rPr>
          <w:rFonts w:ascii="Arial" w:cs="Arial" w:eastAsia="Arial" w:hAnsi="Arial"/>
          <w:sz w:val="17"/>
          <w:szCs w:val="17"/>
          <w:b w:val="1"/>
          <w:bCs w:val="1"/>
          <w:color w:val="auto"/>
        </w:rPr>
        <w:t xml:space="preserve"> </w:t>
      </w:r>
      <w:r>
        <w:rPr>
          <w:rFonts w:ascii="Arial" w:cs="Arial" w:eastAsia="Arial" w:hAnsi="Arial"/>
          <w:sz w:val="17"/>
          <w:szCs w:val="17"/>
          <w:color w:val="auto"/>
        </w:rPr>
        <w:t>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spacing w:after="0" w:line="178" w:lineRule="exact"/>
        <w:rPr>
          <w:rFonts w:ascii="Arial" w:cs="Arial" w:eastAsia="Arial" w:hAnsi="Arial"/>
          <w:sz w:val="17"/>
          <w:szCs w:val="17"/>
          <w:color w:val="auto"/>
        </w:rPr>
      </w:pPr>
    </w:p>
    <w:p>
      <w:pPr>
        <w:ind w:left="4" w:right="80" w:firstLine="645"/>
        <w:spacing w:after="0" w:line="273" w:lineRule="auto"/>
        <w:tabs>
          <w:tab w:leader="none" w:pos="1341"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If Counterparty has previously adhered to, or subsequently adheres to, the ISDA 2018 U.S. Resolution Stay Protocol as published by the International Swaps and Derivatives Association, Inc. as of July 31, 2018 (the “</w:t>
      </w:r>
      <w:r>
        <w:rPr>
          <w:rFonts w:ascii="Arial" w:cs="Arial" w:eastAsia="Arial" w:hAnsi="Arial"/>
          <w:sz w:val="17"/>
          <w:szCs w:val="17"/>
          <w:b w:val="1"/>
          <w:bCs w:val="1"/>
          <w:color w:val="auto"/>
        </w:rPr>
        <w:t>ISDA U.S. Protocol</w:t>
      </w:r>
      <w:r>
        <w:rPr>
          <w:rFonts w:ascii="Arial" w:cs="Arial" w:eastAsia="Arial" w:hAnsi="Arial"/>
          <w:sz w:val="17"/>
          <w:szCs w:val="17"/>
          <w:color w:val="auto"/>
        </w:rPr>
        <w:t>”), the terms of such protocol shall be incorporated into and form a part of this Confirmation and the terms of the ISDA U.S. Protocol shall supersede and replace the terms of this Section 8(r).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225" w:name="page226"/>
    <w:bookmarkEnd w:id="225"/>
    <w:p>
      <w:pPr>
        <w:ind w:left="660" w:right="40" w:firstLine="645"/>
        <w:spacing w:after="0" w:line="257" w:lineRule="auto"/>
        <w:tabs>
          <w:tab w:leader="none" w:pos="197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Arial" w:cs="Arial" w:eastAsia="Arial" w:hAnsi="Arial"/>
          <w:sz w:val="18"/>
          <w:szCs w:val="18"/>
          <w:b w:val="1"/>
          <w:bCs w:val="1"/>
          <w:color w:val="auto"/>
        </w:rPr>
        <w:t>Preexisting In-Scope Agreement</w:t>
      </w:r>
      <w:r>
        <w:rPr>
          <w:rFonts w:ascii="Arial" w:cs="Arial" w:eastAsia="Arial" w:hAnsi="Arial"/>
          <w:sz w:val="18"/>
          <w:szCs w:val="18"/>
          <w:color w:val="auto"/>
        </w:rPr>
        <w:t>”), then each such Preexisting In-Scope Agreement is hereby amended to include the foregoing provisions in this Section 8(r), with references to “this Confirmation” being understood to be references to the applicable Preexisting In-Scope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Section 8(r):</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defined in, and shall be interpreted in accordance with, 12 U.S.C. § 1841(k).</w:t>
      </w:r>
    </w:p>
    <w:p>
      <w:pPr>
        <w:spacing w:after="0" w:line="225" w:lineRule="exact"/>
        <w:rPr>
          <w:sz w:val="20"/>
          <w:szCs w:val="20"/>
          <w:color w:val="auto"/>
        </w:rPr>
      </w:pPr>
    </w:p>
    <w:p>
      <w:pPr>
        <w:ind w:left="1300"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w:t>
      </w:r>
      <w:r>
        <w:rPr>
          <w:rFonts w:ascii="Arial" w:cs="Arial" w:eastAsia="Arial" w:hAnsi="Arial"/>
          <w:sz w:val="18"/>
          <w:szCs w:val="18"/>
          <w:color w:val="auto"/>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180" w:lineRule="exact"/>
        <w:rPr>
          <w:sz w:val="20"/>
          <w:szCs w:val="20"/>
          <w:color w:val="auto"/>
        </w:rPr>
      </w:pPr>
    </w:p>
    <w:p>
      <w:pPr>
        <w:ind w:left="880" w:hanging="224"/>
        <w:spacing w:after="0"/>
        <w:tabs>
          <w:tab w:leader="none" w:pos="88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225" w:lineRule="exact"/>
        <w:rPr>
          <w:sz w:val="20"/>
          <w:szCs w:val="20"/>
          <w:color w:val="auto"/>
        </w:rPr>
      </w:pPr>
    </w:p>
    <w:p>
      <w:pPr>
        <w:ind w:right="300" w:firstLine="656"/>
        <w:spacing w:after="0" w:line="282" w:lineRule="auto"/>
        <w:tabs>
          <w:tab w:leader="none" w:pos="130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awards are generally final and binding; a party’s ability to have a court reverse or modify an arbitration award is very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limited.</w:t>
      </w:r>
    </w:p>
    <w:p>
      <w:pPr>
        <w:spacing w:after="0" w:line="206" w:lineRule="exact"/>
        <w:rPr>
          <w:rFonts w:ascii="Arial" w:cs="Arial" w:eastAsia="Arial" w:hAnsi="Arial"/>
          <w:sz w:val="16"/>
          <w:szCs w:val="16"/>
          <w:b w:val="1"/>
          <w:bCs w:val="1"/>
          <w:color w:val="auto"/>
        </w:rPr>
      </w:pPr>
    </w:p>
    <w:p>
      <w:pPr>
        <w:ind w:right="80" w:firstLine="656"/>
        <w:spacing w:after="0" w:line="282" w:lineRule="auto"/>
        <w:tabs>
          <w:tab w:leader="none" w:pos="1307"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the parties to obtain documents, witness statements and other discovery is generally more limited in arbitration than in court proceedings.</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do not have to explain the reason(s) for their award.</w:t>
      </w:r>
    </w:p>
    <w:p>
      <w:pPr>
        <w:spacing w:after="0" w:line="225" w:lineRule="exact"/>
        <w:rPr>
          <w:rFonts w:ascii="Arial" w:cs="Arial" w:eastAsia="Arial" w:hAnsi="Arial"/>
          <w:sz w:val="18"/>
          <w:szCs w:val="18"/>
          <w:b w:val="1"/>
          <w:bCs w:val="1"/>
          <w:color w:val="auto"/>
        </w:rPr>
      </w:pPr>
    </w:p>
    <w:p>
      <w:pPr>
        <w:jc w:val="both"/>
        <w:ind w:right="460" w:firstLine="656"/>
        <w:spacing w:after="0" w:line="266" w:lineRule="auto"/>
        <w:tabs>
          <w:tab w:leader="none" w:pos="1307"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6" w:lineRule="exact"/>
        <w:rPr>
          <w:rFonts w:ascii="Arial" w:cs="Arial" w:eastAsia="Arial" w:hAnsi="Arial"/>
          <w:sz w:val="18"/>
          <w:szCs w:val="18"/>
          <w:b w:val="1"/>
          <w:bCs w:val="1"/>
          <w:color w:val="auto"/>
        </w:rPr>
      </w:pPr>
    </w:p>
    <w:p>
      <w:pPr>
        <w:ind w:right="420" w:firstLine="656"/>
        <w:spacing w:after="0" w:line="282" w:lineRule="auto"/>
        <w:tabs>
          <w:tab w:leader="none" w:pos="1301"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The rules of some arbitration forums may impose time limits for bringing a claim in arbitration. In some cases, a claim that is ineligible for arbitration may be brought in court.</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The rules of the arbitration forum in which the claim is filed, and any amendments thereto, shall be incorporated into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Confirmation.</w:t>
      </w:r>
    </w:p>
    <w:p>
      <w:pPr>
        <w:spacing w:after="0" w:line="206" w:lineRule="exact"/>
        <w:rPr>
          <w:rFonts w:ascii="Arial" w:cs="Arial" w:eastAsia="Arial" w:hAnsi="Arial"/>
          <w:sz w:val="17"/>
          <w:szCs w:val="17"/>
          <w:b w:val="1"/>
          <w:bCs w:val="1"/>
          <w:color w:val="auto"/>
        </w:rPr>
      </w:pPr>
    </w:p>
    <w:p>
      <w:pPr>
        <w:ind w:firstLine="656"/>
        <w:spacing w:after="0" w:line="258" w:lineRule="auto"/>
        <w:tabs>
          <w:tab w:leader="none" w:pos="131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83" w:lineRule="exact"/>
        <w:rPr>
          <w:rFonts w:ascii="Arial" w:cs="Arial" w:eastAsia="Arial" w:hAnsi="Arial"/>
          <w:sz w:val="18"/>
          <w:szCs w:val="18"/>
          <w:b w:val="1"/>
          <w:bCs w:val="1"/>
          <w:color w:val="auto"/>
        </w:rPr>
      </w:pPr>
    </w:p>
    <w:p>
      <w:pPr>
        <w:jc w:val="both"/>
        <w:ind w:right="180" w:firstLine="656"/>
        <w:spacing w:after="0" w:line="347" w:lineRule="auto"/>
        <w:tabs>
          <w:tab w:leader="none" w:pos="1304"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b w:val="1"/>
          <w:bCs w:val="1"/>
          <w:color w:val="auto"/>
        </w:rPr>
        <w:t>respect to any claims encompassed by the putative class action until: (i) the class certification is denied; (ii) the class is decertified; or</w:t>
      </w:r>
    </w:p>
    <w:p>
      <w:pPr>
        <w:spacing w:after="0" w:line="39" w:lineRule="exact"/>
        <w:rPr>
          <w:sz w:val="20"/>
          <w:szCs w:val="20"/>
          <w:color w:val="auto"/>
        </w:rPr>
      </w:pPr>
    </w:p>
    <w:p>
      <w:pPr>
        <w:ind w:left="320" w:hanging="312"/>
        <w:spacing w:after="0"/>
        <w:tabs>
          <w:tab w:leader="none" w:pos="32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is excluded from the class by the court.</w:t>
      </w:r>
    </w:p>
    <w:p>
      <w:pPr>
        <w:spacing w:after="0" w:line="206" w:lineRule="exact"/>
        <w:rPr>
          <w:rFonts w:ascii="Arial" w:cs="Arial" w:eastAsia="Arial" w:hAnsi="Arial"/>
          <w:sz w:val="18"/>
          <w:szCs w:val="18"/>
          <w:b w:val="1"/>
          <w:bCs w:val="1"/>
          <w:color w:val="auto"/>
        </w:rPr>
      </w:pPr>
    </w:p>
    <w:p>
      <w:pPr>
        <w:ind w:firstLine="656"/>
        <w:spacing w:after="0" w:line="282" w:lineRule="auto"/>
        <w:tabs>
          <w:tab w:leader="none" w:pos="1314"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Such forbearance to enforce an agreement to arbitrate shall not constitute a waiver of any rights under this Confirmation except to the extent stated herein.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27" w:name="page228"/>
    <w:bookmarkEnd w:id="227"/>
    <w:p>
      <w:pPr>
        <w:ind w:firstLine="648"/>
        <w:spacing w:after="0" w:line="257" w:lineRule="auto"/>
        <w:rPr>
          <w:sz w:val="20"/>
          <w:szCs w:val="20"/>
          <w:color w:val="auto"/>
        </w:rPr>
      </w:pPr>
      <w:r>
        <w:rPr>
          <w:rFonts w:ascii="Arial" w:cs="Arial" w:eastAsia="Arial" w:hAnsi="Arial"/>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LLC, Equity Derivatives Documentation Department, Facsimile No. (212) 428-1980/83.</w:t>
      </w:r>
    </w:p>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Jonathan Armstrong</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Jonathan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41" w:right="47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18" w:lineRule="auto"/>
        <w:rPr>
          <w:sz w:val="20"/>
          <w:szCs w:val="20"/>
          <w:color w:val="auto"/>
        </w:rPr>
      </w:pPr>
      <w:r>
        <w:rPr>
          <w:rFonts w:ascii="Arial" w:cs="Arial" w:eastAsia="Arial" w:hAnsi="Arial"/>
          <w:sz w:val="18"/>
          <w:szCs w:val="18"/>
          <w:color w:val="auto"/>
        </w:rPr>
        <w:t>55 Bloor Street West,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M4W 1A5</w:t>
      </w: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(416) 552-4177</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(416) 552-7904</w:t>
      </w:r>
    </w:p>
    <w:p>
      <w:pPr>
        <w:spacing w:after="0" w:line="211"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pacing w:after="0" w:line="2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Winnebago Industries,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Forest City, Iowa 50436</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Bank of Montreal</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Additional Convertible Bond Hedge Transaction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October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Bank of Montreal (“</w:t>
      </w:r>
      <w:r>
        <w:rPr>
          <w:rFonts w:ascii="Arial" w:cs="Arial" w:eastAsia="Arial" w:hAnsi="Arial"/>
          <w:sz w:val="18"/>
          <w:szCs w:val="18"/>
          <w:b w:val="1"/>
          <w:bCs w:val="1"/>
          <w:color w:val="auto"/>
        </w:rPr>
        <w:t>Dealer</w:t>
      </w:r>
      <w:r>
        <w:rPr>
          <w:rFonts w:ascii="Arial" w:cs="Arial" w:eastAsia="Arial" w:hAnsi="Arial"/>
          <w:sz w:val="18"/>
          <w:szCs w:val="18"/>
          <w:color w:val="auto"/>
        </w:rPr>
        <w:t>”) and Winnebago Industries, Inc. (“</w:t>
      </w:r>
      <w:r>
        <w:rPr>
          <w:rFonts w:ascii="Arial" w:cs="Arial" w:eastAsia="Arial" w:hAnsi="Arial"/>
          <w:sz w:val="18"/>
          <w:szCs w:val="18"/>
          <w:b w:val="1"/>
          <w:bCs w:val="1"/>
          <w:color w:val="auto"/>
        </w:rPr>
        <w:t>Counterparty</w:t>
      </w:r>
      <w:r>
        <w:rPr>
          <w:rFonts w:ascii="Arial" w:cs="Arial" w:eastAsia="Arial" w:hAnsi="Arial"/>
          <w:sz w:val="18"/>
          <w:szCs w:val="18"/>
          <w:color w:val="auto"/>
        </w:rPr>
        <w:t>”). Dealer is acting as principal in this Transaction and BMO Capital Markets Corp. (“</w:t>
      </w:r>
      <w:r>
        <w:rPr>
          <w:rFonts w:ascii="Arial" w:cs="Arial" w:eastAsia="Arial" w:hAnsi="Arial"/>
          <w:sz w:val="18"/>
          <w:szCs w:val="18"/>
          <w:b w:val="1"/>
          <w:bCs w:val="1"/>
          <w:color w:val="auto"/>
        </w:rPr>
        <w:t>Agent</w:t>
      </w:r>
      <w:r>
        <w:rPr>
          <w:rFonts w:ascii="Arial" w:cs="Arial" w:eastAsia="Arial" w:hAnsi="Arial"/>
          <w:sz w:val="18"/>
          <w:szCs w:val="18"/>
          <w:color w:val="auto"/>
        </w:rPr>
        <w:t>”), its affiliate, is acting as agent for this Transaction solely in connection with Rule 15a-6 of the Exchange Act (as defined herein), as amended. This communication constitutes a “Confirmation” as referred to in the ISDA Master Agreement specified below.</w:t>
      </w:r>
    </w:p>
    <w:p>
      <w:pPr>
        <w:spacing w:after="0" w:line="184" w:lineRule="exact"/>
        <w:rPr>
          <w:sz w:val="20"/>
          <w:szCs w:val="20"/>
          <w:color w:val="auto"/>
        </w:rPr>
      </w:pPr>
    </w:p>
    <w:p>
      <w:pPr>
        <w:ind w:right="20" w:firstLine="656"/>
        <w:spacing w:after="0" w:line="268" w:lineRule="auto"/>
        <w:tabs>
          <w:tab w:leader="none" w:pos="972"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2006 ISDA Definitions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and together with the 2006 Definitions, the “</w:t>
      </w:r>
      <w:r>
        <w:rPr>
          <w:rFonts w:ascii="Arial" w:cs="Arial" w:eastAsia="Arial" w:hAnsi="Arial"/>
          <w:sz w:val="17"/>
          <w:szCs w:val="17"/>
          <w:b w:val="1"/>
          <w:bCs w:val="1"/>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Certain defined terms used herein have the meanings assigned to them in the Indenture to be dated as of November 1, 2019 between Counterparty and U.S. Bank National Association,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relating to the USD 270,000,000 principal amount of 1.50% Convertible Senior Notes due 2025 (the “</w:t>
      </w:r>
      <w:r>
        <w:rPr>
          <w:rFonts w:ascii="Arial" w:cs="Arial" w:eastAsia="Arial" w:hAnsi="Arial"/>
          <w:sz w:val="17"/>
          <w:szCs w:val="17"/>
          <w:b w:val="1"/>
          <w:bCs w:val="1"/>
          <w:color w:val="auto"/>
        </w:rPr>
        <w:t>Base Convertible Securities</w:t>
      </w:r>
      <w:r>
        <w:rPr>
          <w:rFonts w:ascii="Arial" w:cs="Arial" w:eastAsia="Arial" w:hAnsi="Arial"/>
          <w:sz w:val="17"/>
          <w:szCs w:val="17"/>
          <w:color w:val="auto"/>
        </w:rPr>
        <w:t>”) and the additional USD 30,000,000 principal amount of 1.50% Convertible Senior Notes due 2025 issued pursuant to the option to purchase additional convertible securities exercised on the date hereof (the “</w:t>
      </w:r>
      <w:r>
        <w:rPr>
          <w:rFonts w:ascii="Arial" w:cs="Arial" w:eastAsia="Arial" w:hAnsi="Arial"/>
          <w:sz w:val="17"/>
          <w:szCs w:val="17"/>
          <w:b w:val="1"/>
          <w:bCs w:val="1"/>
          <w:color w:val="auto"/>
        </w:rPr>
        <w:t>Optional Convertible Securities</w:t>
      </w:r>
      <w:r>
        <w:rPr>
          <w:rFonts w:ascii="Arial" w:cs="Arial" w:eastAsia="Arial" w:hAnsi="Arial"/>
          <w:sz w:val="17"/>
          <w:szCs w:val="17"/>
          <w:color w:val="auto"/>
        </w:rPr>
        <w:t>” and, together with the Base Convertible Securities, the “</w:t>
      </w:r>
      <w:r>
        <w:rPr>
          <w:rFonts w:ascii="Arial" w:cs="Arial" w:eastAsia="Arial" w:hAnsi="Arial"/>
          <w:sz w:val="17"/>
          <w:szCs w:val="17"/>
          <w:b w:val="1"/>
          <w:bCs w:val="1"/>
          <w:color w:val="auto"/>
        </w:rPr>
        <w:t>Convertible</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In the event of any inconsistency between the terms defined in the Indenture and this Confirmation, this Confirmation shall govern.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Counterparty is hereby advised, and Counterparty acknowledges, that Dealer has engaged in, or refrained from engaging in, substantial financial transactions and has taken other material 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t>reliance upon the parties’ entry into the Transaction to which this Confirmation relates on the terms and conditions set forth below.</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(ii) the replacement of the word “third” in the last line of Section 5(a)(i) of the Agreement with the word “first”, and (iii) the election that the “Cross Default” provisions of Section 5(a)(vi) of the Agreement shall apply to Counterparty with a “Threshold Amount” of USD15.0 million).</w:t>
      </w:r>
    </w:p>
    <w:p>
      <w:pPr>
        <w:spacing w:after="0" w:line="19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spacing w:after="0" w:line="158"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100" w:firstLine="656"/>
        <w:spacing w:after="0" w:line="277" w:lineRule="auto"/>
        <w:tabs>
          <w:tab w:leader="none" w:pos="9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General Terms:</w:t>
            </w:r>
          </w:p>
        </w:tc>
        <w:tc>
          <w:tcPr>
            <w:tcW w:w="8300" w:type="dxa"/>
            <w:vAlign w:val="bottom"/>
          </w:tcPr>
          <w:p>
            <w:pPr>
              <w:spacing w:after="0"/>
              <w:rPr>
                <w:sz w:val="20"/>
                <w:szCs w:val="20"/>
                <w:color w:val="auto"/>
              </w:rPr>
            </w:pP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8300" w:type="dxa"/>
            <w:vAlign w:val="bottom"/>
          </w:tcPr>
          <w:p>
            <w:pPr>
              <w:ind w:left="840"/>
              <w:spacing w:after="0"/>
              <w:rPr>
                <w:sz w:val="20"/>
                <w:szCs w:val="20"/>
                <w:color w:val="auto"/>
              </w:rPr>
            </w:pPr>
            <w:r>
              <w:rPr>
                <w:rFonts w:ascii="Arial" w:cs="Arial" w:eastAsia="Arial" w:hAnsi="Arial"/>
                <w:sz w:val="18"/>
                <w:szCs w:val="18"/>
                <w:color w:val="auto"/>
              </w:rPr>
              <w:t>October 30, 2019</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8300" w:type="dxa"/>
            <w:vAlign w:val="bottom"/>
          </w:tcPr>
          <w:p>
            <w:pPr>
              <w:ind w:left="840"/>
              <w:spacing w:after="0"/>
              <w:rPr>
                <w:sz w:val="20"/>
                <w:szCs w:val="20"/>
                <w:color w:val="auto"/>
              </w:rPr>
            </w:pPr>
            <w:r>
              <w:rPr>
                <w:rFonts w:ascii="Arial" w:cs="Arial" w:eastAsia="Arial" w:hAnsi="Arial"/>
                <w:sz w:val="18"/>
                <w:szCs w:val="18"/>
                <w:color w:val="auto"/>
                <w:w w:val="90"/>
              </w:rPr>
              <w:t>The closing date of the issuance of the Convertible Securities issued pursuant to the option to purchase</w:t>
            </w:r>
          </w:p>
        </w:tc>
      </w:tr>
      <w:tr>
        <w:trPr>
          <w:trHeight w:val="230"/>
        </w:trPr>
        <w:tc>
          <w:tcPr>
            <w:tcW w:w="3160" w:type="dxa"/>
            <w:vAlign w:val="bottom"/>
          </w:tcPr>
          <w:p>
            <w:pPr>
              <w:spacing w:after="0"/>
              <w:rPr>
                <w:sz w:val="20"/>
                <w:szCs w:val="20"/>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rPr>
              <w:t>additional Convertible Securities exercised on the date hereof.</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Option Style:</w:t>
            </w:r>
          </w:p>
        </w:tc>
        <w:tc>
          <w:tcPr>
            <w:tcW w:w="8300" w:type="dxa"/>
            <w:vAlign w:val="bottom"/>
          </w:tcPr>
          <w:p>
            <w:pPr>
              <w:ind w:left="840"/>
              <w:spacing w:after="0"/>
              <w:rPr>
                <w:sz w:val="20"/>
                <w:szCs w:val="20"/>
                <w:color w:val="auto"/>
              </w:rPr>
            </w:pPr>
            <w:r>
              <w:rPr>
                <w:rFonts w:ascii="Arial" w:cs="Arial" w:eastAsia="Arial" w:hAnsi="Arial"/>
                <w:sz w:val="18"/>
                <w:szCs w:val="18"/>
                <w:color w:val="auto"/>
              </w:rPr>
              <w:t>Modified American, as described under “Procedures for Exercise” below.</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Option Type:</w:t>
            </w:r>
          </w:p>
        </w:tc>
        <w:tc>
          <w:tcPr>
            <w:tcW w:w="8300" w:type="dxa"/>
            <w:vAlign w:val="bottom"/>
          </w:tcPr>
          <w:p>
            <w:pPr>
              <w:ind w:left="840"/>
              <w:spacing w:after="0"/>
              <w:rPr>
                <w:sz w:val="20"/>
                <w:szCs w:val="20"/>
                <w:color w:val="auto"/>
              </w:rPr>
            </w:pPr>
            <w:r>
              <w:rPr>
                <w:rFonts w:ascii="Arial" w:cs="Arial" w:eastAsia="Arial" w:hAnsi="Arial"/>
                <w:sz w:val="18"/>
                <w:szCs w:val="18"/>
                <w:color w:val="auto"/>
              </w:rPr>
              <w:t>Call</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Seller:</w:t>
            </w:r>
          </w:p>
        </w:tc>
        <w:tc>
          <w:tcPr>
            <w:tcW w:w="8300" w:type="dxa"/>
            <w:vAlign w:val="bottom"/>
          </w:tcPr>
          <w:p>
            <w:pPr>
              <w:ind w:left="840"/>
              <w:spacing w:after="0"/>
              <w:rPr>
                <w:sz w:val="20"/>
                <w:szCs w:val="20"/>
                <w:color w:val="auto"/>
              </w:rPr>
            </w:pPr>
            <w:r>
              <w:rPr>
                <w:rFonts w:ascii="Arial" w:cs="Arial" w:eastAsia="Arial" w:hAnsi="Arial"/>
                <w:sz w:val="18"/>
                <w:szCs w:val="18"/>
                <w:color w:val="auto"/>
              </w:rPr>
              <w:t>Dealer</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Buyer:</w:t>
            </w:r>
          </w:p>
        </w:tc>
        <w:tc>
          <w:tcPr>
            <w:tcW w:w="8300" w:type="dxa"/>
            <w:vAlign w:val="bottom"/>
          </w:tcPr>
          <w:p>
            <w:pPr>
              <w:ind w:left="840"/>
              <w:spacing w:after="0"/>
              <w:rPr>
                <w:sz w:val="20"/>
                <w:szCs w:val="20"/>
                <w:color w:val="auto"/>
              </w:rPr>
            </w:pPr>
            <w:r>
              <w:rPr>
                <w:rFonts w:ascii="Arial" w:cs="Arial" w:eastAsia="Arial" w:hAnsi="Arial"/>
                <w:sz w:val="18"/>
                <w:szCs w:val="18"/>
                <w:color w:val="auto"/>
              </w:rPr>
              <w:t>Counterparty</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Shares:</w:t>
            </w:r>
          </w:p>
        </w:tc>
        <w:tc>
          <w:tcPr>
            <w:tcW w:w="8300" w:type="dxa"/>
            <w:vAlign w:val="bottom"/>
          </w:tcPr>
          <w:p>
            <w:pPr>
              <w:ind w:left="840"/>
              <w:spacing w:after="0"/>
              <w:rPr>
                <w:sz w:val="20"/>
                <w:szCs w:val="20"/>
                <w:color w:val="auto"/>
              </w:rPr>
            </w:pPr>
            <w:r>
              <w:rPr>
                <w:rFonts w:ascii="Arial" w:cs="Arial" w:eastAsia="Arial" w:hAnsi="Arial"/>
                <w:sz w:val="18"/>
                <w:szCs w:val="18"/>
                <w:color w:val="auto"/>
              </w:rPr>
              <w:t>The Common Stock of Counterparty, par value USD0.50 (Ticker Symbol: “WGO”).</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Applicable Percentage:</w:t>
            </w:r>
          </w:p>
        </w:tc>
        <w:tc>
          <w:tcPr>
            <w:tcW w:w="8300" w:type="dxa"/>
            <w:vAlign w:val="bottom"/>
          </w:tcPr>
          <w:p>
            <w:pPr>
              <w:ind w:left="840"/>
              <w:spacing w:after="0"/>
              <w:rPr>
                <w:sz w:val="20"/>
                <w:szCs w:val="20"/>
                <w:color w:val="auto"/>
              </w:rPr>
            </w:pPr>
            <w:r>
              <w:rPr>
                <w:rFonts w:ascii="Arial" w:cs="Arial" w:eastAsia="Arial" w:hAnsi="Arial"/>
                <w:sz w:val="18"/>
                <w:szCs w:val="18"/>
                <w:color w:val="auto"/>
              </w:rPr>
              <w:t>50.00%</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8300" w:type="dxa"/>
            <w:vAlign w:val="bottom"/>
          </w:tcPr>
          <w:p>
            <w:pPr>
              <w:ind w:left="840"/>
              <w:spacing w:after="0"/>
              <w:rPr>
                <w:sz w:val="20"/>
                <w:szCs w:val="20"/>
                <w:color w:val="auto"/>
              </w:rPr>
            </w:pPr>
            <w:r>
              <w:rPr>
                <w:rFonts w:ascii="Arial" w:cs="Arial" w:eastAsia="Arial" w:hAnsi="Arial"/>
                <w:sz w:val="18"/>
                <w:szCs w:val="18"/>
                <w:color w:val="auto"/>
                <w:w w:val="98"/>
              </w:rPr>
              <w:t>The number of Optional Convertible Securities in denominations of USD1,000 principal amount</w:t>
            </w:r>
          </w:p>
        </w:tc>
      </w:tr>
      <w:tr>
        <w:trPr>
          <w:trHeight w:val="230"/>
        </w:trPr>
        <w:tc>
          <w:tcPr>
            <w:tcW w:w="3160" w:type="dxa"/>
            <w:vAlign w:val="bottom"/>
          </w:tcPr>
          <w:p>
            <w:pPr>
              <w:spacing w:after="0"/>
              <w:rPr>
                <w:sz w:val="20"/>
                <w:szCs w:val="20"/>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0"/>
              </w:rPr>
              <w:t>purchased by the Initial Purchasers (as defined in the Purchase Agreement), at their option pursuant to</w:t>
            </w:r>
          </w:p>
        </w:tc>
      </w:tr>
      <w:tr>
        <w:trPr>
          <w:trHeight w:val="432"/>
        </w:trPr>
        <w:tc>
          <w:tcPr>
            <w:tcW w:w="3160" w:type="dxa"/>
            <w:vAlign w:val="bottom"/>
          </w:tcPr>
          <w:p>
            <w:pPr>
              <w:spacing w:after="0"/>
              <w:rPr>
                <w:sz w:val="24"/>
                <w:szCs w:val="24"/>
                <w:color w:val="auto"/>
              </w:rPr>
            </w:pPr>
          </w:p>
        </w:tc>
        <w:tc>
          <w:tcPr>
            <w:tcW w:w="8300" w:type="dxa"/>
            <w:vAlign w:val="bottom"/>
          </w:tcPr>
          <w:p>
            <w:pPr>
              <w:ind w:left="2500"/>
              <w:spacing w:after="0"/>
              <w:rPr>
                <w:sz w:val="20"/>
                <w:szCs w:val="20"/>
                <w:color w:val="auto"/>
              </w:rPr>
            </w:pPr>
            <w:r>
              <w:rPr>
                <w:rFonts w:ascii="Arial" w:cs="Arial" w:eastAsia="Arial" w:hAnsi="Arial"/>
                <w:sz w:val="18"/>
                <w:szCs w:val="18"/>
                <w:color w:val="auto"/>
              </w:rPr>
              <w:t>2</w:t>
            </w:r>
          </w:p>
        </w:tc>
      </w:tr>
      <w:tr>
        <w:trPr>
          <w:trHeight w:val="132"/>
        </w:trPr>
        <w:tc>
          <w:tcPr>
            <w:tcW w:w="3160" w:type="dxa"/>
            <w:vAlign w:val="bottom"/>
            <w:tcBorders>
              <w:bottom w:val="single" w:sz="8" w:color="808080"/>
            </w:tcBorders>
          </w:tcPr>
          <w:p>
            <w:pPr>
              <w:spacing w:after="0"/>
              <w:rPr>
                <w:sz w:val="11"/>
                <w:szCs w:val="11"/>
                <w:color w:val="auto"/>
              </w:rPr>
            </w:pPr>
          </w:p>
        </w:tc>
        <w:tc>
          <w:tcPr>
            <w:tcW w:w="8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w w:val="93"/>
              </w:rPr>
              <w:t>Section 2 of the Purchase Agreement (as defined below). For the avoidance of doubt, the Number of</w:t>
            </w:r>
          </w:p>
        </w:tc>
      </w:tr>
      <w:tr>
        <w:trPr>
          <w:trHeight w:val="230"/>
        </w:trPr>
        <w:tc>
          <w:tcPr>
            <w:tcW w:w="3560" w:type="dxa"/>
            <w:vAlign w:val="bottom"/>
          </w:tcPr>
          <w:p>
            <w:pPr>
              <w:spacing w:after="0"/>
              <w:rPr>
                <w:sz w:val="20"/>
                <w:szCs w:val="20"/>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rPr>
              <w:t>Options outstanding shall be reduced by each exercise of Options hereunder.</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Option Entitlement:</w:t>
            </w:r>
          </w:p>
        </w:tc>
        <w:tc>
          <w:tcPr>
            <w:tcW w:w="7900" w:type="dxa"/>
            <w:vAlign w:val="bottom"/>
          </w:tcPr>
          <w:p>
            <w:pPr>
              <w:ind w:left="440"/>
              <w:spacing w:after="0"/>
              <w:rPr>
                <w:sz w:val="20"/>
                <w:szCs w:val="20"/>
                <w:color w:val="auto"/>
              </w:rPr>
            </w:pPr>
            <w:r>
              <w:rPr>
                <w:rFonts w:ascii="Arial" w:cs="Arial" w:eastAsia="Arial" w:hAnsi="Arial"/>
                <w:sz w:val="18"/>
                <w:szCs w:val="18"/>
                <w:color w:val="auto"/>
              </w:rPr>
              <w:t>15.6906</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Fundamental Change Adjustment:</w:t>
            </w:r>
          </w:p>
        </w:tc>
        <w:tc>
          <w:tcPr>
            <w:tcW w:w="7900" w:type="dxa"/>
            <w:vAlign w:val="bottom"/>
          </w:tcPr>
          <w:p>
            <w:pPr>
              <w:ind w:left="440"/>
              <w:spacing w:after="0"/>
              <w:rPr>
                <w:sz w:val="20"/>
                <w:szCs w:val="20"/>
                <w:color w:val="auto"/>
              </w:rPr>
            </w:pPr>
            <w:r>
              <w:rPr>
                <w:rFonts w:ascii="Arial" w:cs="Arial" w:eastAsia="Arial" w:hAnsi="Arial"/>
                <w:sz w:val="18"/>
                <w:szCs w:val="18"/>
                <w:color w:val="auto"/>
              </w:rPr>
              <w:t>Any adjustment to the Conversion Rate pursuant to Section 5.07 of the Indenture.</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Discretionary Adjustment:</w:t>
            </w:r>
          </w:p>
        </w:tc>
        <w:tc>
          <w:tcPr>
            <w:tcW w:w="7900" w:type="dxa"/>
            <w:vAlign w:val="bottom"/>
          </w:tcPr>
          <w:p>
            <w:pPr>
              <w:ind w:left="440"/>
              <w:spacing w:after="0"/>
              <w:rPr>
                <w:sz w:val="20"/>
                <w:szCs w:val="20"/>
                <w:color w:val="auto"/>
              </w:rPr>
            </w:pPr>
            <w:r>
              <w:rPr>
                <w:rFonts w:ascii="Arial" w:cs="Arial" w:eastAsia="Arial" w:hAnsi="Arial"/>
                <w:sz w:val="18"/>
                <w:szCs w:val="18"/>
                <w:color w:val="auto"/>
              </w:rPr>
              <w:t>Any adjustment to the Conversion Rate pursuant to Section 5.06 of the Indenture.</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7900" w:type="dxa"/>
            <w:vAlign w:val="bottom"/>
          </w:tcPr>
          <w:p>
            <w:pPr>
              <w:ind w:left="440"/>
              <w:spacing w:after="0"/>
              <w:rPr>
                <w:sz w:val="20"/>
                <w:szCs w:val="20"/>
                <w:color w:val="auto"/>
              </w:rPr>
            </w:pPr>
            <w:r>
              <w:rPr>
                <w:rFonts w:ascii="Arial" w:cs="Arial" w:eastAsia="Arial" w:hAnsi="Arial"/>
                <w:sz w:val="18"/>
                <w:szCs w:val="18"/>
                <w:color w:val="auto"/>
              </w:rPr>
              <w:t>USD63.7324</w:t>
            </w:r>
          </w:p>
        </w:tc>
      </w:tr>
      <w:tr>
        <w:trPr>
          <w:trHeight w:val="418"/>
        </w:trPr>
        <w:tc>
          <w:tcPr>
            <w:tcW w:w="3560" w:type="dxa"/>
            <w:vAlign w:val="bottom"/>
          </w:tcPr>
          <w:p>
            <w:pPr>
              <w:ind w:left="660"/>
              <w:spacing w:after="0"/>
              <w:rPr>
                <w:sz w:val="20"/>
                <w:szCs w:val="20"/>
                <w:color w:val="auto"/>
              </w:rPr>
            </w:pPr>
            <w:r>
              <w:rPr>
                <w:rFonts w:ascii="Arial" w:cs="Arial" w:eastAsia="Arial" w:hAnsi="Arial"/>
                <w:sz w:val="18"/>
                <w:szCs w:val="18"/>
                <w:color w:val="auto"/>
              </w:rPr>
              <w:t>Rounding of Strike Price/ Option</w:t>
            </w:r>
          </w:p>
        </w:tc>
        <w:tc>
          <w:tcPr>
            <w:tcW w:w="7900" w:type="dxa"/>
            <w:vAlign w:val="bottom"/>
          </w:tcPr>
          <w:p>
            <w:pPr>
              <w:ind w:left="440"/>
              <w:spacing w:after="0"/>
              <w:rPr>
                <w:sz w:val="20"/>
                <w:szCs w:val="20"/>
                <w:color w:val="auto"/>
              </w:rPr>
            </w:pPr>
            <w:r>
              <w:rPr>
                <w:rFonts w:ascii="Arial" w:cs="Arial" w:eastAsia="Arial" w:hAnsi="Arial"/>
                <w:sz w:val="18"/>
                <w:szCs w:val="18"/>
                <w:color w:val="auto"/>
                <w:w w:val="92"/>
              </w:rPr>
              <w:t>In connection with any adjustment to the Option Entitlement or Strike Price, the Option Entitlement or</w:t>
            </w:r>
          </w:p>
        </w:tc>
      </w:tr>
      <w:tr>
        <w:trPr>
          <w:trHeight w:val="216"/>
        </w:trPr>
        <w:tc>
          <w:tcPr>
            <w:tcW w:w="3560" w:type="dxa"/>
            <w:vAlign w:val="bottom"/>
          </w:tcPr>
          <w:p>
            <w:pPr>
              <w:ind w:left="660"/>
              <w:spacing w:after="0"/>
              <w:rPr>
                <w:sz w:val="20"/>
                <w:szCs w:val="20"/>
                <w:color w:val="auto"/>
              </w:rPr>
            </w:pPr>
            <w:r>
              <w:rPr>
                <w:rFonts w:ascii="Arial" w:cs="Arial" w:eastAsia="Arial" w:hAnsi="Arial"/>
                <w:sz w:val="18"/>
                <w:szCs w:val="18"/>
                <w:color w:val="auto"/>
              </w:rPr>
              <w:t>Entitlement:</w:t>
            </w:r>
          </w:p>
        </w:tc>
        <w:tc>
          <w:tcPr>
            <w:tcW w:w="7900" w:type="dxa"/>
            <w:vAlign w:val="bottom"/>
          </w:tcPr>
          <w:p>
            <w:pPr>
              <w:ind w:left="440"/>
              <w:spacing w:after="0"/>
              <w:rPr>
                <w:sz w:val="20"/>
                <w:szCs w:val="20"/>
                <w:color w:val="auto"/>
              </w:rPr>
            </w:pPr>
            <w:r>
              <w:rPr>
                <w:rFonts w:ascii="Arial" w:cs="Arial" w:eastAsia="Arial" w:hAnsi="Arial"/>
                <w:sz w:val="18"/>
                <w:szCs w:val="18"/>
                <w:color w:val="auto"/>
                <w:w w:val="91"/>
              </w:rPr>
              <w:t>the Strike Price, as the case may be, shall be rounded by the Calculation Agent in accordance with the</w:t>
            </w:r>
          </w:p>
        </w:tc>
      </w:tr>
      <w:tr>
        <w:trPr>
          <w:trHeight w:val="216"/>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w w:val="92"/>
              </w:rPr>
              <w:t>provisions of the Indenture relating to rounding of the “Conversion Price” or the “Conversion Rate” as</w:t>
            </w:r>
          </w:p>
        </w:tc>
      </w:tr>
      <w:tr>
        <w:trPr>
          <w:trHeight w:val="230"/>
        </w:trPr>
        <w:tc>
          <w:tcPr>
            <w:tcW w:w="3560" w:type="dxa"/>
            <w:vAlign w:val="bottom"/>
          </w:tcPr>
          <w:p>
            <w:pPr>
              <w:spacing w:after="0"/>
              <w:rPr>
                <w:sz w:val="20"/>
                <w:szCs w:val="20"/>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rPr>
              <w:t>applicable (each as defined in the Indenture).</w:t>
            </w:r>
          </w:p>
        </w:tc>
      </w:tr>
      <w:tr>
        <w:trPr>
          <w:trHeight w:val="418"/>
        </w:trPr>
        <w:tc>
          <w:tcPr>
            <w:tcW w:w="3560" w:type="dxa"/>
            <w:vAlign w:val="bottom"/>
          </w:tcPr>
          <w:p>
            <w:pPr>
              <w:ind w:left="660"/>
              <w:spacing w:after="0"/>
              <w:rPr>
                <w:sz w:val="20"/>
                <w:szCs w:val="20"/>
                <w:color w:val="auto"/>
              </w:rPr>
            </w:pPr>
            <w:r>
              <w:rPr>
                <w:rFonts w:ascii="Arial" w:cs="Arial" w:eastAsia="Arial" w:hAnsi="Arial"/>
                <w:sz w:val="18"/>
                <w:szCs w:val="18"/>
                <w:color w:val="auto"/>
              </w:rPr>
              <w:t>Number of Shares:</w:t>
            </w:r>
          </w:p>
        </w:tc>
        <w:tc>
          <w:tcPr>
            <w:tcW w:w="7900" w:type="dxa"/>
            <w:vAlign w:val="bottom"/>
          </w:tcPr>
          <w:p>
            <w:pPr>
              <w:ind w:left="440"/>
              <w:spacing w:after="0"/>
              <w:rPr>
                <w:sz w:val="20"/>
                <w:szCs w:val="20"/>
                <w:color w:val="auto"/>
              </w:rPr>
            </w:pPr>
            <w:r>
              <w:rPr>
                <w:rFonts w:ascii="Arial" w:cs="Arial" w:eastAsia="Arial" w:hAnsi="Arial"/>
                <w:sz w:val="18"/>
                <w:szCs w:val="18"/>
                <w:color w:val="auto"/>
                <w:w w:val="97"/>
              </w:rPr>
              <w:t>As of any date, a number of Shares equal to the product of (i) the Applicable Percentage, (ii) the</w:t>
            </w:r>
          </w:p>
        </w:tc>
      </w:tr>
      <w:tr>
        <w:trPr>
          <w:trHeight w:val="230"/>
        </w:trPr>
        <w:tc>
          <w:tcPr>
            <w:tcW w:w="3560" w:type="dxa"/>
            <w:vAlign w:val="bottom"/>
          </w:tcPr>
          <w:p>
            <w:pPr>
              <w:spacing w:after="0"/>
              <w:rPr>
                <w:sz w:val="20"/>
                <w:szCs w:val="20"/>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rPr>
              <w:t>Number of Options and (iii) the Option Entitlement.</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Premium:</w:t>
            </w:r>
          </w:p>
        </w:tc>
        <w:tc>
          <w:tcPr>
            <w:tcW w:w="7900" w:type="dxa"/>
            <w:vAlign w:val="bottom"/>
          </w:tcPr>
          <w:p>
            <w:pPr>
              <w:ind w:left="440"/>
              <w:spacing w:after="0"/>
              <w:rPr>
                <w:sz w:val="20"/>
                <w:szCs w:val="20"/>
                <w:color w:val="auto"/>
              </w:rPr>
            </w:pPr>
            <w:r>
              <w:rPr>
                <w:rFonts w:ascii="Arial" w:cs="Arial" w:eastAsia="Arial" w:hAnsi="Arial"/>
                <w:sz w:val="18"/>
                <w:szCs w:val="18"/>
                <w:color w:val="auto"/>
              </w:rPr>
              <w:t>USD3,540,000.00.</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Premium Payment Date:</w:t>
            </w:r>
          </w:p>
        </w:tc>
        <w:tc>
          <w:tcPr>
            <w:tcW w:w="7900" w:type="dxa"/>
            <w:vAlign w:val="bottom"/>
          </w:tcPr>
          <w:p>
            <w:pPr>
              <w:ind w:left="440"/>
              <w:spacing w:after="0"/>
              <w:rPr>
                <w:sz w:val="20"/>
                <w:szCs w:val="20"/>
                <w:color w:val="auto"/>
              </w:rPr>
            </w:pPr>
            <w:r>
              <w:rPr>
                <w:rFonts w:ascii="Arial" w:cs="Arial" w:eastAsia="Arial" w:hAnsi="Arial"/>
                <w:sz w:val="18"/>
                <w:szCs w:val="18"/>
                <w:color w:val="auto"/>
              </w:rPr>
              <w:t>The Effective Date</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Exchange:</w:t>
            </w:r>
          </w:p>
        </w:tc>
        <w:tc>
          <w:tcPr>
            <w:tcW w:w="7900" w:type="dxa"/>
            <w:vAlign w:val="bottom"/>
          </w:tcPr>
          <w:p>
            <w:pPr>
              <w:ind w:left="440"/>
              <w:spacing w:after="0"/>
              <w:rPr>
                <w:sz w:val="20"/>
                <w:szCs w:val="20"/>
                <w:color w:val="auto"/>
              </w:rPr>
            </w:pPr>
            <w:r>
              <w:rPr>
                <w:rFonts w:ascii="Arial" w:cs="Arial" w:eastAsia="Arial" w:hAnsi="Arial"/>
                <w:sz w:val="18"/>
                <w:szCs w:val="18"/>
                <w:color w:val="auto"/>
              </w:rPr>
              <w:t>The New York Stock Exchange</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Related Exchange:</w:t>
            </w:r>
          </w:p>
        </w:tc>
        <w:tc>
          <w:tcPr>
            <w:tcW w:w="7900" w:type="dxa"/>
            <w:vAlign w:val="bottom"/>
          </w:tcPr>
          <w:p>
            <w:pPr>
              <w:ind w:left="440"/>
              <w:spacing w:after="0"/>
              <w:rPr>
                <w:sz w:val="20"/>
                <w:szCs w:val="20"/>
                <w:color w:val="auto"/>
              </w:rPr>
            </w:pPr>
            <w:r>
              <w:rPr>
                <w:rFonts w:ascii="Arial" w:cs="Arial" w:eastAsia="Arial" w:hAnsi="Arial"/>
                <w:sz w:val="18"/>
                <w:szCs w:val="18"/>
                <w:color w:val="auto"/>
              </w:rPr>
              <w:t>All Exchanges</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7900" w:type="dxa"/>
            <w:vAlign w:val="bottom"/>
          </w:tcPr>
          <w:p>
            <w:pPr>
              <w:spacing w:after="0"/>
              <w:rPr>
                <w:sz w:val="24"/>
                <w:szCs w:val="24"/>
                <w:color w:val="auto"/>
              </w:rPr>
            </w:pP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Exercise Dates:</w:t>
            </w:r>
          </w:p>
        </w:tc>
        <w:tc>
          <w:tcPr>
            <w:tcW w:w="7900" w:type="dxa"/>
            <w:vAlign w:val="bottom"/>
          </w:tcPr>
          <w:p>
            <w:pPr>
              <w:ind w:left="440"/>
              <w:spacing w:after="0"/>
              <w:rPr>
                <w:sz w:val="20"/>
                <w:szCs w:val="20"/>
                <w:color w:val="auto"/>
              </w:rPr>
            </w:pPr>
            <w:r>
              <w:rPr>
                <w:rFonts w:ascii="Arial" w:cs="Arial" w:eastAsia="Arial" w:hAnsi="Arial"/>
                <w:sz w:val="18"/>
                <w:szCs w:val="18"/>
                <w:color w:val="auto"/>
              </w:rPr>
              <w:t>Each Conversion Date.</w:t>
            </w:r>
          </w:p>
        </w:tc>
      </w:tr>
      <w:tr>
        <w:trPr>
          <w:trHeight w:val="418"/>
        </w:trPr>
        <w:tc>
          <w:tcPr>
            <w:tcW w:w="3560" w:type="dxa"/>
            <w:vAlign w:val="bottom"/>
          </w:tcPr>
          <w:p>
            <w:pPr>
              <w:ind w:left="660"/>
              <w:spacing w:after="0"/>
              <w:rPr>
                <w:sz w:val="20"/>
                <w:szCs w:val="20"/>
                <w:color w:val="auto"/>
              </w:rPr>
            </w:pPr>
            <w:r>
              <w:rPr>
                <w:rFonts w:ascii="Arial" w:cs="Arial" w:eastAsia="Arial" w:hAnsi="Arial"/>
                <w:sz w:val="18"/>
                <w:szCs w:val="18"/>
                <w:color w:val="auto"/>
              </w:rPr>
              <w:t>Conversion Date:</w:t>
            </w:r>
          </w:p>
        </w:tc>
        <w:tc>
          <w:tcPr>
            <w:tcW w:w="7900" w:type="dxa"/>
            <w:vAlign w:val="bottom"/>
          </w:tcPr>
          <w:p>
            <w:pPr>
              <w:ind w:left="440"/>
              <w:spacing w:after="0"/>
              <w:rPr>
                <w:sz w:val="20"/>
                <w:szCs w:val="20"/>
                <w:color w:val="auto"/>
              </w:rPr>
            </w:pPr>
            <w:r>
              <w:rPr>
                <w:rFonts w:ascii="Arial" w:cs="Arial" w:eastAsia="Arial" w:hAnsi="Arial"/>
                <w:sz w:val="18"/>
                <w:szCs w:val="18"/>
                <w:color w:val="auto"/>
              </w:rPr>
              <w:t>Each “Conversion Date” (as defined in the Indenture) occurring during the Exercise Period for</w:t>
            </w:r>
          </w:p>
        </w:tc>
      </w:tr>
      <w:tr>
        <w:trPr>
          <w:trHeight w:val="216"/>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w w:val="94"/>
              </w:rPr>
              <w:t>Convertible Securities each in denominations of USD1,000 principal amount that are not “Relevant</w:t>
            </w:r>
          </w:p>
        </w:tc>
      </w:tr>
      <w:tr>
        <w:trPr>
          <w:trHeight w:val="212"/>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rPr>
              <w:t>Convertible Securities” under (and as defined in) the confirmation between the parties hereto</w:t>
            </w:r>
          </w:p>
        </w:tc>
      </w:tr>
      <w:tr>
        <w:trPr>
          <w:trHeight w:val="216"/>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rPr>
              <w:t>regarding the Base Convertible Bond Hedge Transaction dated October 29, 2019 (the “</w:t>
            </w:r>
            <w:r>
              <w:rPr>
                <w:rFonts w:ascii="Arial" w:cs="Arial" w:eastAsia="Arial" w:hAnsi="Arial"/>
                <w:sz w:val="18"/>
                <w:szCs w:val="18"/>
                <w:b w:val="1"/>
                <w:bCs w:val="1"/>
                <w:color w:val="auto"/>
              </w:rPr>
              <w:t>Base</w:t>
            </w:r>
          </w:p>
        </w:tc>
      </w:tr>
      <w:tr>
        <w:trPr>
          <w:trHeight w:val="216"/>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b w:val="1"/>
                <w:bCs w:val="1"/>
                <w:color w:val="auto"/>
                <w:w w:val="93"/>
              </w:rPr>
              <w:t>Convertible Bond Hedge Transaction Confirmation</w:t>
            </w:r>
            <w:r>
              <w:rPr>
                <w:rFonts w:ascii="Arial" w:cs="Arial" w:eastAsia="Arial" w:hAnsi="Arial"/>
                <w:sz w:val="18"/>
                <w:szCs w:val="18"/>
                <w:color w:val="auto"/>
                <w:w w:val="93"/>
              </w:rPr>
              <w:t>”) (such Convertible Securities, the “</w:t>
            </w:r>
            <w:r>
              <w:rPr>
                <w:rFonts w:ascii="Arial" w:cs="Arial" w:eastAsia="Arial" w:hAnsi="Arial"/>
                <w:sz w:val="18"/>
                <w:szCs w:val="18"/>
                <w:b w:val="1"/>
                <w:bCs w:val="1"/>
                <w:color w:val="auto"/>
                <w:w w:val="93"/>
              </w:rPr>
              <w:t>Relevant</w:t>
            </w:r>
          </w:p>
        </w:tc>
      </w:tr>
      <w:tr>
        <w:trPr>
          <w:trHeight w:val="220"/>
        </w:trPr>
        <w:tc>
          <w:tcPr>
            <w:tcW w:w="3560" w:type="dxa"/>
            <w:vAlign w:val="bottom"/>
          </w:tcPr>
          <w:p>
            <w:pPr>
              <w:spacing w:after="0"/>
              <w:rPr>
                <w:sz w:val="19"/>
                <w:szCs w:val="19"/>
                <w:color w:val="auto"/>
              </w:rPr>
            </w:pPr>
          </w:p>
        </w:tc>
        <w:tc>
          <w:tcPr>
            <w:tcW w:w="7900" w:type="dxa"/>
            <w:vAlign w:val="bottom"/>
          </w:tcPr>
          <w:p>
            <w:pPr>
              <w:ind w:left="440"/>
              <w:spacing w:after="0"/>
              <w:rPr>
                <w:sz w:val="20"/>
                <w:szCs w:val="20"/>
                <w:color w:val="auto"/>
              </w:rPr>
            </w:pPr>
            <w:r>
              <w:rPr>
                <w:rFonts w:ascii="Arial" w:cs="Arial" w:eastAsia="Arial" w:hAnsi="Arial"/>
                <w:sz w:val="18"/>
                <w:szCs w:val="18"/>
                <w:b w:val="1"/>
                <w:bCs w:val="1"/>
                <w:color w:val="auto"/>
                <w:w w:val="95"/>
              </w:rPr>
              <w:t>Convertible Securities</w:t>
            </w:r>
            <w:r>
              <w:rPr>
                <w:rFonts w:ascii="Arial" w:cs="Arial" w:eastAsia="Arial" w:hAnsi="Arial"/>
                <w:sz w:val="18"/>
                <w:szCs w:val="18"/>
                <w:color w:val="auto"/>
                <w:w w:val="95"/>
              </w:rPr>
              <w:t>” for such Conversion Date). For the purposes of determining whether any</w:t>
            </w:r>
          </w:p>
        </w:tc>
      </w:tr>
      <w:tr>
        <w:trPr>
          <w:trHeight w:val="216"/>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w w:val="96"/>
              </w:rPr>
              <w:t>Convertible Securities will be Relevant Convertible Securities hereunder or “Relevant Convertible</w:t>
            </w:r>
          </w:p>
        </w:tc>
      </w:tr>
      <w:tr>
        <w:trPr>
          <w:trHeight w:val="216"/>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w w:val="92"/>
              </w:rPr>
              <w:t>Securities” under the Base Convertible Bond Hedge Transaction Confirmation, Convertible Securities</w:t>
            </w:r>
          </w:p>
        </w:tc>
      </w:tr>
      <w:tr>
        <w:trPr>
          <w:trHeight w:val="216"/>
        </w:trPr>
        <w:tc>
          <w:tcPr>
            <w:tcW w:w="356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w w:val="96"/>
              </w:rPr>
              <w:t>that are converted pursuant to the Indenture shall be allocated first to the Base Convertible Bond</w:t>
            </w:r>
          </w:p>
        </w:tc>
      </w:tr>
      <w:tr>
        <w:trPr>
          <w:trHeight w:val="230"/>
        </w:trPr>
        <w:tc>
          <w:tcPr>
            <w:tcW w:w="3560" w:type="dxa"/>
            <w:vAlign w:val="bottom"/>
          </w:tcPr>
          <w:p>
            <w:pPr>
              <w:spacing w:after="0"/>
              <w:rPr>
                <w:sz w:val="20"/>
                <w:szCs w:val="20"/>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rPr>
              <w:t>Hedge Transaction Confirmation until all Options thereunder are exercised or terminated.</w:t>
            </w:r>
          </w:p>
        </w:tc>
      </w:tr>
      <w:tr>
        <w:trPr>
          <w:trHeight w:val="432"/>
        </w:trPr>
        <w:tc>
          <w:tcPr>
            <w:tcW w:w="3560" w:type="dxa"/>
            <w:vAlign w:val="bottom"/>
          </w:tcPr>
          <w:p>
            <w:pPr>
              <w:ind w:left="660"/>
              <w:spacing w:after="0"/>
              <w:rPr>
                <w:sz w:val="20"/>
                <w:szCs w:val="20"/>
                <w:color w:val="auto"/>
              </w:rPr>
            </w:pPr>
            <w:r>
              <w:rPr>
                <w:rFonts w:ascii="Arial" w:cs="Arial" w:eastAsia="Arial" w:hAnsi="Arial"/>
                <w:sz w:val="18"/>
                <w:szCs w:val="18"/>
                <w:color w:val="auto"/>
              </w:rPr>
              <w:t>Exercise Period:</w:t>
            </w:r>
          </w:p>
        </w:tc>
        <w:tc>
          <w:tcPr>
            <w:tcW w:w="7900" w:type="dxa"/>
            <w:vAlign w:val="bottom"/>
          </w:tcPr>
          <w:p>
            <w:pPr>
              <w:ind w:left="440"/>
              <w:spacing w:after="0"/>
              <w:rPr>
                <w:sz w:val="20"/>
                <w:szCs w:val="20"/>
                <w:color w:val="auto"/>
              </w:rPr>
            </w:pPr>
            <w:r>
              <w:rPr>
                <w:rFonts w:ascii="Arial" w:cs="Arial" w:eastAsia="Arial" w:hAnsi="Arial"/>
                <w:sz w:val="18"/>
                <w:szCs w:val="18"/>
                <w:color w:val="auto"/>
              </w:rPr>
              <w:t>The period from and excluding the Effective Date to, and including, the Expiration Date.</w:t>
            </w:r>
          </w:p>
        </w:tc>
      </w:tr>
      <w:tr>
        <w:trPr>
          <w:trHeight w:val="432"/>
        </w:trPr>
        <w:tc>
          <w:tcPr>
            <w:tcW w:w="3560" w:type="dxa"/>
            <w:vAlign w:val="bottom"/>
          </w:tcPr>
          <w:p>
            <w:pPr>
              <w:spacing w:after="0"/>
              <w:rPr>
                <w:sz w:val="24"/>
                <w:szCs w:val="24"/>
                <w:color w:val="auto"/>
              </w:rPr>
            </w:pPr>
          </w:p>
        </w:tc>
        <w:tc>
          <w:tcPr>
            <w:tcW w:w="7900" w:type="dxa"/>
            <w:vAlign w:val="bottom"/>
          </w:tcPr>
          <w:p>
            <w:pPr>
              <w:ind w:left="2100"/>
              <w:spacing w:after="0"/>
              <w:rPr>
                <w:sz w:val="20"/>
                <w:szCs w:val="20"/>
                <w:color w:val="auto"/>
              </w:rPr>
            </w:pPr>
            <w:r>
              <w:rPr>
                <w:rFonts w:ascii="Arial" w:cs="Arial" w:eastAsia="Arial" w:hAnsi="Arial"/>
                <w:sz w:val="18"/>
                <w:szCs w:val="18"/>
                <w:color w:val="auto"/>
              </w:rPr>
              <w:t>3</w:t>
            </w:r>
          </w:p>
        </w:tc>
      </w:tr>
      <w:tr>
        <w:trPr>
          <w:trHeight w:val="132"/>
        </w:trPr>
        <w:tc>
          <w:tcPr>
            <w:tcW w:w="3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16"/>
        </w:trPr>
        <w:tc>
          <w:tcPr>
            <w:tcW w:w="3160" w:type="dxa"/>
            <w:vAlign w:val="bottom"/>
          </w:tcPr>
          <w:p>
            <w:pPr>
              <w:ind w:left="660"/>
              <w:spacing w:after="0"/>
              <w:rPr>
                <w:sz w:val="20"/>
                <w:szCs w:val="20"/>
                <w:color w:val="auto"/>
              </w:rPr>
            </w:pPr>
            <w:r>
              <w:rPr>
                <w:rFonts w:ascii="Arial" w:cs="Arial" w:eastAsia="Arial" w:hAnsi="Arial"/>
                <w:sz w:val="18"/>
                <w:szCs w:val="18"/>
                <w:color w:val="auto"/>
              </w:rPr>
              <w:t>Expiration Date:</w:t>
            </w:r>
          </w:p>
        </w:tc>
        <w:tc>
          <w:tcPr>
            <w:tcW w:w="8300" w:type="dxa"/>
            <w:vAlign w:val="bottom"/>
          </w:tcPr>
          <w:p>
            <w:pPr>
              <w:ind w:left="840"/>
              <w:spacing w:after="0"/>
              <w:rPr>
                <w:sz w:val="20"/>
                <w:szCs w:val="20"/>
                <w:color w:val="auto"/>
              </w:rPr>
            </w:pPr>
            <w:r>
              <w:rPr>
                <w:rFonts w:ascii="Arial" w:cs="Arial" w:eastAsia="Arial" w:hAnsi="Arial"/>
                <w:sz w:val="18"/>
                <w:szCs w:val="18"/>
                <w:color w:val="auto"/>
                <w:w w:val="97"/>
              </w:rPr>
              <w:t>The earlier of (i) the last day on which any Convertible Securities remain outstanding and (ii) the</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4"/>
              </w:rPr>
              <w:t>second “Scheduled Trading Day” (as defined in the Indenture) immediately preceding the “Maturity</w:t>
            </w:r>
          </w:p>
        </w:tc>
      </w:tr>
      <w:tr>
        <w:trPr>
          <w:trHeight w:val="230"/>
        </w:trPr>
        <w:tc>
          <w:tcPr>
            <w:tcW w:w="3160" w:type="dxa"/>
            <w:vAlign w:val="bottom"/>
          </w:tcPr>
          <w:p>
            <w:pPr>
              <w:spacing w:after="0"/>
              <w:rPr>
                <w:sz w:val="20"/>
                <w:szCs w:val="20"/>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rPr>
              <w:t>Date” (as defined in the Indenture).</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Automatic Exercise on</w:t>
            </w:r>
          </w:p>
        </w:tc>
        <w:tc>
          <w:tcPr>
            <w:tcW w:w="8300" w:type="dxa"/>
            <w:vAlign w:val="bottom"/>
          </w:tcPr>
          <w:p>
            <w:pPr>
              <w:ind w:left="840"/>
              <w:spacing w:after="0"/>
              <w:rPr>
                <w:sz w:val="20"/>
                <w:szCs w:val="20"/>
                <w:color w:val="auto"/>
              </w:rPr>
            </w:pPr>
            <w:r>
              <w:rPr>
                <w:rFonts w:ascii="Arial" w:cs="Arial" w:eastAsia="Arial" w:hAnsi="Arial"/>
                <w:sz w:val="18"/>
                <w:szCs w:val="18"/>
                <w:color w:val="auto"/>
                <w:w w:val="94"/>
              </w:rPr>
              <w:t>Applicable; and means that on each Conversion Date, a number of Options equal to the number of</w:t>
            </w:r>
          </w:p>
        </w:tc>
      </w:tr>
      <w:tr>
        <w:trPr>
          <w:trHeight w:val="216"/>
        </w:trPr>
        <w:tc>
          <w:tcPr>
            <w:tcW w:w="3160" w:type="dxa"/>
            <w:vAlign w:val="bottom"/>
          </w:tcPr>
          <w:p>
            <w:pPr>
              <w:ind w:left="660"/>
              <w:spacing w:after="0"/>
              <w:rPr>
                <w:sz w:val="20"/>
                <w:szCs w:val="20"/>
                <w:color w:val="auto"/>
              </w:rPr>
            </w:pPr>
            <w:r>
              <w:rPr>
                <w:rFonts w:ascii="Arial" w:cs="Arial" w:eastAsia="Arial" w:hAnsi="Arial"/>
                <w:sz w:val="18"/>
                <w:szCs w:val="18"/>
                <w:color w:val="auto"/>
              </w:rPr>
              <w:t>Conversion Dates:</w:t>
            </w:r>
          </w:p>
        </w:tc>
        <w:tc>
          <w:tcPr>
            <w:tcW w:w="8300" w:type="dxa"/>
            <w:vAlign w:val="bottom"/>
          </w:tcPr>
          <w:p>
            <w:pPr>
              <w:ind w:left="840"/>
              <w:spacing w:after="0"/>
              <w:rPr>
                <w:sz w:val="20"/>
                <w:szCs w:val="20"/>
                <w:color w:val="auto"/>
              </w:rPr>
            </w:pPr>
            <w:r>
              <w:rPr>
                <w:rFonts w:ascii="Arial" w:cs="Arial" w:eastAsia="Arial" w:hAnsi="Arial"/>
                <w:sz w:val="18"/>
                <w:szCs w:val="18"/>
                <w:color w:val="auto"/>
                <w:w w:val="95"/>
              </w:rPr>
              <w:t>Relevant Convertible Securities for such Conversion Date in denominations of USD1,000 principal</w:t>
            </w:r>
          </w:p>
        </w:tc>
      </w:tr>
      <w:tr>
        <w:trPr>
          <w:trHeight w:val="230"/>
        </w:trPr>
        <w:tc>
          <w:tcPr>
            <w:tcW w:w="3160" w:type="dxa"/>
            <w:vAlign w:val="bottom"/>
          </w:tcPr>
          <w:p>
            <w:pPr>
              <w:spacing w:after="0"/>
              <w:rPr>
                <w:sz w:val="20"/>
                <w:szCs w:val="20"/>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rPr>
              <w:t>amount shall be automatically exercised, subject to “Notice of Exercise” below.</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Notice Deadline:</w:t>
            </w:r>
          </w:p>
        </w:tc>
        <w:tc>
          <w:tcPr>
            <w:tcW w:w="8300" w:type="dxa"/>
            <w:vAlign w:val="bottom"/>
          </w:tcPr>
          <w:p>
            <w:pPr>
              <w:ind w:left="840"/>
              <w:spacing w:after="0"/>
              <w:rPr>
                <w:sz w:val="20"/>
                <w:szCs w:val="20"/>
                <w:color w:val="auto"/>
              </w:rPr>
            </w:pPr>
            <w:r>
              <w:rPr>
                <w:rFonts w:ascii="Arial" w:cs="Arial" w:eastAsia="Arial" w:hAnsi="Arial"/>
                <w:sz w:val="18"/>
                <w:szCs w:val="18"/>
                <w:color w:val="auto"/>
                <w:w w:val="94"/>
              </w:rPr>
              <w:t>In respect of any exercise of Options hereunder on any Conversion Date, 5:00 P.M., New York City</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3"/>
              </w:rPr>
              <w:t>time, on (i) in the case the applicable Relevant Convertible Securities will be settled by Counterparty</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4"/>
              </w:rPr>
              <w:t>by delivery of Shares only (together with cash in lieu of any fractional Share), the “Trading Day” (as</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5"/>
              </w:rPr>
              <w:t>defined in the Indenture) immediately following the relevant Conversion Date, or (ii) otherwise, the</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1"/>
              </w:rPr>
              <w:t>Scheduled Trading Day immediately preceding the first day of the relevant Cash Settlement Averaging</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rPr>
              <w:t xml:space="preserve">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exercise of Options hereunder in connection with the</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7"/>
              </w:rPr>
              <w:t>conversion of any Relevant Convertible Securities for any Conversion Date occurring during the</w:t>
            </w:r>
          </w:p>
        </w:tc>
      </w:tr>
      <w:tr>
        <w:trPr>
          <w:trHeight w:val="212"/>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3"/>
              </w:rPr>
              <w:t>period from and including the 85th “Scheduled Trading Day” (as defined in the Indenture) prior to the</w:t>
            </w:r>
          </w:p>
        </w:tc>
      </w:tr>
      <w:tr>
        <w:trPr>
          <w:trHeight w:val="220"/>
        </w:trPr>
        <w:tc>
          <w:tcPr>
            <w:tcW w:w="3160" w:type="dxa"/>
            <w:vAlign w:val="bottom"/>
          </w:tcPr>
          <w:p>
            <w:pPr>
              <w:spacing w:after="0"/>
              <w:rPr>
                <w:sz w:val="19"/>
                <w:szCs w:val="19"/>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5"/>
              </w:rPr>
              <w:t>Maturity Date, to and including the Expiration Date (such period, the “</w:t>
            </w:r>
            <w:r>
              <w:rPr>
                <w:rFonts w:ascii="Arial" w:cs="Arial" w:eastAsia="Arial" w:hAnsi="Arial"/>
                <w:sz w:val="18"/>
                <w:szCs w:val="18"/>
                <w:b w:val="1"/>
                <w:bCs w:val="1"/>
                <w:color w:val="auto"/>
                <w:w w:val="95"/>
              </w:rPr>
              <w:t>Final Conversion Period</w:t>
            </w:r>
            <w:r>
              <w:rPr>
                <w:rFonts w:ascii="Arial" w:cs="Arial" w:eastAsia="Arial" w:hAnsi="Arial"/>
                <w:sz w:val="18"/>
                <w:szCs w:val="18"/>
                <w:color w:val="auto"/>
                <w:w w:val="95"/>
              </w:rPr>
              <w:t>”),</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7"/>
              </w:rPr>
              <w:t>the Notice Deadline shall be 5:00 P.M., New York City time, on the “Scheduled Trading Day” (as</w:t>
            </w:r>
          </w:p>
        </w:tc>
      </w:tr>
      <w:tr>
        <w:trPr>
          <w:trHeight w:val="230"/>
        </w:trPr>
        <w:tc>
          <w:tcPr>
            <w:tcW w:w="3160" w:type="dxa"/>
            <w:vAlign w:val="bottom"/>
          </w:tcPr>
          <w:p>
            <w:pPr>
              <w:spacing w:after="0"/>
              <w:rPr>
                <w:sz w:val="20"/>
                <w:szCs w:val="20"/>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6"/>
              </w:rPr>
              <w:t>defined in the Indenture) immediately preceding the “Maturity Date” (as defined in the Indenture).</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Notice of Exercise:</w:t>
            </w:r>
          </w:p>
        </w:tc>
        <w:tc>
          <w:tcPr>
            <w:tcW w:w="8300" w:type="dxa"/>
            <w:vAlign w:val="bottom"/>
          </w:tcPr>
          <w:p>
            <w:pPr>
              <w:ind w:left="840"/>
              <w:spacing w:after="0"/>
              <w:rPr>
                <w:sz w:val="20"/>
                <w:szCs w:val="20"/>
                <w:color w:val="auto"/>
              </w:rPr>
            </w:pPr>
            <w:r>
              <w:rPr>
                <w:rFonts w:ascii="Arial" w:cs="Arial" w:eastAsia="Arial" w:hAnsi="Arial"/>
                <w:sz w:val="18"/>
                <w:szCs w:val="18"/>
                <w:color w:val="auto"/>
                <w:w w:val="94"/>
              </w:rPr>
              <w:t>Notwithstanding anything to the contrary in the Equity Definitions, Dealer shall have no obligation to</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2"/>
              </w:rPr>
              <w:t>make any payment or delivery in respect of any exercise of Options hereunder and such obligation in</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5"/>
              </w:rPr>
              <w:t>respect of such exercise shall be permanently extinguished unless Counterparty notifies Dealer in</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rPr>
              <w:t>writing prior to the Notice Deadline in respect of such exercise, of (i) the number of Relevant</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7"/>
              </w:rPr>
              <w:t>Convertible Securities being converted on the related Conversion Date (specifying, if applicable,</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9"/>
              </w:rPr>
              <w:t>whether all or any portion of such Convertible Securities are Convertible Securities as to which</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4"/>
              </w:rPr>
              <w:t>additional Shares would be added to the Conversion Rate (as defined in the Indenture) pursuant to</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2"/>
              </w:rPr>
              <w:t>Section 5.07 of the Indenture), (ii) the scheduled settlement date under the Indenture for the Relevant</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4"/>
              </w:rPr>
              <w:t>Convertible Securities for such Conversion Date, (iii) whether such Relevant Convertible Securities</w:t>
            </w:r>
          </w:p>
        </w:tc>
      </w:tr>
      <w:tr>
        <w:trPr>
          <w:trHeight w:val="216"/>
        </w:trPr>
        <w:tc>
          <w:tcPr>
            <w:tcW w:w="3160" w:type="dxa"/>
            <w:vAlign w:val="bottom"/>
          </w:tcPr>
          <w:p>
            <w:pPr>
              <w:spacing w:after="0"/>
              <w:rPr>
                <w:sz w:val="18"/>
                <w:szCs w:val="18"/>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w w:val="91"/>
              </w:rPr>
              <w:t>will be settled by Counterparty by delivery of cash, Shares or a combination of cash and Shares and, if</w:t>
            </w:r>
          </w:p>
        </w:tc>
      </w:tr>
      <w:tr>
        <w:trPr>
          <w:trHeight w:val="230"/>
        </w:trPr>
        <w:tc>
          <w:tcPr>
            <w:tcW w:w="3160" w:type="dxa"/>
            <w:vAlign w:val="bottom"/>
          </w:tcPr>
          <w:p>
            <w:pPr>
              <w:spacing w:after="0"/>
              <w:rPr>
                <w:sz w:val="20"/>
                <w:szCs w:val="20"/>
                <w:color w:val="auto"/>
              </w:rPr>
            </w:pPr>
          </w:p>
        </w:tc>
        <w:tc>
          <w:tcPr>
            <w:tcW w:w="8300" w:type="dxa"/>
            <w:vAlign w:val="bottom"/>
          </w:tcPr>
          <w:p>
            <w:pPr>
              <w:ind w:left="840"/>
              <w:spacing w:after="0"/>
              <w:rPr>
                <w:sz w:val="20"/>
                <w:szCs w:val="20"/>
                <w:color w:val="auto"/>
              </w:rPr>
            </w:pPr>
            <w:r>
              <w:rPr>
                <w:rFonts w:ascii="Arial" w:cs="Arial" w:eastAsia="Arial" w:hAnsi="Arial"/>
                <w:sz w:val="18"/>
                <w:szCs w:val="18"/>
                <w:color w:val="auto"/>
              </w:rPr>
              <w:t>such a</w:t>
            </w:r>
          </w:p>
        </w:tc>
      </w:tr>
      <w:tr>
        <w:trPr>
          <w:trHeight w:val="432"/>
        </w:trPr>
        <w:tc>
          <w:tcPr>
            <w:tcW w:w="3160" w:type="dxa"/>
            <w:vAlign w:val="bottom"/>
          </w:tcPr>
          <w:p>
            <w:pPr>
              <w:spacing w:after="0"/>
              <w:rPr>
                <w:sz w:val="24"/>
                <w:szCs w:val="24"/>
                <w:color w:val="auto"/>
              </w:rPr>
            </w:pPr>
          </w:p>
        </w:tc>
        <w:tc>
          <w:tcPr>
            <w:tcW w:w="8300" w:type="dxa"/>
            <w:vAlign w:val="bottom"/>
          </w:tcPr>
          <w:p>
            <w:pPr>
              <w:ind w:left="2500"/>
              <w:spacing w:after="0"/>
              <w:rPr>
                <w:sz w:val="20"/>
                <w:szCs w:val="20"/>
                <w:color w:val="auto"/>
              </w:rPr>
            </w:pPr>
            <w:r>
              <w:rPr>
                <w:rFonts w:ascii="Arial" w:cs="Arial" w:eastAsia="Arial" w:hAnsi="Arial"/>
                <w:sz w:val="18"/>
                <w:szCs w:val="18"/>
                <w:color w:val="auto"/>
              </w:rPr>
              <w:t>4</w:t>
            </w:r>
          </w:p>
        </w:tc>
      </w:tr>
      <w:tr>
        <w:trPr>
          <w:trHeight w:val="132"/>
        </w:trPr>
        <w:tc>
          <w:tcPr>
            <w:tcW w:w="3160" w:type="dxa"/>
            <w:vAlign w:val="bottom"/>
            <w:tcBorders>
              <w:bottom w:val="single" w:sz="8" w:color="808080"/>
            </w:tcBorders>
          </w:tcPr>
          <w:p>
            <w:pPr>
              <w:spacing w:after="0"/>
              <w:rPr>
                <w:sz w:val="11"/>
                <w:szCs w:val="11"/>
                <w:color w:val="auto"/>
              </w:rPr>
            </w:pPr>
          </w:p>
        </w:tc>
        <w:tc>
          <w:tcPr>
            <w:tcW w:w="8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2" w:name="page233"/>
    <w:bookmarkEnd w:id="2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Notice of Final Convertible Security Settlement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Dealer’s Telephone Number and Telex and/or Facsimile Number and Contact Details for purpose of Giving Notice: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Date: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 xml:space="preserve">combination, the “Specified Dollar Amount” (as defined in the Indenture) and (iv) the first day of the relevant “Observation Period” (as defined in the Indenture),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exercise of Options in connection with the conversion of any Relevant Convertible Securities for any Conversion Date occurring during the Final Conversion Period, the contents of such notice shall be as set forth in clauses (i) and (ii) above;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“Notice of Exercise” delivered to Dealer pursuant to the Base Convertible Bond Hedge Transaction Confirmation shall be deemed to be a Notice of Exercise pursuant to this Confirmation and the terms of such Notice of Exercise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this Confirmation.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Securities. For the avoidance of doubt, if Counterparty fails to give such notice when due in respect of any exercise of Options hereunder, Dealer’s obligation to make any payment or delivery in respect of such exercise shall be permanently extinguished, and late notice shall not cure such failure. If applicable, the Notice of Exercise shall also contain the Settlement Method Election Provisions.</w:t>
      </w:r>
    </w:p>
    <w:p>
      <w:pPr>
        <w:spacing w:after="0" w:line="18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Counterparty shall notify Dealer in writing before 5:00 P.M., New York City time, on the “Scheduled Trading Day” (as defined in the Indenture) immediately preceding the 85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“Scheduled Trading Day” (as defined in the Indenture) prior to the Maturity Date of the settlement method (and, if applicable, the Specified Dollar Amount) elected (or deemed to be elected) with respect to Relevant Convertible Securities with a Conversion Date occurring during the Final Conversion Period (any such notice, a “</w:t>
      </w:r>
      <w:r>
        <w:rPr>
          <w:rFonts w:ascii="Arial" w:cs="Arial" w:eastAsia="Arial" w:hAnsi="Arial"/>
          <w:sz w:val="16"/>
          <w:szCs w:val="16"/>
          <w:b w:val="1"/>
          <w:bCs w:val="1"/>
          <w:color w:val="auto"/>
        </w:rPr>
        <w:t>Notice of Final Convertible Security Settlement Method</w:t>
      </w:r>
      <w:r>
        <w:rPr>
          <w:rFonts w:ascii="Arial" w:cs="Arial" w:eastAsia="Arial" w:hAnsi="Arial"/>
          <w:sz w:val="16"/>
          <w:szCs w:val="16"/>
          <w:color w:val="auto"/>
        </w:rPr>
        <w:t>”). If applicable, the Notice of Final Convertible Security Settlement Method shall also contain the Settlement Method Election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specified in Section 6(b)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For any Exercise Date, the date one Settlement Cycle following the final day of the relevant Cash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Settlement Date shall not be prior to the Exchange</w:t>
      </w:r>
    </w:p>
    <w:p>
      <w:pPr>
        <w:spacing w:after="0" w:line="12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440" w:space="560"/>
            <w:col w:w="7420"/>
          </w:cols>
          <w:pgMar w:left="240" w:top="341"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Business Day immediately following the date Counterparty provides the Notice of Delivery</w:t>
            </w:r>
          </w:p>
        </w:tc>
      </w:tr>
      <w:tr>
        <w:trPr>
          <w:trHeight w:val="230"/>
        </w:trPr>
        <w:tc>
          <w:tcPr>
            <w:tcW w:w="308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Obligation prior to 5:00 P.M., New York City time.</w:t>
            </w:r>
          </w:p>
        </w:tc>
      </w:tr>
      <w:tr>
        <w:trPr>
          <w:trHeight w:val="418"/>
        </w:trPr>
        <w:tc>
          <w:tcPr>
            <w:tcW w:w="3080" w:type="dxa"/>
            <w:vAlign w:val="bottom"/>
          </w:tcPr>
          <w:p>
            <w:pPr>
              <w:ind w:left="660"/>
              <w:spacing w:after="0"/>
              <w:rPr>
                <w:sz w:val="20"/>
                <w:szCs w:val="20"/>
                <w:color w:val="auto"/>
              </w:rPr>
            </w:pPr>
            <w:r>
              <w:rPr>
                <w:rFonts w:ascii="Arial" w:cs="Arial" w:eastAsia="Arial" w:hAnsi="Arial"/>
                <w:sz w:val="18"/>
                <w:szCs w:val="18"/>
                <w:color w:val="auto"/>
              </w:rPr>
              <w:t>Delivery Obligation:</w:t>
            </w: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In lieu of the obligations set forth in Sections 8.1 and 9.1 of the Equity Definitions, and subject to</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“Notice of Exercise” above and “Discretionary Adjustments” , “Dividends” and “Consequences of</w:t>
            </w:r>
          </w:p>
        </w:tc>
      </w:tr>
      <w:tr>
        <w:trPr>
          <w:trHeight w:val="212"/>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Merger Events” below, in respect of an Exercise Date, Dealer will deliver to Counterparty on the</w:t>
            </w:r>
          </w:p>
        </w:tc>
      </w:tr>
      <w:tr>
        <w:trPr>
          <w:trHeight w:val="234"/>
        </w:trPr>
        <w:tc>
          <w:tcPr>
            <w:tcW w:w="308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related Settlement Date (the “</w:t>
            </w:r>
            <w:r>
              <w:rPr>
                <w:rFonts w:ascii="Arial" w:cs="Arial" w:eastAsia="Arial" w:hAnsi="Arial"/>
                <w:sz w:val="18"/>
                <w:szCs w:val="18"/>
                <w:b w:val="1"/>
                <w:bCs w:val="1"/>
                <w:color w:val="auto"/>
              </w:rPr>
              <w:t>Delivery Obligation</w:t>
            </w:r>
            <w:r>
              <w:rPr>
                <w:rFonts w:ascii="Arial" w:cs="Arial" w:eastAsia="Arial" w:hAnsi="Arial"/>
                <w:sz w:val="18"/>
                <w:szCs w:val="18"/>
                <w:color w:val="auto"/>
              </w:rPr>
              <w:t>”),</w:t>
            </w:r>
          </w:p>
        </w:tc>
      </w:tr>
      <w:tr>
        <w:trPr>
          <w:trHeight w:val="418"/>
        </w:trPr>
        <w:tc>
          <w:tcPr>
            <w:tcW w:w="3080" w:type="dxa"/>
            <w:vAlign w:val="bottom"/>
          </w:tcPr>
          <w:p>
            <w:pPr>
              <w:spacing w:after="0"/>
              <w:rPr>
                <w:sz w:val="24"/>
                <w:szCs w:val="24"/>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w w:val="94"/>
              </w:rPr>
              <w:t>(i) a number of Shares equal to (I) the product of the Applicable Percentage and the aggregate</w:t>
            </w:r>
          </w:p>
        </w:tc>
      </w:tr>
      <w:tr>
        <w:trPr>
          <w:trHeight w:val="216"/>
        </w:trPr>
        <w:tc>
          <w:tcPr>
            <w:tcW w:w="3080" w:type="dxa"/>
            <w:vAlign w:val="bottom"/>
          </w:tcPr>
          <w:p>
            <w:pPr>
              <w:spacing w:after="0"/>
              <w:rPr>
                <w:sz w:val="18"/>
                <w:szCs w:val="18"/>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w w:val="94"/>
              </w:rPr>
              <w:t>number of Shares, if any, that Counterparty would be obligated to deliver to the holder(s) of the</w:t>
            </w:r>
          </w:p>
        </w:tc>
      </w:tr>
      <w:tr>
        <w:trPr>
          <w:trHeight w:val="216"/>
        </w:trPr>
        <w:tc>
          <w:tcPr>
            <w:tcW w:w="3080" w:type="dxa"/>
            <w:vAlign w:val="bottom"/>
          </w:tcPr>
          <w:p>
            <w:pPr>
              <w:spacing w:after="0"/>
              <w:rPr>
                <w:sz w:val="18"/>
                <w:szCs w:val="18"/>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rPr>
              <w:t>Relevant Convertible Securities for such Conversion Date pursuant to Section 5.03 of the</w:t>
            </w:r>
          </w:p>
        </w:tc>
      </w:tr>
      <w:tr>
        <w:trPr>
          <w:trHeight w:val="216"/>
        </w:trPr>
        <w:tc>
          <w:tcPr>
            <w:tcW w:w="3080" w:type="dxa"/>
            <w:vAlign w:val="bottom"/>
          </w:tcPr>
          <w:p>
            <w:pPr>
              <w:spacing w:after="0"/>
              <w:rPr>
                <w:sz w:val="18"/>
                <w:szCs w:val="18"/>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rPr>
              <w:t>Indenture (except that such number of Shares shall be determined without taking into</w:t>
            </w:r>
          </w:p>
        </w:tc>
      </w:tr>
      <w:tr>
        <w:trPr>
          <w:trHeight w:val="216"/>
        </w:trPr>
        <w:tc>
          <w:tcPr>
            <w:tcW w:w="3080" w:type="dxa"/>
            <w:vAlign w:val="bottom"/>
          </w:tcPr>
          <w:p>
            <w:pPr>
              <w:spacing w:after="0"/>
              <w:rPr>
                <w:sz w:val="18"/>
                <w:szCs w:val="18"/>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w w:val="93"/>
              </w:rPr>
              <w:t>consideration any rounding pursuant to Section 5.03(B)(ii) of the Indenture and shall be rounded</w:t>
            </w:r>
          </w:p>
        </w:tc>
      </w:tr>
      <w:tr>
        <w:trPr>
          <w:trHeight w:val="216"/>
        </w:trPr>
        <w:tc>
          <w:tcPr>
            <w:tcW w:w="3080" w:type="dxa"/>
            <w:vAlign w:val="bottom"/>
          </w:tcPr>
          <w:p>
            <w:pPr>
              <w:spacing w:after="0"/>
              <w:rPr>
                <w:sz w:val="18"/>
                <w:szCs w:val="18"/>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w w:val="96"/>
              </w:rPr>
              <w:t>down to the nearest whole number) and (II) cash in lieu of any fractional Share resulting from</w:t>
            </w:r>
          </w:p>
        </w:tc>
      </w:tr>
      <w:tr>
        <w:trPr>
          <w:trHeight w:val="230"/>
        </w:trPr>
        <w:tc>
          <w:tcPr>
            <w:tcW w:w="3080" w:type="dxa"/>
            <w:vAlign w:val="bottom"/>
          </w:tcPr>
          <w:p>
            <w:pPr>
              <w:spacing w:after="0"/>
              <w:rPr>
                <w:sz w:val="20"/>
                <w:szCs w:val="20"/>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rPr>
              <w:t>such rounding; and/or</w:t>
            </w:r>
          </w:p>
        </w:tc>
      </w:tr>
      <w:tr>
        <w:trPr>
          <w:trHeight w:val="418"/>
        </w:trPr>
        <w:tc>
          <w:tcPr>
            <w:tcW w:w="3080" w:type="dxa"/>
            <w:vAlign w:val="bottom"/>
          </w:tcPr>
          <w:p>
            <w:pPr>
              <w:spacing w:after="0"/>
              <w:rPr>
                <w:sz w:val="24"/>
                <w:szCs w:val="24"/>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w w:val="99"/>
              </w:rPr>
              <w:t>(ii) the aggregate amount of cash, if any, in excess of the principal amount of the Relevant</w:t>
            </w:r>
          </w:p>
        </w:tc>
      </w:tr>
      <w:tr>
        <w:trPr>
          <w:trHeight w:val="216"/>
        </w:trPr>
        <w:tc>
          <w:tcPr>
            <w:tcW w:w="3080" w:type="dxa"/>
            <w:vAlign w:val="bottom"/>
          </w:tcPr>
          <w:p>
            <w:pPr>
              <w:spacing w:after="0"/>
              <w:rPr>
                <w:sz w:val="18"/>
                <w:szCs w:val="18"/>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rPr>
              <w:t>Convertible Securities that Counterparty would be obligated to deliver to holder(s) of the</w:t>
            </w:r>
          </w:p>
        </w:tc>
      </w:tr>
      <w:tr>
        <w:trPr>
          <w:trHeight w:val="216"/>
        </w:trPr>
        <w:tc>
          <w:tcPr>
            <w:tcW w:w="3080" w:type="dxa"/>
            <w:vAlign w:val="bottom"/>
          </w:tcPr>
          <w:p>
            <w:pPr>
              <w:spacing w:after="0"/>
              <w:rPr>
                <w:sz w:val="18"/>
                <w:szCs w:val="18"/>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rPr>
              <w:t>Relevant Convertible Securities for such Conversion Date pursuant to Section 5.03 of the</w:t>
            </w:r>
          </w:p>
        </w:tc>
      </w:tr>
      <w:tr>
        <w:trPr>
          <w:trHeight w:val="216"/>
        </w:trPr>
        <w:tc>
          <w:tcPr>
            <w:tcW w:w="3080" w:type="dxa"/>
            <w:vAlign w:val="bottom"/>
          </w:tcPr>
          <w:p>
            <w:pPr>
              <w:spacing w:after="0"/>
              <w:rPr>
                <w:sz w:val="18"/>
                <w:szCs w:val="18"/>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w w:val="94"/>
              </w:rPr>
              <w:t>Indenture, determined, for each of clauses (i) and (ii), by the Calculation Agent (by reference to</w:t>
            </w:r>
          </w:p>
        </w:tc>
      </w:tr>
      <w:tr>
        <w:trPr>
          <w:trHeight w:val="230"/>
        </w:trPr>
        <w:tc>
          <w:tcPr>
            <w:tcW w:w="3080" w:type="dxa"/>
            <w:vAlign w:val="bottom"/>
          </w:tcPr>
          <w:p>
            <w:pPr>
              <w:spacing w:after="0"/>
              <w:rPr>
                <w:sz w:val="20"/>
                <w:szCs w:val="20"/>
                <w:color w:val="auto"/>
              </w:rPr>
            </w:pPr>
          </w:p>
        </w:tc>
        <w:tc>
          <w:tcPr>
            <w:tcW w:w="8380" w:type="dxa"/>
            <w:vAlign w:val="bottom"/>
          </w:tcPr>
          <w:p>
            <w:pPr>
              <w:ind w:left="1240"/>
              <w:spacing w:after="0"/>
              <w:rPr>
                <w:sz w:val="20"/>
                <w:szCs w:val="20"/>
                <w:color w:val="auto"/>
              </w:rPr>
            </w:pPr>
            <w:r>
              <w:rPr>
                <w:rFonts w:ascii="Arial" w:cs="Arial" w:eastAsia="Arial" w:hAnsi="Arial"/>
                <w:sz w:val="18"/>
                <w:szCs w:val="18"/>
                <w:color w:val="auto"/>
              </w:rPr>
              <w:t>such Sections of the Indenture)</w:t>
            </w:r>
          </w:p>
        </w:tc>
      </w:tr>
      <w:tr>
        <w:trPr>
          <w:trHeight w:val="418"/>
        </w:trPr>
        <w:tc>
          <w:tcPr>
            <w:tcW w:w="3080" w:type="dxa"/>
            <w:vAlign w:val="bottom"/>
          </w:tcPr>
          <w:p>
            <w:pPr>
              <w:spacing w:after="0"/>
              <w:rPr>
                <w:sz w:val="24"/>
                <w:szCs w:val="24"/>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as if Counterparty had elected to satisfy its conversion obligation in respect of such Relevant</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Convertible Securities by the Applicable Settlement Method, notwithstanding any different actual</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8"/>
              </w:rPr>
              <w:t>election by Counterparty with respect to the settlement of such Relevant Convertible Securities;</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i w:val="1"/>
                <w:iCs w:val="1"/>
                <w:color w:val="auto"/>
                <w:w w:val="97"/>
              </w:rPr>
              <w:t xml:space="preserve">provided </w:t>
            </w:r>
            <w:r>
              <w:rPr>
                <w:rFonts w:ascii="Arial" w:cs="Arial" w:eastAsia="Arial" w:hAnsi="Arial"/>
                <w:sz w:val="18"/>
                <w:szCs w:val="18"/>
                <w:color w:val="auto"/>
                <w:w w:val="97"/>
              </w:rPr>
              <w:t>that the Delivery Obligation shall be determined excluding any Shares and/or cash that</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4"/>
              </w:rPr>
              <w:t>Counterparty is obligated to deliver to holder(s) of the Relevant Convertible Securities as a direct or</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indirect result of any adjustments to the Conversion Rate pursuant to a Fundamental Change</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5"/>
              </w:rPr>
              <w:t>Adjustment or a Discretionary Adjustment and any interest payment that Counterparty is (or would</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1"/>
              </w:rPr>
              <w:t>have been) obligated to deliver to holder(s) of the Relevant Convertible Securities for such Conversion</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4"/>
              </w:rPr>
              <w:t>Date. Notwithstanding the foregoing, if, in respect of any Exercise Date, (x)(I) the number of Shares</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 xml:space="preserve">included in the Delivery Obligation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Share Obligation Value Price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w:t>
            </w:r>
          </w:p>
        </w:tc>
      </w:tr>
      <w:tr>
        <w:trPr>
          <w:trHeight w:val="216"/>
        </w:trPr>
        <w:tc>
          <w:tcPr>
            <w:tcW w:w="3080" w:type="dxa"/>
            <w:vAlign w:val="bottom"/>
          </w:tcPr>
          <w:p>
            <w:pPr>
              <w:spacing w:after="0"/>
              <w:rPr>
                <w:sz w:val="18"/>
                <w:szCs w:val="18"/>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w w:val="97"/>
              </w:rPr>
              <w:t>amount of cash included in the Delivery Obligation, would otherwise exceed (y) the relevant Net</w:t>
            </w:r>
          </w:p>
        </w:tc>
      </w:tr>
      <w:tr>
        <w:trPr>
          <w:trHeight w:val="230"/>
        </w:trPr>
        <w:tc>
          <w:tcPr>
            <w:tcW w:w="308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18"/>
                <w:szCs w:val="18"/>
                <w:color w:val="auto"/>
              </w:rPr>
              <w:t>Convertible Share</w:t>
            </w:r>
          </w:p>
        </w:tc>
      </w:tr>
      <w:tr>
        <w:trPr>
          <w:trHeight w:val="432"/>
        </w:trPr>
        <w:tc>
          <w:tcPr>
            <w:tcW w:w="3080" w:type="dxa"/>
            <w:vAlign w:val="bottom"/>
          </w:tcPr>
          <w:p>
            <w:pPr>
              <w:spacing w:after="0"/>
              <w:rPr>
                <w:sz w:val="24"/>
                <w:szCs w:val="24"/>
                <w:color w:val="auto"/>
              </w:rPr>
            </w:pPr>
          </w:p>
        </w:tc>
        <w:tc>
          <w:tcPr>
            <w:tcW w:w="8380" w:type="dxa"/>
            <w:vAlign w:val="bottom"/>
          </w:tcPr>
          <w:p>
            <w:pPr>
              <w:ind w:left="2580"/>
              <w:spacing w:after="0"/>
              <w:rPr>
                <w:sz w:val="20"/>
                <w:szCs w:val="20"/>
                <w:color w:val="auto"/>
              </w:rPr>
            </w:pPr>
            <w:r>
              <w:rPr>
                <w:rFonts w:ascii="Arial" w:cs="Arial" w:eastAsia="Arial" w:hAnsi="Arial"/>
                <w:sz w:val="18"/>
                <w:szCs w:val="18"/>
                <w:color w:val="auto"/>
              </w:rPr>
              <w:t>6</w:t>
            </w:r>
          </w:p>
        </w:tc>
      </w:tr>
      <w:tr>
        <w:trPr>
          <w:trHeight w:val="132"/>
        </w:trPr>
        <w:tc>
          <w:tcPr>
            <w:tcW w:w="3080" w:type="dxa"/>
            <w:vAlign w:val="bottom"/>
            <w:tcBorders>
              <w:bottom w:val="single" w:sz="8" w:color="808080"/>
            </w:tcBorders>
          </w:tcPr>
          <w:p>
            <w:pPr>
              <w:spacing w:after="0"/>
              <w:rPr>
                <w:sz w:val="11"/>
                <w:szCs w:val="11"/>
                <w:color w:val="auto"/>
              </w:rPr>
            </w:pPr>
          </w:p>
        </w:tc>
        <w:tc>
          <w:tcPr>
            <w:tcW w:w="83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1"/>
              </w:rPr>
              <w:t>Obligation Value, such number of Shares and such amount of cash shall be proportionately reduced to</w:t>
            </w:r>
          </w:p>
        </w:tc>
      </w:tr>
      <w:tr>
        <w:trPr>
          <w:trHeight w:val="230"/>
        </w:trPr>
        <w:tc>
          <w:tcPr>
            <w:tcW w:w="3460" w:type="dxa"/>
            <w:vAlign w:val="bottom"/>
          </w:tcPr>
          <w:p>
            <w:pPr>
              <w:spacing w:after="0"/>
              <w:rPr>
                <w:sz w:val="20"/>
                <w:szCs w:val="20"/>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rPr>
              <w:t>the extent necessary to eliminate such excess.</w:t>
            </w:r>
          </w:p>
        </w:tc>
      </w:tr>
      <w:tr>
        <w:trPr>
          <w:trHeight w:val="418"/>
        </w:trPr>
        <w:tc>
          <w:tcPr>
            <w:tcW w:w="3460" w:type="dxa"/>
            <w:vAlign w:val="bottom"/>
          </w:tcPr>
          <w:p>
            <w:pPr>
              <w:ind w:left="660"/>
              <w:spacing w:after="0"/>
              <w:rPr>
                <w:sz w:val="20"/>
                <w:szCs w:val="20"/>
                <w:color w:val="auto"/>
              </w:rPr>
            </w:pPr>
            <w:r>
              <w:rPr>
                <w:rFonts w:ascii="Arial" w:cs="Arial" w:eastAsia="Arial" w:hAnsi="Arial"/>
                <w:sz w:val="18"/>
                <w:szCs w:val="18"/>
                <w:color w:val="auto"/>
              </w:rPr>
              <w:t>Make-Whole Adjustment:</w:t>
            </w:r>
          </w:p>
        </w:tc>
        <w:tc>
          <w:tcPr>
            <w:tcW w:w="8000" w:type="dxa"/>
            <w:vAlign w:val="bottom"/>
          </w:tcPr>
          <w:p>
            <w:pPr>
              <w:ind w:left="540"/>
              <w:spacing w:after="0"/>
              <w:rPr>
                <w:sz w:val="20"/>
                <w:szCs w:val="20"/>
                <w:color w:val="auto"/>
              </w:rPr>
            </w:pPr>
            <w:r>
              <w:rPr>
                <w:rFonts w:ascii="Arial" w:cs="Arial" w:eastAsia="Arial" w:hAnsi="Arial"/>
                <w:sz w:val="18"/>
                <w:szCs w:val="18"/>
                <w:color w:val="auto"/>
                <w:w w:val="95"/>
              </w:rPr>
              <w:t>Notwithstanding anything to the contrary herein, in respect of any exercise of Options relating to a</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8"/>
              </w:rPr>
              <w:t>conversion of Relevant Convertible Securities in connection with which holders of the Relevant</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9"/>
              </w:rPr>
              <w:t>Convertible Securities would be entitled to receive additional Shares and/or cash as a result of</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6"/>
              </w:rPr>
              <w:t>adjustments to the Conversion Rate pursuant to a Fundamental Change Adjustment, the Delivery</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2"/>
              </w:rPr>
              <w:t xml:space="preserve">Obligation shall include such additional Shares and/or cash;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the sum of (i) the product</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7"/>
              </w:rPr>
              <w:t>of (a) the number of Shares (if any) included in the Delivery Obligation per exercised Option and</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8"/>
              </w:rPr>
              <w:t>(b) the Share Obligation Value Price and (ii) the amount of cash (if any) included in the Delivery</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1"/>
              </w:rPr>
              <w:t>Obligation per exercised Option would otherwise exceed the amount per Option, as determined by the</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8"/>
              </w:rPr>
              <w:t>Calculation Agent, that would be payable by Dealer under Section 6 of the Agreement if (x) the</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4"/>
              </w:rPr>
              <w:t>relevant Conversion Date were an Early Termination Date resulting from an Additional Termination</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2"/>
              </w:rPr>
              <w:t>Event with respect to which the Transaction was the sole Affected Transaction and Counterparty was</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5"/>
              </w:rPr>
              <w:t>the sole Affected Party and (y) the provisions of the Indenture relating to the Fundamental Change</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rPr>
              <w:t>Adjustment were deleted, then such number of Shares and such amount of cash shall be</w:t>
            </w:r>
          </w:p>
        </w:tc>
      </w:tr>
      <w:tr>
        <w:trPr>
          <w:trHeight w:val="230"/>
        </w:trPr>
        <w:tc>
          <w:tcPr>
            <w:tcW w:w="3460" w:type="dxa"/>
            <w:vAlign w:val="bottom"/>
          </w:tcPr>
          <w:p>
            <w:pPr>
              <w:spacing w:after="0"/>
              <w:rPr>
                <w:sz w:val="20"/>
                <w:szCs w:val="20"/>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rPr>
              <w:t>proportionately reduced to the extent necessary to eliminate such excess.</w:t>
            </w:r>
          </w:p>
        </w:tc>
      </w:tr>
      <w:tr>
        <w:trPr>
          <w:trHeight w:val="418"/>
        </w:trPr>
        <w:tc>
          <w:tcPr>
            <w:tcW w:w="3460" w:type="dxa"/>
            <w:vAlign w:val="bottom"/>
          </w:tcPr>
          <w:p>
            <w:pPr>
              <w:ind w:left="660"/>
              <w:spacing w:after="0"/>
              <w:rPr>
                <w:sz w:val="20"/>
                <w:szCs w:val="20"/>
                <w:color w:val="auto"/>
              </w:rPr>
            </w:pPr>
            <w:r>
              <w:rPr>
                <w:rFonts w:ascii="Arial" w:cs="Arial" w:eastAsia="Arial" w:hAnsi="Arial"/>
                <w:sz w:val="18"/>
                <w:szCs w:val="18"/>
                <w:color w:val="auto"/>
              </w:rPr>
              <w:t>Applicable Settlement Method:</w:t>
            </w:r>
          </w:p>
        </w:tc>
        <w:tc>
          <w:tcPr>
            <w:tcW w:w="8000" w:type="dxa"/>
            <w:vAlign w:val="bottom"/>
          </w:tcPr>
          <w:p>
            <w:pPr>
              <w:ind w:left="540"/>
              <w:spacing w:after="0"/>
              <w:rPr>
                <w:sz w:val="20"/>
                <w:szCs w:val="20"/>
                <w:color w:val="auto"/>
              </w:rPr>
            </w:pPr>
            <w:r>
              <w:rPr>
                <w:rFonts w:ascii="Arial" w:cs="Arial" w:eastAsia="Arial" w:hAnsi="Arial"/>
                <w:sz w:val="18"/>
                <w:szCs w:val="18"/>
                <w:color w:val="auto"/>
                <w:w w:val="94"/>
              </w:rPr>
              <w:t>For any Relevant Convertible Securities, if (i) Counterparty has notified Dealer in the related Notice</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5"/>
              </w:rPr>
              <w:t>of Exercise (or in the Notice of Final Convertible Security Settlement Method, as the case may be)</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rPr>
              <w:t>that it has elected to satisfy its conversion obligation in respect of such Relevant Convertible</w:t>
            </w:r>
          </w:p>
        </w:tc>
      </w:tr>
      <w:tr>
        <w:trPr>
          <w:trHeight w:val="212"/>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4"/>
              </w:rPr>
              <w:t>Securities in cash or in a combination of cash and Shares in accordance with Section 5.03(A) of the</w:t>
            </w:r>
          </w:p>
        </w:tc>
      </w:tr>
      <w:tr>
        <w:trPr>
          <w:trHeight w:val="220"/>
        </w:trPr>
        <w:tc>
          <w:tcPr>
            <w:tcW w:w="3460" w:type="dxa"/>
            <w:vAlign w:val="bottom"/>
          </w:tcPr>
          <w:p>
            <w:pPr>
              <w:spacing w:after="0"/>
              <w:rPr>
                <w:sz w:val="19"/>
                <w:szCs w:val="19"/>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7"/>
              </w:rPr>
              <w:t>Indenture (a “</w:t>
            </w:r>
            <w:r>
              <w:rPr>
                <w:rFonts w:ascii="Arial" w:cs="Arial" w:eastAsia="Arial" w:hAnsi="Arial"/>
                <w:sz w:val="18"/>
                <w:szCs w:val="18"/>
                <w:b w:val="1"/>
                <w:bCs w:val="1"/>
                <w:color w:val="auto"/>
                <w:w w:val="97"/>
              </w:rPr>
              <w:t>Cash Election</w:t>
            </w:r>
            <w:r>
              <w:rPr>
                <w:rFonts w:ascii="Arial" w:cs="Arial" w:eastAsia="Arial" w:hAnsi="Arial"/>
                <w:sz w:val="18"/>
                <w:szCs w:val="18"/>
                <w:color w:val="auto"/>
                <w:w w:val="97"/>
              </w:rPr>
              <w:t>”) with a Specified Dollar Amount of at least USD1,000 and (ii) such</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3"/>
              </w:rPr>
              <w:t>Notice of Exercise (or such Notice of Final Convertible Security Settlement Method, as the case may</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2"/>
              </w:rPr>
              <w:t>be) contains all of the Settlement Method Election Provisions, the Applicable Settlement Method shall</w:t>
            </w:r>
          </w:p>
        </w:tc>
      </w:tr>
      <w:tr>
        <w:trPr>
          <w:trHeight w:val="212"/>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2"/>
              </w:rPr>
              <w:t>be the settlement method actually so elected by Counterparty in respect of such Relevant Convertible</w:t>
            </w:r>
          </w:p>
        </w:tc>
      </w:tr>
      <w:tr>
        <w:trPr>
          <w:trHeight w:val="220"/>
        </w:trPr>
        <w:tc>
          <w:tcPr>
            <w:tcW w:w="3460" w:type="dxa"/>
            <w:vAlign w:val="bottom"/>
          </w:tcPr>
          <w:p>
            <w:pPr>
              <w:spacing w:after="0"/>
              <w:rPr>
                <w:sz w:val="19"/>
                <w:szCs w:val="19"/>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3"/>
              </w:rPr>
              <w:t>Securities (the “</w:t>
            </w:r>
            <w:r>
              <w:rPr>
                <w:rFonts w:ascii="Arial" w:cs="Arial" w:eastAsia="Arial" w:hAnsi="Arial"/>
                <w:sz w:val="18"/>
                <w:szCs w:val="18"/>
                <w:b w:val="1"/>
                <w:bCs w:val="1"/>
                <w:color w:val="auto"/>
                <w:w w:val="93"/>
              </w:rPr>
              <w:t>Convertible Securities Settlement Method</w:t>
            </w:r>
            <w:r>
              <w:rPr>
                <w:rFonts w:ascii="Arial" w:cs="Arial" w:eastAsia="Arial" w:hAnsi="Arial"/>
                <w:sz w:val="18"/>
                <w:szCs w:val="18"/>
                <w:color w:val="auto"/>
                <w:w w:val="93"/>
              </w:rPr>
              <w:t>”); otherwise, the Applicable Settlement</w:t>
            </w:r>
          </w:p>
        </w:tc>
      </w:tr>
      <w:tr>
        <w:trPr>
          <w:trHeight w:val="212"/>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rPr>
              <w:t>Method shall assume Counterparty had made a Cash Election with respect to such Relevant</w:t>
            </w:r>
          </w:p>
        </w:tc>
      </w:tr>
      <w:tr>
        <w:trPr>
          <w:trHeight w:val="220"/>
        </w:trPr>
        <w:tc>
          <w:tcPr>
            <w:tcW w:w="3460" w:type="dxa"/>
            <w:vAlign w:val="bottom"/>
          </w:tcPr>
          <w:p>
            <w:pPr>
              <w:spacing w:after="0"/>
              <w:rPr>
                <w:sz w:val="19"/>
                <w:szCs w:val="19"/>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6"/>
              </w:rPr>
              <w:t>Convertible Securities (a “</w:t>
            </w:r>
            <w:r>
              <w:rPr>
                <w:rFonts w:ascii="Arial" w:cs="Arial" w:eastAsia="Arial" w:hAnsi="Arial"/>
                <w:sz w:val="18"/>
                <w:szCs w:val="18"/>
                <w:b w:val="1"/>
                <w:bCs w:val="1"/>
                <w:color w:val="auto"/>
                <w:w w:val="96"/>
              </w:rPr>
              <w:t>Deemed Cash Election</w:t>
            </w:r>
            <w:r>
              <w:rPr>
                <w:rFonts w:ascii="Arial" w:cs="Arial" w:eastAsia="Arial" w:hAnsi="Arial"/>
                <w:sz w:val="18"/>
                <w:szCs w:val="18"/>
                <w:color w:val="auto"/>
                <w:w w:val="96"/>
              </w:rPr>
              <w:t>”) with a Specified Dollar Amount of USD1,000</w:t>
            </w:r>
          </w:p>
        </w:tc>
      </w:tr>
      <w:tr>
        <w:trPr>
          <w:trHeight w:val="216"/>
        </w:trPr>
        <w:tc>
          <w:tcPr>
            <w:tcW w:w="3460" w:type="dxa"/>
            <w:vAlign w:val="bottom"/>
          </w:tcPr>
          <w:p>
            <w:pPr>
              <w:spacing w:after="0"/>
              <w:rPr>
                <w:sz w:val="18"/>
                <w:szCs w:val="18"/>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w w:val="93"/>
              </w:rPr>
              <w:t>per Relevant Convertible Security and the Delivery Obligation shall be determined by the Calculation</w:t>
            </w:r>
          </w:p>
        </w:tc>
      </w:tr>
      <w:tr>
        <w:trPr>
          <w:trHeight w:val="230"/>
        </w:trPr>
        <w:tc>
          <w:tcPr>
            <w:tcW w:w="3460" w:type="dxa"/>
            <w:vAlign w:val="bottom"/>
          </w:tcPr>
          <w:p>
            <w:pPr>
              <w:spacing w:after="0"/>
              <w:rPr>
                <w:sz w:val="20"/>
                <w:szCs w:val="20"/>
                <w:color w:val="auto"/>
              </w:rPr>
            </w:pPr>
          </w:p>
        </w:tc>
        <w:tc>
          <w:tcPr>
            <w:tcW w:w="8000" w:type="dxa"/>
            <w:vAlign w:val="bottom"/>
          </w:tcPr>
          <w:p>
            <w:pPr>
              <w:ind w:left="540"/>
              <w:spacing w:after="0"/>
              <w:rPr>
                <w:sz w:val="20"/>
                <w:szCs w:val="20"/>
                <w:color w:val="auto"/>
              </w:rPr>
            </w:pPr>
            <w:r>
              <w:rPr>
                <w:rFonts w:ascii="Arial" w:cs="Arial" w:eastAsia="Arial" w:hAnsi="Arial"/>
                <w:sz w:val="18"/>
                <w:szCs w:val="18"/>
                <w:color w:val="auto"/>
              </w:rPr>
              <w:t>Agent as if the relevant “Observation Period” pursuant to Section</w:t>
            </w:r>
          </w:p>
        </w:tc>
      </w:tr>
      <w:tr>
        <w:trPr>
          <w:trHeight w:val="432"/>
        </w:trPr>
        <w:tc>
          <w:tcPr>
            <w:tcW w:w="3460" w:type="dxa"/>
            <w:vAlign w:val="bottom"/>
          </w:tcPr>
          <w:p>
            <w:pPr>
              <w:spacing w:after="0"/>
              <w:rPr>
                <w:sz w:val="24"/>
                <w:szCs w:val="24"/>
                <w:color w:val="auto"/>
              </w:rPr>
            </w:pPr>
          </w:p>
        </w:tc>
        <w:tc>
          <w:tcPr>
            <w:tcW w:w="8000" w:type="dxa"/>
            <w:vAlign w:val="bottom"/>
          </w:tcPr>
          <w:p>
            <w:pPr>
              <w:ind w:left="2200"/>
              <w:spacing w:after="0"/>
              <w:rPr>
                <w:sz w:val="20"/>
                <w:szCs w:val="20"/>
                <w:color w:val="auto"/>
              </w:rPr>
            </w:pPr>
            <w:r>
              <w:rPr>
                <w:rFonts w:ascii="Arial" w:cs="Arial" w:eastAsia="Arial" w:hAnsi="Arial"/>
                <w:sz w:val="18"/>
                <w:szCs w:val="18"/>
                <w:color w:val="auto"/>
              </w:rPr>
              <w:t>7</w:t>
            </w:r>
          </w:p>
        </w:tc>
      </w:tr>
      <w:tr>
        <w:trPr>
          <w:trHeight w:val="132"/>
        </w:trPr>
        <w:tc>
          <w:tcPr>
            <w:tcW w:w="3460" w:type="dxa"/>
            <w:vAlign w:val="bottom"/>
            <w:tcBorders>
              <w:bottom w:val="single" w:sz="8" w:color="808080"/>
            </w:tcBorders>
          </w:tcPr>
          <w:p>
            <w:pPr>
              <w:spacing w:after="0"/>
              <w:rPr>
                <w:sz w:val="11"/>
                <w:szCs w:val="11"/>
                <w:color w:val="auto"/>
              </w:rPr>
            </w:pPr>
          </w:p>
        </w:tc>
        <w:tc>
          <w:tcPr>
            <w:tcW w:w="8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5.03(B)(i) of the Indenture were the Cash Settlement Averaging Period.</w:t>
            </w:r>
          </w:p>
        </w:tc>
      </w:tr>
      <w:tr>
        <w:trPr>
          <w:trHeight w:val="418"/>
        </w:trPr>
        <w:tc>
          <w:tcPr>
            <w:tcW w:w="3760" w:type="dxa"/>
            <w:vAlign w:val="bottom"/>
          </w:tcPr>
          <w:p>
            <w:pPr>
              <w:ind w:left="660"/>
              <w:spacing w:after="0"/>
              <w:rPr>
                <w:sz w:val="20"/>
                <w:szCs w:val="20"/>
                <w:color w:val="auto"/>
              </w:rPr>
            </w:pPr>
            <w:r>
              <w:rPr>
                <w:rFonts w:ascii="Arial" w:cs="Arial" w:eastAsia="Arial" w:hAnsi="Arial"/>
                <w:sz w:val="18"/>
                <w:szCs w:val="18"/>
                <w:color w:val="auto"/>
              </w:rPr>
              <w:t>Cash Settlement Averaging Period:</w:t>
            </w:r>
          </w:p>
        </w:tc>
        <w:tc>
          <w:tcPr>
            <w:tcW w:w="7700" w:type="dxa"/>
            <w:vAlign w:val="bottom"/>
          </w:tcPr>
          <w:p>
            <w:pPr>
              <w:ind w:left="240"/>
              <w:spacing w:after="0"/>
              <w:rPr>
                <w:sz w:val="20"/>
                <w:szCs w:val="20"/>
                <w:color w:val="auto"/>
              </w:rPr>
            </w:pPr>
            <w:r>
              <w:rPr>
                <w:rFonts w:ascii="Arial" w:cs="Arial" w:eastAsia="Arial" w:hAnsi="Arial"/>
                <w:sz w:val="18"/>
                <w:szCs w:val="18"/>
                <w:color w:val="auto"/>
                <w:w w:val="95"/>
              </w:rPr>
              <w:t>The 40 “Trading Days” (as defined in the Indenture) commencing on (I) the third “Trading Day” (as</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4"/>
              </w:rPr>
              <w:t>defined in the Indenture) after the Conversion Date for conversions with a related Conversion Date</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3"/>
              </w:rPr>
              <w:t>occurring prior to the Final Conversion Period or (II) the 41st “Scheduled Trading Day” (as defined in</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3"/>
              </w:rPr>
              <w:t>the Indenture) prior to the “Maturity Date” (as defined in the Indenture) for conversions with a related</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1"/>
              </w:rPr>
              <w:t xml:space="preserve">Conversion Date occurring during the Final Conversion Period;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in the case of a Deemed</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1"/>
              </w:rPr>
              <w:t>Cash Election, the Cash Settlement Averaging Period shall be the 80 “Trading Days” (as defined in the</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9"/>
              </w:rPr>
              <w:t>Indenture) commencing on (I) the second “Trading Day” (as defined in the Indenture) after the</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Conversion Date for conversions with a related Conversion Date occurring prior to the Final</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line="216" w:lineRule="exact"/>
              <w:rPr>
                <w:sz w:val="20"/>
                <w:szCs w:val="20"/>
                <w:color w:val="auto"/>
              </w:rPr>
            </w:pPr>
            <w:r>
              <w:rPr>
                <w:rFonts w:ascii="Arial" w:cs="Arial" w:eastAsia="Arial" w:hAnsi="Arial"/>
                <w:sz w:val="18"/>
                <w:szCs w:val="18"/>
                <w:color w:val="auto"/>
                <w:w w:val="93"/>
              </w:rPr>
              <w:t>Conversion Period or (II) the 82</w:t>
            </w:r>
            <w:r>
              <w:rPr>
                <w:rFonts w:ascii="Arial" w:cs="Arial" w:eastAsia="Arial" w:hAnsi="Arial"/>
                <w:sz w:val="23"/>
                <w:szCs w:val="23"/>
                <w:color w:val="auto"/>
                <w:w w:val="93"/>
                <w:vertAlign w:val="superscript"/>
              </w:rPr>
              <w:t>nd</w:t>
            </w:r>
            <w:r>
              <w:rPr>
                <w:rFonts w:ascii="Arial" w:cs="Arial" w:eastAsia="Arial" w:hAnsi="Arial"/>
                <w:sz w:val="18"/>
                <w:szCs w:val="18"/>
                <w:color w:val="auto"/>
                <w:w w:val="93"/>
              </w:rPr>
              <w:t xml:space="preserve"> “Scheduled Trading Day” (as defined in the Indenture) prior to the</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“Maturity Date” (as defined in the Indenture) for conversions with a related Conversion Date</w:t>
            </w:r>
          </w:p>
        </w:tc>
      </w:tr>
      <w:tr>
        <w:trPr>
          <w:trHeight w:val="230"/>
        </w:trPr>
        <w:tc>
          <w:tcPr>
            <w:tcW w:w="3760" w:type="dxa"/>
            <w:vAlign w:val="bottom"/>
          </w:tcPr>
          <w:p>
            <w:pPr>
              <w:spacing w:after="0"/>
              <w:rPr>
                <w:sz w:val="20"/>
                <w:szCs w:val="20"/>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occurring during the Final Conversion Period.</w:t>
            </w:r>
          </w:p>
        </w:tc>
      </w:tr>
      <w:tr>
        <w:trPr>
          <w:trHeight w:val="418"/>
        </w:trPr>
        <w:tc>
          <w:tcPr>
            <w:tcW w:w="3760" w:type="dxa"/>
            <w:vAlign w:val="bottom"/>
          </w:tcPr>
          <w:p>
            <w:pPr>
              <w:ind w:left="660"/>
              <w:spacing w:after="0"/>
              <w:rPr>
                <w:sz w:val="20"/>
                <w:szCs w:val="20"/>
                <w:color w:val="auto"/>
              </w:rPr>
            </w:pPr>
            <w:r>
              <w:rPr>
                <w:rFonts w:ascii="Arial" w:cs="Arial" w:eastAsia="Arial" w:hAnsi="Arial"/>
                <w:sz w:val="18"/>
                <w:szCs w:val="18"/>
                <w:color w:val="auto"/>
                <w:w w:val="98"/>
              </w:rPr>
              <w:t>Settlement Method Election Provisions:</w:t>
            </w:r>
          </w:p>
        </w:tc>
        <w:tc>
          <w:tcPr>
            <w:tcW w:w="7700" w:type="dxa"/>
            <w:vAlign w:val="bottom"/>
          </w:tcPr>
          <w:p>
            <w:pPr>
              <w:ind w:left="240"/>
              <w:spacing w:after="0"/>
              <w:rPr>
                <w:sz w:val="20"/>
                <w:szCs w:val="20"/>
                <w:color w:val="auto"/>
              </w:rPr>
            </w:pPr>
            <w:r>
              <w:rPr>
                <w:rFonts w:ascii="Arial" w:cs="Arial" w:eastAsia="Arial" w:hAnsi="Arial"/>
                <w:sz w:val="18"/>
                <w:szCs w:val="18"/>
                <w:color w:val="auto"/>
                <w:w w:val="93"/>
              </w:rPr>
              <w:t>In order for the Applicable Settlement Method to be the Convertible Securities Settlement Method in</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4"/>
              </w:rPr>
              <w:t>accordance with “Applicable Settlement Method” above, the related Notice of Exercise (or Notice of</w:t>
            </w:r>
          </w:p>
        </w:tc>
      </w:tr>
      <w:tr>
        <w:trPr>
          <w:trHeight w:val="216"/>
        </w:trPr>
        <w:tc>
          <w:tcPr>
            <w:tcW w:w="376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9"/>
              </w:rPr>
              <w:t>Final Convertible Security Settlement Method, as the case may be) must contain in writing the</w:t>
            </w:r>
          </w:p>
        </w:tc>
      </w:tr>
      <w:tr>
        <w:trPr>
          <w:trHeight w:val="230"/>
        </w:trPr>
        <w:tc>
          <w:tcPr>
            <w:tcW w:w="3760" w:type="dxa"/>
            <w:vAlign w:val="bottom"/>
          </w:tcPr>
          <w:p>
            <w:pPr>
              <w:spacing w:after="0"/>
              <w:rPr>
                <w:sz w:val="20"/>
                <w:szCs w:val="20"/>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2"/>
              </w:rPr>
              <w:t>following representations and warranties from Counterparty to Dealer as of such notice delivery date:</w:t>
            </w:r>
          </w:p>
        </w:tc>
      </w:tr>
      <w:tr>
        <w:trPr>
          <w:trHeight w:val="418"/>
        </w:trPr>
        <w:tc>
          <w:tcPr>
            <w:tcW w:w="3760" w:type="dxa"/>
            <w:vAlign w:val="bottom"/>
          </w:tcPr>
          <w:p>
            <w:pPr>
              <w:spacing w:after="0"/>
              <w:rPr>
                <w:sz w:val="24"/>
                <w:szCs w:val="24"/>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w w:val="98"/>
              </w:rPr>
              <w:t>(i) none of Counterparty and its officers or directors, or any person that controls, potentially</w:t>
            </w:r>
          </w:p>
        </w:tc>
      </w:tr>
      <w:tr>
        <w:trPr>
          <w:trHeight w:val="216"/>
        </w:trPr>
        <w:tc>
          <w:tcPr>
            <w:tcW w:w="3760" w:type="dxa"/>
            <w:vAlign w:val="bottom"/>
          </w:tcPr>
          <w:p>
            <w:pPr>
              <w:spacing w:after="0"/>
              <w:rPr>
                <w:sz w:val="18"/>
                <w:szCs w:val="18"/>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w w:val="94"/>
              </w:rPr>
              <w:t>controls, or otherwise exercises influence over, Counterparty’s decision to elect the Convertible</w:t>
            </w:r>
          </w:p>
        </w:tc>
      </w:tr>
      <w:tr>
        <w:trPr>
          <w:trHeight w:val="216"/>
        </w:trPr>
        <w:tc>
          <w:tcPr>
            <w:tcW w:w="3760" w:type="dxa"/>
            <w:vAlign w:val="bottom"/>
          </w:tcPr>
          <w:p>
            <w:pPr>
              <w:spacing w:after="0"/>
              <w:rPr>
                <w:sz w:val="18"/>
                <w:szCs w:val="18"/>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rPr>
              <w:t>Security Settlement Method is aware of any material nonpublic information regarding</w:t>
            </w:r>
          </w:p>
        </w:tc>
      </w:tr>
      <w:tr>
        <w:trPr>
          <w:trHeight w:val="230"/>
        </w:trPr>
        <w:tc>
          <w:tcPr>
            <w:tcW w:w="3760" w:type="dxa"/>
            <w:vAlign w:val="bottom"/>
          </w:tcPr>
          <w:p>
            <w:pPr>
              <w:spacing w:after="0"/>
              <w:rPr>
                <w:sz w:val="20"/>
                <w:szCs w:val="20"/>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rPr>
              <w:t>Counterparty or the Shares;</w:t>
            </w:r>
          </w:p>
        </w:tc>
      </w:tr>
      <w:tr>
        <w:trPr>
          <w:trHeight w:val="418"/>
        </w:trPr>
        <w:tc>
          <w:tcPr>
            <w:tcW w:w="3760" w:type="dxa"/>
            <w:vAlign w:val="bottom"/>
          </w:tcPr>
          <w:p>
            <w:pPr>
              <w:spacing w:after="0"/>
              <w:rPr>
                <w:sz w:val="24"/>
                <w:szCs w:val="24"/>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w w:val="93"/>
              </w:rPr>
              <w:t>(ii) Counterparty is electing the Convertible Security Settlement Method in good faith and not as</w:t>
            </w:r>
          </w:p>
        </w:tc>
      </w:tr>
      <w:tr>
        <w:trPr>
          <w:trHeight w:val="216"/>
        </w:trPr>
        <w:tc>
          <w:tcPr>
            <w:tcW w:w="3760" w:type="dxa"/>
            <w:vAlign w:val="bottom"/>
          </w:tcPr>
          <w:p>
            <w:pPr>
              <w:spacing w:after="0"/>
              <w:rPr>
                <w:sz w:val="18"/>
                <w:szCs w:val="18"/>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w w:val="92"/>
              </w:rPr>
              <w:t>part of a plan or scheme to evade compliance with the U.S. federal securities laws; Counterparty</w:t>
            </w:r>
          </w:p>
        </w:tc>
      </w:tr>
      <w:tr>
        <w:trPr>
          <w:trHeight w:val="216"/>
        </w:trPr>
        <w:tc>
          <w:tcPr>
            <w:tcW w:w="3760" w:type="dxa"/>
            <w:vAlign w:val="bottom"/>
          </w:tcPr>
          <w:p>
            <w:pPr>
              <w:spacing w:after="0"/>
              <w:rPr>
                <w:sz w:val="18"/>
                <w:szCs w:val="18"/>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w w:val="95"/>
              </w:rPr>
              <w:t>is not electing the Convertible Security Settlement Method to create actual or apparent trading</w:t>
            </w:r>
          </w:p>
        </w:tc>
      </w:tr>
      <w:tr>
        <w:trPr>
          <w:trHeight w:val="216"/>
        </w:trPr>
        <w:tc>
          <w:tcPr>
            <w:tcW w:w="3760" w:type="dxa"/>
            <w:vAlign w:val="bottom"/>
          </w:tcPr>
          <w:p>
            <w:pPr>
              <w:spacing w:after="0"/>
              <w:rPr>
                <w:sz w:val="18"/>
                <w:szCs w:val="18"/>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w w:val="93"/>
              </w:rPr>
              <w:t>activity in the Shares (or any security convertible into or exchangeable for Shares) or to raise or</w:t>
            </w:r>
          </w:p>
        </w:tc>
      </w:tr>
      <w:tr>
        <w:trPr>
          <w:trHeight w:val="216"/>
        </w:trPr>
        <w:tc>
          <w:tcPr>
            <w:tcW w:w="3760" w:type="dxa"/>
            <w:vAlign w:val="bottom"/>
          </w:tcPr>
          <w:p>
            <w:pPr>
              <w:spacing w:after="0"/>
              <w:rPr>
                <w:sz w:val="18"/>
                <w:szCs w:val="18"/>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w w:val="98"/>
              </w:rPr>
              <w:t>depress or otherwise manipulate the price of the Shares (or any security convertible into or</w:t>
            </w:r>
          </w:p>
        </w:tc>
      </w:tr>
      <w:tr>
        <w:trPr>
          <w:trHeight w:val="216"/>
        </w:trPr>
        <w:tc>
          <w:tcPr>
            <w:tcW w:w="3760" w:type="dxa"/>
            <w:vAlign w:val="bottom"/>
          </w:tcPr>
          <w:p>
            <w:pPr>
              <w:spacing w:after="0"/>
              <w:rPr>
                <w:sz w:val="18"/>
                <w:szCs w:val="18"/>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w w:val="91"/>
              </w:rPr>
              <w:t>exchangeable for Shares) or otherwise in violation of the Exchange Act; and Counterparty has not</w:t>
            </w:r>
          </w:p>
        </w:tc>
      </w:tr>
      <w:tr>
        <w:trPr>
          <w:trHeight w:val="216"/>
        </w:trPr>
        <w:tc>
          <w:tcPr>
            <w:tcW w:w="3760" w:type="dxa"/>
            <w:vAlign w:val="bottom"/>
          </w:tcPr>
          <w:p>
            <w:pPr>
              <w:spacing w:after="0"/>
              <w:rPr>
                <w:sz w:val="18"/>
                <w:szCs w:val="18"/>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rPr>
              <w:t>entered into or altered any hedging transaction relating to the Shares corresponding to or</w:t>
            </w:r>
          </w:p>
        </w:tc>
      </w:tr>
      <w:tr>
        <w:trPr>
          <w:trHeight w:val="230"/>
        </w:trPr>
        <w:tc>
          <w:tcPr>
            <w:tcW w:w="3760" w:type="dxa"/>
            <w:vAlign w:val="bottom"/>
          </w:tcPr>
          <w:p>
            <w:pPr>
              <w:spacing w:after="0"/>
              <w:rPr>
                <w:sz w:val="20"/>
                <w:szCs w:val="20"/>
                <w:color w:val="auto"/>
              </w:rPr>
            </w:pPr>
          </w:p>
        </w:tc>
        <w:tc>
          <w:tcPr>
            <w:tcW w:w="7700" w:type="dxa"/>
            <w:vAlign w:val="bottom"/>
          </w:tcPr>
          <w:p>
            <w:pPr>
              <w:ind w:left="560"/>
              <w:spacing w:after="0"/>
              <w:rPr>
                <w:sz w:val="20"/>
                <w:szCs w:val="20"/>
                <w:color w:val="auto"/>
              </w:rPr>
            </w:pPr>
            <w:r>
              <w:rPr>
                <w:rFonts w:ascii="Arial" w:cs="Arial" w:eastAsia="Arial" w:hAnsi="Arial"/>
                <w:sz w:val="18"/>
                <w:szCs w:val="18"/>
                <w:color w:val="auto"/>
              </w:rPr>
              <w:t>offsetting the Transaction;</w:t>
            </w:r>
          </w:p>
        </w:tc>
      </w:tr>
      <w:tr>
        <w:trPr>
          <w:trHeight w:val="432"/>
        </w:trPr>
        <w:tc>
          <w:tcPr>
            <w:tcW w:w="3760" w:type="dxa"/>
            <w:vAlign w:val="bottom"/>
          </w:tcPr>
          <w:p>
            <w:pPr>
              <w:spacing w:after="0"/>
              <w:rPr>
                <w:sz w:val="24"/>
                <w:szCs w:val="24"/>
                <w:color w:val="auto"/>
              </w:rPr>
            </w:pPr>
          </w:p>
        </w:tc>
        <w:tc>
          <w:tcPr>
            <w:tcW w:w="7700" w:type="dxa"/>
            <w:vAlign w:val="bottom"/>
          </w:tcPr>
          <w:p>
            <w:pPr>
              <w:ind w:left="1900"/>
              <w:spacing w:after="0"/>
              <w:rPr>
                <w:sz w:val="20"/>
                <w:szCs w:val="20"/>
                <w:color w:val="auto"/>
              </w:rPr>
            </w:pPr>
            <w:r>
              <w:rPr>
                <w:rFonts w:ascii="Arial" w:cs="Arial" w:eastAsia="Arial" w:hAnsi="Arial"/>
                <w:sz w:val="18"/>
                <w:szCs w:val="18"/>
                <w:color w:val="auto"/>
              </w:rPr>
              <w:t>8</w:t>
            </w:r>
          </w:p>
        </w:tc>
      </w:tr>
      <w:tr>
        <w:trPr>
          <w:trHeight w:val="132"/>
        </w:trPr>
        <w:tc>
          <w:tcPr>
            <w:tcW w:w="3760" w:type="dxa"/>
            <w:vAlign w:val="bottom"/>
            <w:tcBorders>
              <w:bottom w:val="single" w:sz="8" w:color="808080"/>
            </w:tcBorders>
          </w:tcPr>
          <w:p>
            <w:pPr>
              <w:spacing w:after="0"/>
              <w:rPr>
                <w:sz w:val="11"/>
                <w:szCs w:val="11"/>
                <w:color w:val="auto"/>
              </w:rPr>
            </w:pPr>
          </w:p>
        </w:tc>
        <w:tc>
          <w:tcPr>
            <w:tcW w:w="77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(iii) Counterparty has the power to make such election and to execute and deliver any</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5"/>
              </w:rPr>
              <w:t>documentation relating to such election that it is required by this Confirmation to deliver and to</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5"/>
              </w:rPr>
              <w:t>perform its obligations under this Confirmation and has taken all necessary action to authorize</w:t>
            </w:r>
          </w:p>
        </w:tc>
      </w:tr>
      <w:tr>
        <w:trPr>
          <w:trHeight w:val="230"/>
        </w:trPr>
        <w:tc>
          <w:tcPr>
            <w:tcW w:w="380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such election, execution, delivery and performance;</w:t>
            </w:r>
          </w:p>
        </w:tc>
      </w:tr>
      <w:tr>
        <w:trPr>
          <w:trHeight w:val="418"/>
        </w:trPr>
        <w:tc>
          <w:tcPr>
            <w:tcW w:w="3800" w:type="dxa"/>
            <w:vAlign w:val="bottom"/>
          </w:tcPr>
          <w:p>
            <w:pPr>
              <w:spacing w:after="0"/>
              <w:rPr>
                <w:sz w:val="24"/>
                <w:szCs w:val="24"/>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6"/>
              </w:rPr>
              <w:t>(iv) such election and performance of its obligations under this Confirmation do not violate or</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5"/>
              </w:rPr>
              <w:t>conflict with any law applicable to it, any provision of its constitutional documents, any order or</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4"/>
              </w:rPr>
              <w:t>judgment of any court or other agency of government applicable to it or any of its assets or any</w:t>
            </w:r>
          </w:p>
        </w:tc>
      </w:tr>
      <w:tr>
        <w:trPr>
          <w:trHeight w:val="230"/>
        </w:trPr>
        <w:tc>
          <w:tcPr>
            <w:tcW w:w="380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contractual restriction binding on or affecting it or any of its assets; and</w:t>
            </w:r>
          </w:p>
        </w:tc>
      </w:tr>
      <w:tr>
        <w:trPr>
          <w:trHeight w:val="418"/>
        </w:trPr>
        <w:tc>
          <w:tcPr>
            <w:tcW w:w="3800" w:type="dxa"/>
            <w:vAlign w:val="bottom"/>
          </w:tcPr>
          <w:p>
            <w:pPr>
              <w:spacing w:after="0"/>
              <w:rPr>
                <w:sz w:val="24"/>
                <w:szCs w:val="24"/>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0"/>
              </w:rPr>
              <w:t>(v) any transaction that Dealer makes with respect to the Shares during the period beginning at the</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1"/>
              </w:rPr>
              <w:t>time that Counterparty delivers such notice and ending at the close of business on the final day of</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5"/>
              </w:rPr>
              <w:t>the Cash Settlement Averaging Period shall be made by Dealer at Dealer’s sole discretion for</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6"/>
              </w:rPr>
              <w:t>Dealer’s own account and Counterparty shall not have, and shall not attempt to exercise, any</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4"/>
              </w:rPr>
              <w:t>influence over how, when, whether or at what price Dealer effects such transactions, including,</w:t>
            </w:r>
          </w:p>
        </w:tc>
      </w:tr>
      <w:tr>
        <w:trPr>
          <w:trHeight w:val="216"/>
        </w:trPr>
        <w:tc>
          <w:tcPr>
            <w:tcW w:w="380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3"/>
              </w:rPr>
              <w:t>without limitation, the prices paid or received by Dealer per Share pursuant to such transactions,</w:t>
            </w:r>
          </w:p>
        </w:tc>
      </w:tr>
      <w:tr>
        <w:trPr>
          <w:trHeight w:val="230"/>
        </w:trPr>
        <w:tc>
          <w:tcPr>
            <w:tcW w:w="380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or whether such transactions are made on any securities exchange or privately.</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rPr>
              <w:t>Notice of Delivery Obligation:</w:t>
            </w: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No later than the Exchange Business Day immediately following the last day of the relevant Cash</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Settlement Averaging Period, Counterparty shall give Dealer notice of the final number of Shares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and/or amount of cash included in the Total Convertible Share Obligation Value (as defined below);</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i w:val="1"/>
                <w:iCs w:val="1"/>
                <w:color w:val="auto"/>
                <w:w w:val="99"/>
              </w:rPr>
              <w:t xml:space="preserve">provided </w:t>
            </w:r>
            <w:r>
              <w:rPr>
                <w:rFonts w:ascii="Arial" w:cs="Arial" w:eastAsia="Arial" w:hAnsi="Arial"/>
                <w:sz w:val="18"/>
                <w:szCs w:val="18"/>
                <w:color w:val="auto"/>
                <w:w w:val="99"/>
              </w:rPr>
              <w:t>that, with respect to any Exercise Date occurring during the Final Conversion Period,</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Counterparty may provide Dealer with a single notice of the aggregate number of Shares and/or</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amount of cash included in the Total Convertible Share Obligation Value for all Exercise Dates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occurring during such period (it being understood, for the avoidance of doubt, that the requirement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Counterparty to deliver such notice shall not limit Counterparty’s obligations with respect to a Notice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of Exercise or Notice of Final Convertible Security Settlement Method, as the case may be, as set forth</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above, in any way).</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w w:val="97"/>
              </w:rPr>
              <w:t>Net Convertible Share Obligation Value:</w:t>
            </w: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With respect to Relevant Convertible Securities as to a Conversion Date, the product of (i) the</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Applicable Percentage and (ii)(A) the Total Convertible Share</w:t>
            </w:r>
          </w:p>
        </w:tc>
      </w:tr>
      <w:tr>
        <w:trPr>
          <w:trHeight w:val="432"/>
        </w:trPr>
        <w:tc>
          <w:tcPr>
            <w:tcW w:w="380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9</w:t>
            </w:r>
          </w:p>
        </w:tc>
      </w:tr>
      <w:tr>
        <w:trPr>
          <w:trHeight w:val="132"/>
        </w:trPr>
        <w:tc>
          <w:tcPr>
            <w:tcW w:w="38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 xml:space="preserve">Obligation Value of such Relevant Convertible Securities for such Conversion Date </w:t>
            </w:r>
            <w:r>
              <w:rPr>
                <w:rFonts w:ascii="Arial" w:cs="Arial" w:eastAsia="Arial" w:hAnsi="Arial"/>
                <w:sz w:val="18"/>
                <w:szCs w:val="18"/>
                <w:i w:val="1"/>
                <w:iCs w:val="1"/>
                <w:color w:val="auto"/>
                <w:w w:val="96"/>
              </w:rPr>
              <w:t>minus</w:t>
            </w:r>
            <w:r>
              <w:rPr>
                <w:rFonts w:ascii="Arial" w:cs="Arial" w:eastAsia="Arial" w:hAnsi="Arial"/>
                <w:sz w:val="18"/>
                <w:szCs w:val="18"/>
                <w:color w:val="auto"/>
                <w:w w:val="96"/>
              </w:rPr>
              <w:t xml:space="preserve"> (B) the</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aggregate principal amount of such Relevant Convertible Securities for such Conversion Date.</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w w:val="95"/>
              </w:rPr>
              <w:t>Total Convertible Share Obligation Value:</w:t>
            </w: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With respect to Relevant Convertible Securities with respect to a Conversion Date, (i) (A) the number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5"/>
              </w:rPr>
              <w:t>of Shares equal to the aggregate number of Shares that Counterparty is obligated to deliver to the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5"/>
              </w:rPr>
              <w:t>holder(s) of Relevant Convertible Securities for such Conversion Date pursuant to the Indenture (it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being understood that such number of Shares shall be determined taking into consideration any</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8"/>
              </w:rPr>
              <w:t xml:space="preserve">rounding pursuant to Section 5.03(B)(ii) of the Indenture) </w:t>
            </w:r>
            <w:r>
              <w:rPr>
                <w:rFonts w:ascii="Arial" w:cs="Arial" w:eastAsia="Arial" w:hAnsi="Arial"/>
                <w:sz w:val="18"/>
                <w:szCs w:val="18"/>
                <w:i w:val="1"/>
                <w:iCs w:val="1"/>
                <w:color w:val="auto"/>
                <w:w w:val="98"/>
              </w:rPr>
              <w:t>multiplied by</w:t>
            </w:r>
            <w:r>
              <w:rPr>
                <w:rFonts w:ascii="Arial" w:cs="Arial" w:eastAsia="Arial" w:hAnsi="Arial"/>
                <w:sz w:val="18"/>
                <w:szCs w:val="18"/>
                <w:color w:val="auto"/>
                <w:w w:val="98"/>
              </w:rPr>
              <w:t xml:space="preserve"> (B) the Share Obligation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 xml:space="preserve">Value Price </w:t>
            </w:r>
            <w:r>
              <w:rPr>
                <w:rFonts w:ascii="Arial" w:cs="Arial" w:eastAsia="Arial" w:hAnsi="Arial"/>
                <w:sz w:val="18"/>
                <w:szCs w:val="18"/>
                <w:i w:val="1"/>
                <w:iCs w:val="1"/>
                <w:color w:val="auto"/>
                <w:w w:val="94"/>
              </w:rPr>
              <w:t>plus</w:t>
            </w:r>
            <w:r>
              <w:rPr>
                <w:rFonts w:ascii="Arial" w:cs="Arial" w:eastAsia="Arial" w:hAnsi="Arial"/>
                <w:sz w:val="18"/>
                <w:szCs w:val="18"/>
                <w:color w:val="auto"/>
                <w:w w:val="94"/>
              </w:rPr>
              <w:t xml:space="preserve"> (ii) an amount of cash equal to the aggregate amount of cash that Counterparty is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obligated to deliver to the holder(s) of Relevant Convertible Securities for such Conversion Date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pursuant to the Indenture (including, for the avoidance of doubt, any cash payable by Counterparty in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 xml:space="preserve">lieu of fractional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Convertible Share Obligation Value shall be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determined excluding any Shares and/or cash that Counterparty is obligated to deliver to holder(s) of</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the Relevant Convertible Securities as a direct or indirect result of any adjustments to the Conversion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Rate pursuant to a Fundamental Change Adjustment or a Discretionary Adjustment and any interest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payment that Counterparty is (or would have been) obligated to deliver to holder(s) of the Relevant</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Convertible Securities for such Conversion Date.</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Share Obligation Value Price:</w:t>
            </w: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The opening price as displayed under the heading “Op” on Bloomberg page “WGO.N &lt;Equity&gt;“ (or</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any successor thereto) on the applicable Settlement Date or other date of delivery.</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Other Applicable Provisions:</w:t>
            </w: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To the extent Dealer is obligated to deliver Shares hereunder, the provisions of Sections 9.8, 9.9 and</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9.11 of the Equity Definitions will be applicable as if “Physical Settlement” applied to the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 xml:space="preserve">Transaction;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the Representation and Agreement contained in Section 9.11 of the Equity</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Definitions shall be modified by excluding any representations therein relating to restrictions,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5"/>
              </w:rPr>
              <w:t>obligations, limitations or requirements under applicable securities laws that exist as a result of the</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fact that Counterparty is the issuer of the Shares.</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Restricted Certificated Shares:</w:t>
            </w: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Notwithstanding anything to the contrary in the Equity Definitions, Dealer may, in whole or in part,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deliver Shares required to be delivered to Counterparty hereunder in certificated form in lieu of</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delivery through the Clearance System. With respect to such certificated Shares, the Representation</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and Agreement contained in Section 9.11 of the Equity</w:t>
            </w:r>
          </w:p>
        </w:tc>
      </w:tr>
      <w:tr>
        <w:trPr>
          <w:trHeight w:val="432"/>
        </w:trPr>
        <w:tc>
          <w:tcPr>
            <w:tcW w:w="3840" w:type="dxa"/>
            <w:vAlign w:val="bottom"/>
          </w:tcPr>
          <w:p>
            <w:pPr>
              <w:spacing w:after="0"/>
              <w:rPr>
                <w:sz w:val="24"/>
                <w:szCs w:val="24"/>
                <w:color w:val="auto"/>
              </w:rPr>
            </w:pPr>
          </w:p>
        </w:tc>
        <w:tc>
          <w:tcPr>
            <w:tcW w:w="7620" w:type="dxa"/>
            <w:vAlign w:val="bottom"/>
          </w:tcPr>
          <w:p>
            <w:pPr>
              <w:ind w:left="1780"/>
              <w:spacing w:after="0"/>
              <w:rPr>
                <w:sz w:val="20"/>
                <w:szCs w:val="20"/>
                <w:color w:val="auto"/>
              </w:rPr>
            </w:pPr>
            <w:r>
              <w:rPr>
                <w:rFonts w:ascii="Arial" w:cs="Arial" w:eastAsia="Arial" w:hAnsi="Arial"/>
                <w:sz w:val="18"/>
                <w:szCs w:val="18"/>
                <w:color w:val="auto"/>
              </w:rPr>
              <w:t>10</w:t>
            </w:r>
          </w:p>
        </w:tc>
      </w:tr>
      <w:tr>
        <w:trPr>
          <w:trHeight w:val="132"/>
        </w:trPr>
        <w:tc>
          <w:tcPr>
            <w:tcW w:w="38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2"/>
              </w:rPr>
              <w:t>Definitions shall be modified by deleting the remainder of the provision after the word “encumbrance”</w:t>
            </w:r>
          </w:p>
        </w:tc>
      </w:tr>
      <w:tr>
        <w:trPr>
          <w:trHeight w:val="230"/>
        </w:trPr>
        <w:tc>
          <w:tcPr>
            <w:tcW w:w="3180" w:type="dxa"/>
            <w:vAlign w:val="bottom"/>
          </w:tcPr>
          <w:p>
            <w:pPr>
              <w:spacing w:after="0"/>
              <w:rPr>
                <w:sz w:val="20"/>
                <w:szCs w:val="20"/>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rPr>
              <w:t>in the fourth line thereof.</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Adjustments:</w:t>
            </w:r>
          </w:p>
        </w:tc>
        <w:tc>
          <w:tcPr>
            <w:tcW w:w="8280" w:type="dxa"/>
            <w:vAlign w:val="bottom"/>
          </w:tcPr>
          <w:p>
            <w:pPr>
              <w:spacing w:after="0"/>
              <w:rPr>
                <w:sz w:val="24"/>
                <w:szCs w:val="24"/>
                <w:color w:val="auto"/>
              </w:rPr>
            </w:pPr>
          </w:p>
        </w:tc>
      </w:tr>
      <w:tr>
        <w:trPr>
          <w:trHeight w:val="418"/>
        </w:trPr>
        <w:tc>
          <w:tcPr>
            <w:tcW w:w="3180" w:type="dxa"/>
            <w:vAlign w:val="bottom"/>
          </w:tcPr>
          <w:p>
            <w:pPr>
              <w:ind w:left="660"/>
              <w:spacing w:after="0"/>
              <w:rPr>
                <w:sz w:val="20"/>
                <w:szCs w:val="20"/>
                <w:color w:val="auto"/>
              </w:rPr>
            </w:pPr>
            <w:r>
              <w:rPr>
                <w:rFonts w:ascii="Arial" w:cs="Arial" w:eastAsia="Arial" w:hAnsi="Arial"/>
                <w:sz w:val="18"/>
                <w:szCs w:val="18"/>
                <w:color w:val="auto"/>
              </w:rPr>
              <w:t>Method of Adjustment:</w:t>
            </w:r>
          </w:p>
        </w:tc>
        <w:tc>
          <w:tcPr>
            <w:tcW w:w="8280" w:type="dxa"/>
            <w:vAlign w:val="bottom"/>
          </w:tcPr>
          <w:p>
            <w:pPr>
              <w:ind w:left="820"/>
              <w:spacing w:after="0"/>
              <w:rPr>
                <w:sz w:val="20"/>
                <w:szCs w:val="20"/>
                <w:color w:val="auto"/>
              </w:rPr>
            </w:pPr>
            <w:r>
              <w:rPr>
                <w:rFonts w:ascii="Arial" w:cs="Arial" w:eastAsia="Arial" w:hAnsi="Arial"/>
                <w:sz w:val="18"/>
                <w:szCs w:val="18"/>
                <w:color w:val="auto"/>
                <w:w w:val="92"/>
              </w:rPr>
              <w:t>Notwithstanding Section 11.2 of the Equity Definitions, upon the occurrence of any event or condition</w:t>
            </w:r>
          </w:p>
        </w:tc>
      </w:tr>
      <w:tr>
        <w:trPr>
          <w:trHeight w:val="212"/>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rPr>
              <w:t>set forth in Sections 5.05(A)(i), (ii), (iii), (iv) and (v), and Section 5.05(H) of the Indenture (a</w:t>
            </w:r>
          </w:p>
        </w:tc>
      </w:tr>
      <w:tr>
        <w:trPr>
          <w:trHeight w:val="220"/>
        </w:trPr>
        <w:tc>
          <w:tcPr>
            <w:tcW w:w="3180" w:type="dxa"/>
            <w:vAlign w:val="bottom"/>
          </w:tcPr>
          <w:p>
            <w:pPr>
              <w:spacing w:after="0"/>
              <w:rPr>
                <w:sz w:val="19"/>
                <w:szCs w:val="19"/>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Potential Adjustment Event</w:t>
            </w:r>
            <w:r>
              <w:rPr>
                <w:rFonts w:ascii="Arial" w:cs="Arial" w:eastAsia="Arial" w:hAnsi="Arial"/>
                <w:sz w:val="18"/>
                <w:szCs w:val="18"/>
                <w:color w:val="auto"/>
                <w:w w:val="92"/>
              </w:rPr>
              <w:t>”) that the Calculation Agent determines (by reference to such Section)</w:t>
            </w:r>
          </w:p>
        </w:tc>
      </w:tr>
      <w:tr>
        <w:trPr>
          <w:trHeight w:val="216"/>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2"/>
              </w:rPr>
              <w:t>would result in an adjustment under the Indenture, the Calculation Agent shall make a corresponding</w:t>
            </w:r>
          </w:p>
        </w:tc>
      </w:tr>
      <w:tr>
        <w:trPr>
          <w:trHeight w:val="216"/>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8"/>
              </w:rPr>
              <w:t>adjustment in respect of any one or more of the Strike Price, the Number of Options, the Option</w:t>
            </w:r>
          </w:p>
        </w:tc>
      </w:tr>
      <w:tr>
        <w:trPr>
          <w:trHeight w:val="216"/>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5"/>
              </w:rPr>
              <w:t>Entitlement and any other term relevant to the exercise, settlement or payment of the Transaction,</w:t>
            </w:r>
          </w:p>
        </w:tc>
      </w:tr>
      <w:tr>
        <w:trPr>
          <w:trHeight w:val="216"/>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7"/>
              </w:rPr>
              <w:t>subject to “Discretionary Adjustments” below. Immediately upon the occurrence of any Potential</w:t>
            </w:r>
          </w:p>
        </w:tc>
      </w:tr>
      <w:tr>
        <w:trPr>
          <w:trHeight w:val="216"/>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8"/>
              </w:rPr>
              <w:t>Adjustment Event, Counterparty shall notify the Calculation Agent of such Potential Adjustment</w:t>
            </w:r>
          </w:p>
        </w:tc>
      </w:tr>
      <w:tr>
        <w:trPr>
          <w:trHeight w:val="216"/>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9"/>
              </w:rPr>
              <w:t>Event; and once the adjustments to be made to the terms of the Indenture and the Convertible</w:t>
            </w:r>
          </w:p>
        </w:tc>
      </w:tr>
      <w:tr>
        <w:trPr>
          <w:trHeight w:val="216"/>
        </w:trPr>
        <w:tc>
          <w:tcPr>
            <w:tcW w:w="3180" w:type="dxa"/>
            <w:vAlign w:val="bottom"/>
          </w:tcPr>
          <w:p>
            <w:pPr>
              <w:spacing w:after="0"/>
              <w:rPr>
                <w:sz w:val="18"/>
                <w:szCs w:val="18"/>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w w:val="94"/>
              </w:rPr>
              <w:t>Securities in respect of such Potential Adjustment Event have been determined, Counterparty shall</w:t>
            </w:r>
          </w:p>
        </w:tc>
      </w:tr>
      <w:tr>
        <w:trPr>
          <w:trHeight w:val="230"/>
        </w:trPr>
        <w:tc>
          <w:tcPr>
            <w:tcW w:w="3180" w:type="dxa"/>
            <w:vAlign w:val="bottom"/>
          </w:tcPr>
          <w:p>
            <w:pPr>
              <w:spacing w:after="0"/>
              <w:rPr>
                <w:sz w:val="20"/>
                <w:szCs w:val="20"/>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rPr>
              <w:t>immediately notify the Calculation Agent in writing of the details of such adjustments.</w:t>
            </w:r>
          </w:p>
        </w:tc>
      </w:tr>
      <w:tr>
        <w:trPr>
          <w:trHeight w:val="432"/>
        </w:trPr>
        <w:tc>
          <w:tcPr>
            <w:tcW w:w="3180" w:type="dxa"/>
            <w:vAlign w:val="bottom"/>
          </w:tcPr>
          <w:p>
            <w:pPr>
              <w:spacing w:after="0"/>
              <w:rPr>
                <w:sz w:val="24"/>
                <w:szCs w:val="24"/>
                <w:color w:val="auto"/>
              </w:rPr>
            </w:pPr>
          </w:p>
        </w:tc>
        <w:tc>
          <w:tcPr>
            <w:tcW w:w="8280" w:type="dxa"/>
            <w:vAlign w:val="bottom"/>
          </w:tcPr>
          <w:p>
            <w:pPr>
              <w:ind w:left="820"/>
              <w:spacing w:after="0"/>
              <w:rPr>
                <w:sz w:val="20"/>
                <w:szCs w:val="20"/>
                <w:color w:val="auto"/>
              </w:rPr>
            </w:pPr>
            <w:r>
              <w:rPr>
                <w:rFonts w:ascii="Arial" w:cs="Arial" w:eastAsia="Arial" w:hAnsi="Arial"/>
                <w:sz w:val="18"/>
                <w:szCs w:val="18"/>
                <w:color w:val="auto"/>
              </w:rPr>
              <w:t>Notwithstanding anything to the contrary herein or in the Equity Definitions:</w:t>
            </w:r>
          </w:p>
        </w:tc>
      </w:tr>
      <w:tr>
        <w:trPr>
          <w:trHeight w:val="418"/>
        </w:trPr>
        <w:tc>
          <w:tcPr>
            <w:tcW w:w="3180" w:type="dxa"/>
            <w:vAlign w:val="bottom"/>
          </w:tcPr>
          <w:p>
            <w:pPr>
              <w:spacing w:after="0"/>
              <w:rPr>
                <w:sz w:val="24"/>
                <w:szCs w:val="24"/>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2"/>
              </w:rPr>
              <w:t>(i) in connection with any Potential Adjustment Event as a result of an event or condition set forth</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5"/>
              </w:rPr>
              <w:t>in Section 5.05(A)(ii) of the Indenture or Section 5.05(A)(iii)(1) of the Indenture where, in either</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3"/>
              </w:rPr>
              <w:t>case, the period for determining “Y” (as such term is used in Section 5.05(A)(ii) of the Indenture)</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6"/>
              </w:rPr>
              <w:t>or “SP” (as such term is used in Section 5.05(A)(iii)(1) of the Indenture), as the case may be,</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6"/>
              </w:rPr>
              <w:t>begins before Counterparty has publicly announced the event or condition giving rise to such</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2"/>
              </w:rPr>
              <w:t>Potential Adjustment Event, then the Calculation Agent shall have the right to adjust any variable</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5"/>
              </w:rPr>
              <w:t>relevant to the exercise, settlement or payment of the Transaction as appropriate to reflect the</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0"/>
              </w:rPr>
              <w:t>costs (including, but not limited to, hedging mismatches and market losses) and expenses incurred</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8"/>
              </w:rPr>
              <w:t>by Dealer in connection with its hedging activities as a result of such event or condition not</w:t>
            </w:r>
          </w:p>
        </w:tc>
      </w:tr>
      <w:tr>
        <w:trPr>
          <w:trHeight w:val="230"/>
        </w:trPr>
        <w:tc>
          <w:tcPr>
            <w:tcW w:w="3180" w:type="dxa"/>
            <w:vAlign w:val="bottom"/>
          </w:tcPr>
          <w:p>
            <w:pPr>
              <w:spacing w:after="0"/>
              <w:rPr>
                <w:sz w:val="20"/>
                <w:szCs w:val="20"/>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rPr>
              <w:t>having been publicly announced prior to the beginning of such period; and</w:t>
            </w:r>
          </w:p>
        </w:tc>
      </w:tr>
      <w:tr>
        <w:trPr>
          <w:trHeight w:val="418"/>
        </w:trPr>
        <w:tc>
          <w:tcPr>
            <w:tcW w:w="3180" w:type="dxa"/>
            <w:vAlign w:val="bottom"/>
          </w:tcPr>
          <w:p>
            <w:pPr>
              <w:spacing w:after="0"/>
              <w:rPr>
                <w:sz w:val="24"/>
                <w:szCs w:val="24"/>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2"/>
              </w:rPr>
              <w:t>(ii) if any Potential Adjustment Event is declared and (a) the event or condition giving rise to such</w:t>
            </w:r>
          </w:p>
        </w:tc>
      </w:tr>
      <w:tr>
        <w:trPr>
          <w:trHeight w:val="216"/>
        </w:trPr>
        <w:tc>
          <w:tcPr>
            <w:tcW w:w="3180" w:type="dxa"/>
            <w:vAlign w:val="bottom"/>
          </w:tcPr>
          <w:p>
            <w:pPr>
              <w:spacing w:after="0"/>
              <w:rPr>
                <w:sz w:val="18"/>
                <w:szCs w:val="18"/>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w w:val="92"/>
              </w:rPr>
              <w:t>Potential Adjustment Event is subsequently amended, modified, cancelled or abandoned, (b) the</w:t>
            </w:r>
          </w:p>
        </w:tc>
      </w:tr>
      <w:tr>
        <w:trPr>
          <w:trHeight w:val="230"/>
        </w:trPr>
        <w:tc>
          <w:tcPr>
            <w:tcW w:w="3180" w:type="dxa"/>
            <w:vAlign w:val="bottom"/>
          </w:tcPr>
          <w:p>
            <w:pPr>
              <w:spacing w:after="0"/>
              <w:rPr>
                <w:sz w:val="20"/>
                <w:szCs w:val="20"/>
                <w:color w:val="auto"/>
              </w:rPr>
            </w:pPr>
          </w:p>
        </w:tc>
        <w:tc>
          <w:tcPr>
            <w:tcW w:w="8280" w:type="dxa"/>
            <w:vAlign w:val="bottom"/>
          </w:tcPr>
          <w:p>
            <w:pPr>
              <w:ind w:left="1140"/>
              <w:spacing w:after="0"/>
              <w:rPr>
                <w:sz w:val="20"/>
                <w:szCs w:val="20"/>
                <w:color w:val="auto"/>
              </w:rPr>
            </w:pPr>
            <w:r>
              <w:rPr>
                <w:rFonts w:ascii="Arial" w:cs="Arial" w:eastAsia="Arial" w:hAnsi="Arial"/>
                <w:sz w:val="18"/>
                <w:szCs w:val="18"/>
                <w:color w:val="auto"/>
              </w:rPr>
              <w:t>Conversion Rate is otherwise not adjusted at</w:t>
            </w:r>
          </w:p>
        </w:tc>
      </w:tr>
      <w:tr>
        <w:trPr>
          <w:trHeight w:val="432"/>
        </w:trPr>
        <w:tc>
          <w:tcPr>
            <w:tcW w:w="3180" w:type="dxa"/>
            <w:vAlign w:val="bottom"/>
          </w:tcPr>
          <w:p>
            <w:pPr>
              <w:spacing w:after="0"/>
              <w:rPr>
                <w:sz w:val="24"/>
                <w:szCs w:val="24"/>
                <w:color w:val="auto"/>
              </w:rPr>
            </w:pPr>
          </w:p>
        </w:tc>
        <w:tc>
          <w:tcPr>
            <w:tcW w:w="8280" w:type="dxa"/>
            <w:vAlign w:val="bottom"/>
          </w:tcPr>
          <w:p>
            <w:pPr>
              <w:ind w:left="2440"/>
              <w:spacing w:after="0"/>
              <w:rPr>
                <w:sz w:val="20"/>
                <w:szCs w:val="20"/>
                <w:color w:val="auto"/>
              </w:rPr>
            </w:pPr>
            <w:r>
              <w:rPr>
                <w:rFonts w:ascii="Arial" w:cs="Arial" w:eastAsia="Arial" w:hAnsi="Arial"/>
                <w:sz w:val="18"/>
                <w:szCs w:val="18"/>
                <w:color w:val="auto"/>
              </w:rPr>
              <w:t>11</w:t>
            </w:r>
          </w:p>
        </w:tc>
      </w:tr>
      <w:tr>
        <w:trPr>
          <w:trHeight w:val="132"/>
        </w:trPr>
        <w:tc>
          <w:tcPr>
            <w:tcW w:w="318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9" w:name="page240"/>
    <w:bookmarkEnd w:id="239"/>
    <w:p>
      <w:pPr>
        <w:ind w:left="4320" w:right="220"/>
        <w:spacing w:after="0" w:line="291" w:lineRule="auto"/>
        <w:rPr>
          <w:sz w:val="20"/>
          <w:szCs w:val="20"/>
          <w:color w:val="auto"/>
        </w:rPr>
      </w:pPr>
      <w:r>
        <w:rPr>
          <w:rFonts w:ascii="Arial" w:cs="Arial" w:eastAsia="Arial" w:hAnsi="Arial"/>
          <w:sz w:val="16"/>
          <w:szCs w:val="16"/>
          <w:color w:val="auto"/>
        </w:rPr>
        <w:t>the time or in the manner contemplated by the Indenture based on such declaration or (c) the Conversion Rate is adjusted as a result of such Potential Adjustment Event and subsequently re-adjusted (each of clauses (a), (b) and (c), a “</w:t>
      </w:r>
      <w:r>
        <w:rPr>
          <w:rFonts w:ascii="Arial" w:cs="Arial" w:eastAsia="Arial" w:hAnsi="Arial"/>
          <w:sz w:val="16"/>
          <w:szCs w:val="16"/>
          <w:b w:val="1"/>
          <w:bCs w:val="1"/>
          <w:color w:val="auto"/>
        </w:rPr>
        <w:t>Potential Adjustment Event Change</w:t>
      </w:r>
      <w:r>
        <w:rPr>
          <w:rFonts w:ascii="Arial" w:cs="Arial" w:eastAsia="Arial" w:hAnsi="Arial"/>
          <w:sz w:val="16"/>
          <w:szCs w:val="16"/>
          <w:color w:val="auto"/>
        </w:rPr>
        <w:t>”),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Potential Adjustment Event Change.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6"/>
              </w:rPr>
              <w:t>Upon the occurrence of any Potential Adjustment Event Change, Counterparty shall immediately</w:t>
            </w:r>
          </w:p>
        </w:tc>
      </w:tr>
      <w:tr>
        <w:trPr>
          <w:trHeight w:val="230"/>
        </w:trPr>
        <w:tc>
          <w:tcPr>
            <w:tcW w:w="3320" w:type="dxa"/>
            <w:vAlign w:val="bottom"/>
          </w:tcPr>
          <w:p>
            <w:pPr>
              <w:spacing w:after="0"/>
              <w:rPr>
                <w:sz w:val="20"/>
                <w:szCs w:val="20"/>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7"/>
              </w:rPr>
              <w:t>notify the Calculation Agent in writing of the details of such Potential Adjustment Event Change.</w:t>
            </w:r>
          </w:p>
        </w:tc>
      </w:tr>
      <w:tr>
        <w:trPr>
          <w:trHeight w:val="418"/>
        </w:trPr>
        <w:tc>
          <w:tcPr>
            <w:tcW w:w="3320" w:type="dxa"/>
            <w:vAlign w:val="bottom"/>
          </w:tcPr>
          <w:p>
            <w:pPr>
              <w:spacing w:after="0"/>
              <w:rPr>
                <w:sz w:val="24"/>
                <w:szCs w:val="24"/>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5"/>
              </w:rPr>
              <w:t>For the avoidance of doubt, Dealer shall not have any payment or delivery obligation hereunder in</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5"/>
              </w:rPr>
              <w:t>respect of, and no adjustment shall be made to the terms of the Transaction on account of, (x) any</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5"/>
              </w:rPr>
              <w:t>distribution of cash, property or securities by Counterparty to the holders of Convertible Securities</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2"/>
              </w:rPr>
              <w:t>(upon conversion or otherwise) or (y) any other transaction in which holders of Convertible Securities</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4"/>
              </w:rPr>
              <w:t>are entitled to participate, in each case, in lieu of an adjustment under the Indenture in respect of a</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6"/>
              </w:rPr>
              <w:t>Potential Adjustment Event (including, without limitation, under the proviso to the first sentence of</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6"/>
              </w:rPr>
              <w:t>Section 5.05(A)(iii)(1) of the Indenture or the proviso to the first sentence of Section 5.05(A)(iv) of</w:t>
            </w:r>
          </w:p>
        </w:tc>
      </w:tr>
      <w:tr>
        <w:trPr>
          <w:trHeight w:val="230"/>
        </w:trPr>
        <w:tc>
          <w:tcPr>
            <w:tcW w:w="3320" w:type="dxa"/>
            <w:vAlign w:val="bottom"/>
          </w:tcPr>
          <w:p>
            <w:pPr>
              <w:spacing w:after="0"/>
              <w:rPr>
                <w:sz w:val="20"/>
                <w:szCs w:val="20"/>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rPr>
              <w:t>the Indenture).</w:t>
            </w:r>
          </w:p>
        </w:tc>
      </w:tr>
      <w:tr>
        <w:trPr>
          <w:trHeight w:val="418"/>
        </w:trPr>
        <w:tc>
          <w:tcPr>
            <w:tcW w:w="3320" w:type="dxa"/>
            <w:vAlign w:val="bottom"/>
          </w:tcPr>
          <w:p>
            <w:pPr>
              <w:ind w:left="660"/>
              <w:spacing w:after="0"/>
              <w:rPr>
                <w:sz w:val="20"/>
                <w:szCs w:val="20"/>
                <w:color w:val="auto"/>
              </w:rPr>
            </w:pPr>
            <w:r>
              <w:rPr>
                <w:rFonts w:ascii="Arial" w:cs="Arial" w:eastAsia="Arial" w:hAnsi="Arial"/>
                <w:sz w:val="18"/>
                <w:szCs w:val="18"/>
                <w:color w:val="auto"/>
              </w:rPr>
              <w:t>Discretionary Adjustments:</w:t>
            </w:r>
          </w:p>
        </w:tc>
        <w:tc>
          <w:tcPr>
            <w:tcW w:w="8140" w:type="dxa"/>
            <w:vAlign w:val="bottom"/>
          </w:tcPr>
          <w:p>
            <w:pPr>
              <w:ind w:left="680"/>
              <w:spacing w:after="0"/>
              <w:rPr>
                <w:sz w:val="20"/>
                <w:szCs w:val="20"/>
                <w:color w:val="auto"/>
              </w:rPr>
            </w:pPr>
            <w:r>
              <w:rPr>
                <w:rFonts w:ascii="Arial" w:cs="Arial" w:eastAsia="Arial" w:hAnsi="Arial"/>
                <w:sz w:val="18"/>
                <w:szCs w:val="18"/>
                <w:color w:val="auto"/>
                <w:w w:val="94"/>
              </w:rPr>
              <w:t>Notwithstanding anything to the contrary herein or in the Equity Definitions, if the Calculation Agent</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1"/>
              </w:rPr>
              <w:t>in good faith disagrees with any adjustment under the Indenture that involves an exercise of discretion</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3"/>
              </w:rPr>
              <w:t>by Counterparty or its board of directors (including, without limitation, pursuant to Section 5.05(H) of</w:t>
            </w:r>
          </w:p>
        </w:tc>
      </w:tr>
      <w:tr>
        <w:trPr>
          <w:trHeight w:val="212"/>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3"/>
              </w:rPr>
              <w:t>the Indenture or pursuant to Section 5.08(A) of the Indenture or any supplemental indenture entered</w:t>
            </w:r>
          </w:p>
        </w:tc>
      </w:tr>
      <w:tr>
        <w:trPr>
          <w:trHeight w:val="220"/>
        </w:trPr>
        <w:tc>
          <w:tcPr>
            <w:tcW w:w="3320" w:type="dxa"/>
            <w:vAlign w:val="bottom"/>
          </w:tcPr>
          <w:p>
            <w:pPr>
              <w:spacing w:after="0"/>
              <w:rPr>
                <w:sz w:val="19"/>
                <w:szCs w:val="19"/>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3"/>
              </w:rPr>
              <w:t>into thereunder (a “</w:t>
            </w:r>
            <w:r>
              <w:rPr>
                <w:rFonts w:ascii="Arial" w:cs="Arial" w:eastAsia="Arial" w:hAnsi="Arial"/>
                <w:sz w:val="18"/>
                <w:szCs w:val="18"/>
                <w:b w:val="1"/>
                <w:bCs w:val="1"/>
                <w:color w:val="auto"/>
                <w:w w:val="93"/>
              </w:rPr>
              <w:t>Merger Supplemental Indenture</w:t>
            </w:r>
            <w:r>
              <w:rPr>
                <w:rFonts w:ascii="Arial" w:cs="Arial" w:eastAsia="Arial" w:hAnsi="Arial"/>
                <w:sz w:val="18"/>
                <w:szCs w:val="18"/>
                <w:color w:val="auto"/>
                <w:w w:val="93"/>
              </w:rPr>
              <w:t>”) or in connection with the determination of the</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2"/>
              </w:rPr>
              <w:t>fair value of any securities, property, rights or other assets), then the Calculation Agent will determine</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rPr>
              <w:t>the adjustment to be made to any one or more of the Strike Price, Number of Options, Option</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6"/>
              </w:rPr>
              <w:t>Entitlement and any other variable relevant to the exercise, settlement or payment of or under the</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8"/>
              </w:rPr>
              <w:t>Transaction in a commercially reasonable manner and, for the avoidance of doubt, the Delivery</w:t>
            </w:r>
          </w:p>
        </w:tc>
      </w:tr>
      <w:tr>
        <w:trPr>
          <w:trHeight w:val="216"/>
        </w:trPr>
        <w:tc>
          <w:tcPr>
            <w:tcW w:w="3320" w:type="dxa"/>
            <w:vAlign w:val="bottom"/>
          </w:tcPr>
          <w:p>
            <w:pPr>
              <w:spacing w:after="0"/>
              <w:rPr>
                <w:sz w:val="18"/>
                <w:szCs w:val="18"/>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w w:val="95"/>
              </w:rPr>
              <w:t xml:space="preserve">Obligation shall be calculated on the basis of such adjustments by the Calculation Agent; </w:t>
            </w:r>
            <w:r>
              <w:rPr>
                <w:rFonts w:ascii="Arial" w:cs="Arial" w:eastAsia="Arial" w:hAnsi="Arial"/>
                <w:sz w:val="18"/>
                <w:szCs w:val="18"/>
                <w:i w:val="1"/>
                <w:iCs w:val="1"/>
                <w:color w:val="auto"/>
                <w:w w:val="95"/>
              </w:rPr>
              <w:t>provided</w:t>
            </w:r>
          </w:p>
        </w:tc>
      </w:tr>
      <w:tr>
        <w:trPr>
          <w:trHeight w:val="230"/>
        </w:trPr>
        <w:tc>
          <w:tcPr>
            <w:tcW w:w="3320" w:type="dxa"/>
            <w:vAlign w:val="bottom"/>
          </w:tcPr>
          <w:p>
            <w:pPr>
              <w:spacing w:after="0"/>
              <w:rPr>
                <w:sz w:val="20"/>
                <w:szCs w:val="20"/>
                <w:color w:val="auto"/>
              </w:rPr>
            </w:pPr>
          </w:p>
        </w:tc>
        <w:tc>
          <w:tcPr>
            <w:tcW w:w="8140" w:type="dxa"/>
            <w:vAlign w:val="bottom"/>
          </w:tcPr>
          <w:p>
            <w:pPr>
              <w:ind w:left="680"/>
              <w:spacing w:after="0"/>
              <w:rPr>
                <w:sz w:val="20"/>
                <w:szCs w:val="20"/>
                <w:color w:val="auto"/>
              </w:rPr>
            </w:pPr>
            <w:r>
              <w:rPr>
                <w:rFonts w:ascii="Arial" w:cs="Arial" w:eastAsia="Arial" w:hAnsi="Arial"/>
                <w:sz w:val="18"/>
                <w:szCs w:val="18"/>
                <w:color w:val="auto"/>
              </w:rPr>
              <w:t>that, notwithstanding the</w:t>
            </w:r>
          </w:p>
        </w:tc>
      </w:tr>
      <w:tr>
        <w:trPr>
          <w:trHeight w:val="432"/>
        </w:trPr>
        <w:tc>
          <w:tcPr>
            <w:tcW w:w="3320" w:type="dxa"/>
            <w:vAlign w:val="bottom"/>
          </w:tcPr>
          <w:p>
            <w:pPr>
              <w:spacing w:after="0"/>
              <w:rPr>
                <w:sz w:val="24"/>
                <w:szCs w:val="24"/>
                <w:color w:val="auto"/>
              </w:rPr>
            </w:pPr>
          </w:p>
        </w:tc>
        <w:tc>
          <w:tcPr>
            <w:tcW w:w="8140" w:type="dxa"/>
            <w:vAlign w:val="bottom"/>
          </w:tcPr>
          <w:p>
            <w:pPr>
              <w:ind w:left="2300"/>
              <w:spacing w:after="0"/>
              <w:rPr>
                <w:sz w:val="20"/>
                <w:szCs w:val="20"/>
                <w:color w:val="auto"/>
              </w:rPr>
            </w:pPr>
            <w:r>
              <w:rPr>
                <w:rFonts w:ascii="Arial" w:cs="Arial" w:eastAsia="Arial" w:hAnsi="Arial"/>
                <w:sz w:val="18"/>
                <w:szCs w:val="18"/>
                <w:color w:val="auto"/>
              </w:rPr>
              <w:t>12</w:t>
            </w:r>
          </w:p>
        </w:tc>
      </w:tr>
      <w:tr>
        <w:trPr>
          <w:trHeight w:val="132"/>
        </w:trPr>
        <w:tc>
          <w:tcPr>
            <w:tcW w:w="3320" w:type="dxa"/>
            <w:vAlign w:val="bottom"/>
            <w:tcBorders>
              <w:bottom w:val="single" w:sz="8" w:color="808080"/>
            </w:tcBorders>
          </w:tcPr>
          <w:p>
            <w:pPr>
              <w:spacing w:after="0"/>
              <w:rPr>
                <w:sz w:val="11"/>
                <w:szCs w:val="11"/>
                <w:color w:val="auto"/>
              </w:rPr>
            </w:pPr>
          </w:p>
        </w:tc>
        <w:tc>
          <w:tcPr>
            <w:tcW w:w="8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foregoing, in any Potential Adjustment Event occurs during the Cash Settlement Averaging Period but</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1"/>
              </w:rPr>
              <w:t>no adjustment was made to any Convertible Note under the Indenture because the relevant Holder (as</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such term is defined in the Indenture) was deemed to be a record holder of the underlying Shares on</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the related Conversion Date, then the Calculation Agent shall made an adjustment, as determined by</w:t>
            </w:r>
          </w:p>
        </w:tc>
      </w:tr>
      <w:tr>
        <w:trPr>
          <w:trHeight w:val="230"/>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it, to the terms hereof in order to account for such Potential Adjustment Event.</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Dividends:</w:t>
            </w: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If (i) at any time during the period from and including the Trade Date, to but excluding the Expiration</w:t>
            </w:r>
          </w:p>
        </w:tc>
      </w:tr>
      <w:tr>
        <w:trPr>
          <w:trHeight w:val="212"/>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Date, an ex-dividend date for a regular quarterly cash dividend occurs with respect to the Shares (an</w:t>
            </w:r>
          </w:p>
        </w:tc>
      </w:tr>
      <w:tr>
        <w:trPr>
          <w:trHeight w:val="220"/>
        </w:trPr>
        <w:tc>
          <w:tcPr>
            <w:tcW w:w="3520" w:type="dxa"/>
            <w:vAlign w:val="bottom"/>
          </w:tcPr>
          <w:p>
            <w:pPr>
              <w:spacing w:after="0"/>
              <w:rPr>
                <w:sz w:val="19"/>
                <w:szCs w:val="19"/>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Ex-Dividend Date</w:t>
            </w:r>
            <w:r>
              <w:rPr>
                <w:rFonts w:ascii="Arial" w:cs="Arial" w:eastAsia="Arial" w:hAnsi="Arial"/>
                <w:sz w:val="18"/>
                <w:szCs w:val="18"/>
                <w:color w:val="auto"/>
                <w:w w:val="96"/>
              </w:rPr>
              <w:t>”) and that dividend is less than the Regular Dividend on a per Share basis or</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(ii) no Ex-Dividend Date for a regular quarterly cash dividend occurs with respect to the Shares in any</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quarterly dividend period of Counterparty, then the Calculation Agent will make a corresponding</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8"/>
              </w:rPr>
              <w:t>adjustment in respect of any one or more of the Strike Price, the Number of Options, the Option</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Entitlement and any other term relevant to the exercise, settlement or payment of the Transaction to</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account for the economic effect on the Transaction of such dividend or lack thereof, and, for the</w:t>
            </w:r>
          </w:p>
        </w:tc>
      </w:tr>
      <w:tr>
        <w:trPr>
          <w:trHeight w:val="212"/>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avoidance of doubt, any such adjustments shall be taken into account in calculating the Delivery</w:t>
            </w:r>
          </w:p>
        </w:tc>
      </w:tr>
      <w:tr>
        <w:trPr>
          <w:trHeight w:val="234"/>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Obligation. “</w:t>
            </w:r>
            <w:r>
              <w:rPr>
                <w:rFonts w:ascii="Arial" w:cs="Arial" w:eastAsia="Arial" w:hAnsi="Arial"/>
                <w:sz w:val="18"/>
                <w:szCs w:val="18"/>
                <w:b w:val="1"/>
                <w:bCs w:val="1"/>
                <w:color w:val="auto"/>
              </w:rPr>
              <w:t>Regular Dividend</w:t>
            </w:r>
            <w:r>
              <w:rPr>
                <w:rFonts w:ascii="Arial" w:cs="Arial" w:eastAsia="Arial" w:hAnsi="Arial"/>
                <w:sz w:val="18"/>
                <w:szCs w:val="18"/>
                <w:color w:val="auto"/>
              </w:rPr>
              <w:t>” shall mean USD0.11 per Share.</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Notice of Certain Other Events:</w:t>
            </w: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Counterparty shall give Dealer commercially reasonable advance (but in no event less than one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Exchange Business Day) written notice of the section or sections of the Indenture and, if applicable,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5"/>
              </w:rPr>
              <w:t>the formula therein, pursuant to which any adjustment will be made to the Convertible Securities in</w:t>
            </w:r>
          </w:p>
        </w:tc>
      </w:tr>
      <w:tr>
        <w:trPr>
          <w:trHeight w:val="230"/>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connection with any Potential Adjustment Event, Merger Event or Tender Offer.</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Extraordinary Events:</w:t>
            </w:r>
          </w:p>
        </w:tc>
        <w:tc>
          <w:tcPr>
            <w:tcW w:w="7940" w:type="dxa"/>
            <w:vAlign w:val="bottom"/>
          </w:tcPr>
          <w:p>
            <w:pPr>
              <w:spacing w:after="0"/>
              <w:rPr>
                <w:sz w:val="24"/>
                <w:szCs w:val="24"/>
                <w:color w:val="auto"/>
              </w:rPr>
            </w:pP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Merger Events:</w:t>
            </w: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Notwithstanding Section 12.1(b) of the Equity Definitions, “Merger Event” shall mean the occurrence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of any event or condition set forth in the definition of “Common Stock Change Event” as set forth in</w:t>
            </w:r>
          </w:p>
        </w:tc>
      </w:tr>
      <w:tr>
        <w:trPr>
          <w:trHeight w:val="230"/>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Section 5.08(A) of the Indenture.</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Consequences of Merger Events:</w:t>
            </w: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Notwithstanding Section 12.2 of the Equity Definitions, upon the occurrence of a Merger Event, the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8"/>
              </w:rPr>
              <w:t>Calculation Agent shall make an adjustment to the terms relevant to the exercise, settlement or</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8"/>
              </w:rPr>
              <w:t>payment of the Transaction corresponding to the adjustment required under Section 5.08 of the</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Indenture in respect of such Merger Event, as determined by the Calculation Agent (by reference to</w:t>
            </w:r>
          </w:p>
        </w:tc>
      </w:tr>
      <w:tr>
        <w:trPr>
          <w:trHeight w:val="216"/>
        </w:trPr>
        <w:tc>
          <w:tcPr>
            <w:tcW w:w="35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 xml:space="preserve">such Section), subject to “Discretionary Adjustments” above;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such adjustment shall be</w:t>
            </w:r>
          </w:p>
        </w:tc>
      </w:tr>
      <w:tr>
        <w:trPr>
          <w:trHeight w:val="230"/>
        </w:trPr>
        <w:tc>
          <w:tcPr>
            <w:tcW w:w="352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made without regard to any adjustment to the</w:t>
            </w:r>
          </w:p>
        </w:tc>
      </w:tr>
      <w:tr>
        <w:trPr>
          <w:trHeight w:val="432"/>
        </w:trPr>
        <w:tc>
          <w:tcPr>
            <w:tcW w:w="3520" w:type="dxa"/>
            <w:vAlign w:val="bottom"/>
          </w:tcPr>
          <w:p>
            <w:pPr>
              <w:spacing w:after="0"/>
              <w:rPr>
                <w:sz w:val="24"/>
                <w:szCs w:val="24"/>
                <w:color w:val="auto"/>
              </w:rPr>
            </w:pPr>
          </w:p>
        </w:tc>
        <w:tc>
          <w:tcPr>
            <w:tcW w:w="7940" w:type="dxa"/>
            <w:vAlign w:val="bottom"/>
          </w:tcPr>
          <w:p>
            <w:pPr>
              <w:ind w:left="2100"/>
              <w:spacing w:after="0"/>
              <w:rPr>
                <w:sz w:val="20"/>
                <w:szCs w:val="20"/>
                <w:color w:val="auto"/>
              </w:rPr>
            </w:pPr>
            <w:r>
              <w:rPr>
                <w:rFonts w:ascii="Arial" w:cs="Arial" w:eastAsia="Arial" w:hAnsi="Arial"/>
                <w:sz w:val="18"/>
                <w:szCs w:val="18"/>
                <w:color w:val="auto"/>
              </w:rPr>
              <w:t>13</w:t>
            </w:r>
          </w:p>
        </w:tc>
      </w:tr>
      <w:tr>
        <w:trPr>
          <w:trHeight w:val="132"/>
        </w:trPr>
        <w:tc>
          <w:tcPr>
            <w:tcW w:w="3520" w:type="dxa"/>
            <w:vAlign w:val="bottom"/>
            <w:tcBorders>
              <w:bottom w:val="single" w:sz="8" w:color="808080"/>
            </w:tcBorders>
          </w:tcPr>
          <w:p>
            <w:pPr>
              <w:spacing w:after="0"/>
              <w:rPr>
                <w:sz w:val="11"/>
                <w:szCs w:val="11"/>
                <w:color w:val="auto"/>
              </w:rPr>
            </w:pPr>
          </w:p>
        </w:tc>
        <w:tc>
          <w:tcPr>
            <w:tcW w:w="7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Conversion Rate pursuant to a Fundamental Change Adjustment or a Discretionary Adjustment; and</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i w:val="1"/>
                <w:iCs w:val="1"/>
                <w:color w:val="auto"/>
                <w:w w:val="95"/>
              </w:rPr>
              <w:t xml:space="preserve">provided further </w:t>
            </w:r>
            <w:r>
              <w:rPr>
                <w:rFonts w:ascii="Arial" w:cs="Arial" w:eastAsia="Arial" w:hAnsi="Arial"/>
                <w:sz w:val="18"/>
                <w:szCs w:val="18"/>
                <w:color w:val="auto"/>
                <w:w w:val="95"/>
              </w:rPr>
              <w:t>that the Calculation Agent may make such further adjustments to the terms of the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Transaction as may be necessary to ensure that the fair value of the Transaction to Dealer is not</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adversely affected as a result of any adjustment referenced in this paragraph and, for the avoidance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doubt, any such further adjustments shall be taken into account in calculating the Delivery Obligation;</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 xml:space="preserve">and </w:t>
            </w:r>
            <w:r>
              <w:rPr>
                <w:rFonts w:ascii="Arial" w:cs="Arial" w:eastAsia="Arial" w:hAnsi="Arial"/>
                <w:sz w:val="18"/>
                <w:szCs w:val="18"/>
                <w:i w:val="1"/>
                <w:iCs w:val="1"/>
                <w:color w:val="auto"/>
                <w:w w:val="99"/>
              </w:rPr>
              <w:t>provided further</w:t>
            </w:r>
            <w:r>
              <w:rPr>
                <w:rFonts w:ascii="Arial" w:cs="Arial" w:eastAsia="Arial" w:hAnsi="Arial"/>
                <w:sz w:val="18"/>
                <w:szCs w:val="18"/>
                <w:color w:val="auto"/>
                <w:w w:val="99"/>
              </w:rPr>
              <w:t xml:space="preserve"> that if, with respect to a Merger Event, (i) the consideration for the Shares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includes (or, at the option of a holder of Shares, may include) shares of an entity or person that is not a</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corporation organized under the laws of the United States, any state thereof or the District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Columbia or (ii) the Counterparty to the Transaction, following such Merger Event, will not be a</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corporation organized under the laws of the United States, any state thereof or the District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Columbia and/or will not be the Issuer, Dealer may elect in its sole discretion that Cancellation and</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Payment (Calculation Agent Determination) shall apply.</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rPr>
              <w:t>Notice of Merger Consideration and</w:t>
            </w: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Upon the occurrence of a Merger Event, Counterparty shall reasonably promptly (but in any event</w:t>
            </w:r>
          </w:p>
        </w:tc>
      </w:tr>
      <w:tr>
        <w:trPr>
          <w:trHeight w:val="216"/>
        </w:trPr>
        <w:tc>
          <w:tcPr>
            <w:tcW w:w="3800" w:type="dxa"/>
            <w:vAlign w:val="bottom"/>
          </w:tcPr>
          <w:p>
            <w:pPr>
              <w:ind w:left="660"/>
              <w:spacing w:after="0"/>
              <w:rPr>
                <w:sz w:val="20"/>
                <w:szCs w:val="20"/>
                <w:color w:val="auto"/>
              </w:rPr>
            </w:pPr>
            <w:r>
              <w:rPr>
                <w:rFonts w:ascii="Arial" w:cs="Arial" w:eastAsia="Arial" w:hAnsi="Arial"/>
                <w:sz w:val="18"/>
                <w:szCs w:val="18"/>
                <w:color w:val="auto"/>
              </w:rPr>
              <w:t>Consequences:</w:t>
            </w: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prior to the relevant merger date) notify the Calculation Agent of (i) in the case of a Merger Event that</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causes the Shares to be converted into the right to receive more than a single type of consideration</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(determined based in part upon any form of stockholder election), the types and amount of</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0"/>
              </w:rPr>
              <w:t>consideration actually received by such holders, and (ii) the details of the adjustment to be made under</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the Indenture in respect of such Merger Event.</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w w:val="99"/>
              </w:rPr>
              <w:t>Nationalization, Insolvency or Delisting:</w:t>
            </w:r>
          </w:p>
        </w:tc>
        <w:tc>
          <w:tcPr>
            <w:tcW w:w="7660" w:type="dxa"/>
            <w:vAlign w:val="bottom"/>
          </w:tcPr>
          <w:p>
            <w:pPr>
              <w:ind w:left="20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addition to the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provisions of Section 12.6(a)(iii) of the Equity Definitions, it will also constitute a Delisting if the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Shares are not immediately re-listed, re-traded or re-quoted on any of the New York Stock Exchange,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The NASDAQ Global Select Market or The NASDAQ Global Market (or their respective successors);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if the Shares are immediately re-listed, re-traded or re-quoted on any such exchange or quotation</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system, such exchange or quotation system shall thereafter be deemed to be the Exchange.</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rPr>
              <w:t>Additional Termination Event(s):</w:t>
            </w: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Notwithstanding anything to the contrary in the Equity Definitions, if, as a result of an Extraordinary</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Event, the Transaction would be cancelled or terminated (whether in whole or in part) pursuant to</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Article 12 of the Equity Definitions, an Additional Termination Event (with the Transaction (or the</w:t>
            </w:r>
          </w:p>
        </w:tc>
      </w:tr>
      <w:tr>
        <w:trPr>
          <w:trHeight w:val="432"/>
        </w:trPr>
        <w:tc>
          <w:tcPr>
            <w:tcW w:w="3800" w:type="dxa"/>
            <w:vAlign w:val="bottom"/>
          </w:tcPr>
          <w:p>
            <w:pPr>
              <w:spacing w:after="0"/>
              <w:rPr>
                <w:sz w:val="24"/>
                <w:szCs w:val="24"/>
                <w:color w:val="auto"/>
              </w:rPr>
            </w:pPr>
          </w:p>
        </w:tc>
        <w:tc>
          <w:tcPr>
            <w:tcW w:w="7660" w:type="dxa"/>
            <w:vAlign w:val="bottom"/>
          </w:tcPr>
          <w:p>
            <w:pPr>
              <w:ind w:left="1820"/>
              <w:spacing w:after="0"/>
              <w:rPr>
                <w:sz w:val="20"/>
                <w:szCs w:val="20"/>
                <w:color w:val="auto"/>
              </w:rPr>
            </w:pPr>
            <w:r>
              <w:rPr>
                <w:rFonts w:ascii="Arial" w:cs="Arial" w:eastAsia="Arial" w:hAnsi="Arial"/>
                <w:sz w:val="18"/>
                <w:szCs w:val="18"/>
                <w:color w:val="auto"/>
              </w:rPr>
              <w:t>14</w:t>
            </w:r>
          </w:p>
        </w:tc>
      </w:tr>
      <w:tr>
        <w:trPr>
          <w:trHeight w:val="132"/>
        </w:trPr>
        <w:tc>
          <w:tcPr>
            <w:tcW w:w="38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3"/>
              </w:rPr>
              <w:t>cancelled or terminated portion thereof) being the Affected Transaction and Counterparty being the</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5"/>
              </w:rPr>
              <w:t>sole Affected Party) shall be deemed to occur, and, in lieu of Sections 12.7, 12.8 and 12.9 of the</w:t>
            </w:r>
          </w:p>
        </w:tc>
      </w:tr>
      <w:tr>
        <w:trPr>
          <w:trHeight w:val="230"/>
        </w:trPr>
        <w:tc>
          <w:tcPr>
            <w:tcW w:w="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rPr>
              <w:t>Equity Definitions, Section 6 of the Agreement shall apply to such Affected Transaction.</w:t>
            </w:r>
          </w:p>
        </w:tc>
      </w:tr>
      <w:tr>
        <w:trPr>
          <w:trHeight w:val="432"/>
        </w:trPr>
        <w:tc>
          <w:tcPr>
            <w:tcW w:w="2760" w:type="dxa"/>
            <w:vAlign w:val="bottom"/>
            <w:gridSpan w:val="2"/>
          </w:tcPr>
          <w:p>
            <w:pPr>
              <w:spacing w:after="0"/>
              <w:rPr>
                <w:sz w:val="20"/>
                <w:szCs w:val="20"/>
                <w:color w:val="auto"/>
              </w:rPr>
            </w:pPr>
            <w:r>
              <w:rPr>
                <w:rFonts w:ascii="Arial" w:cs="Arial" w:eastAsia="Arial" w:hAnsi="Arial"/>
                <w:sz w:val="18"/>
                <w:szCs w:val="18"/>
                <w:color w:val="auto"/>
              </w:rPr>
              <w:t>Additional Disruption Events:</w:t>
            </w:r>
          </w:p>
        </w:tc>
        <w:tc>
          <w:tcPr>
            <w:tcW w:w="7920" w:type="dxa"/>
            <w:vAlign w:val="bottom"/>
          </w:tcPr>
          <w:p>
            <w:pPr>
              <w:spacing w:after="0"/>
              <w:rPr>
                <w:sz w:val="24"/>
                <w:szCs w:val="24"/>
                <w:color w:val="auto"/>
              </w:rPr>
            </w:pPr>
          </w:p>
        </w:tc>
      </w:tr>
      <w:tr>
        <w:trPr>
          <w:trHeight w:val="418"/>
        </w:trPr>
        <w:tc>
          <w:tcPr>
            <w:tcW w:w="580" w:type="dxa"/>
            <w:vAlign w:val="bottom"/>
          </w:tcPr>
          <w:p>
            <w:pPr>
              <w:ind w:left="320"/>
              <w:spacing w:after="0"/>
              <w:rPr>
                <w:sz w:val="20"/>
                <w:szCs w:val="20"/>
                <w:color w:val="auto"/>
              </w:rPr>
            </w:pPr>
            <w:r>
              <w:rPr>
                <w:rFonts w:ascii="Arial" w:cs="Arial" w:eastAsia="Arial" w:hAnsi="Arial"/>
                <w:sz w:val="18"/>
                <w:szCs w:val="18"/>
                <w:color w:val="auto"/>
              </w:rPr>
              <w:t>(a)</w:t>
            </w:r>
          </w:p>
        </w:tc>
        <w:tc>
          <w:tcPr>
            <w:tcW w:w="2180" w:type="dxa"/>
            <w:vAlign w:val="bottom"/>
          </w:tcPr>
          <w:p>
            <w:pPr>
              <w:ind w:left="40"/>
              <w:spacing w:after="0"/>
              <w:rPr>
                <w:sz w:val="20"/>
                <w:szCs w:val="20"/>
                <w:color w:val="auto"/>
              </w:rPr>
            </w:pPr>
            <w:r>
              <w:rPr>
                <w:rFonts w:ascii="Arial" w:cs="Arial" w:eastAsia="Arial" w:hAnsi="Arial"/>
                <w:sz w:val="18"/>
                <w:szCs w:val="18"/>
                <w:color w:val="auto"/>
              </w:rPr>
              <w:t>Change in Law:</w:t>
            </w:r>
          </w:p>
        </w:tc>
        <w:tc>
          <w:tcPr>
            <w:tcW w:w="7920" w:type="dxa"/>
            <w:vAlign w:val="bottom"/>
          </w:tcPr>
          <w:p>
            <w:pPr>
              <w:ind w:left="5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is hereby amended by</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9"/>
              </w:rPr>
              <w:t>(i) replacing the phrase “the interpretation” in the third line thereof with the phrase “, or public</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6"/>
              </w:rPr>
              <w:t>announcement of, the formal or informal interpretation”, (ii) by adding the phrase “and/or Hedge</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5"/>
              </w:rPr>
              <w:t>Position” after the word “Shares” in clause (X) thereof and (iii) by immediately following the word</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3"/>
              </w:rPr>
              <w:t>“Transaction” in clause (X) thereof, adding the phrase “in the manner contemplated by the Hedging</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5"/>
              </w:rPr>
              <w:t xml:space="preserve">Party on the Trade Date”; and </w:t>
            </w:r>
            <w:r>
              <w:rPr>
                <w:rFonts w:ascii="Arial" w:cs="Arial" w:eastAsia="Arial" w:hAnsi="Arial"/>
                <w:sz w:val="18"/>
                <w:szCs w:val="18"/>
                <w:i w:val="1"/>
                <w:iCs w:val="1"/>
                <w:color w:val="auto"/>
                <w:w w:val="95"/>
              </w:rPr>
              <w:t>provided further</w:t>
            </w:r>
            <w:r>
              <w:rPr>
                <w:rFonts w:ascii="Arial" w:cs="Arial" w:eastAsia="Arial" w:hAnsi="Arial"/>
                <w:sz w:val="18"/>
                <w:szCs w:val="18"/>
                <w:color w:val="auto"/>
                <w:w w:val="95"/>
              </w:rPr>
              <w:t xml:space="preserve"> that Section 12.9(a)(ii) of the Equity Definitions is</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1"/>
              </w:rPr>
              <w:t>hereby amended by (i) replacing the parenthetical beginning after the word “regulation” in the second</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4"/>
              </w:rPr>
              <w:t>line thereof the words “(including, for the avoidance of doubt and without limitation, (x) any tax law</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2"/>
              </w:rPr>
              <w:t>or (y) adoption or promulgation of new regulations authorized or mandated by existing statute)” and</w:t>
            </w: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w w:val="93"/>
              </w:rPr>
              <w:t>(ii) adding the words “, or holding, acquiring or disposing of Shares or any Hedge Positions relating</w:t>
            </w:r>
          </w:p>
        </w:tc>
      </w:tr>
      <w:tr>
        <w:trPr>
          <w:trHeight w:val="230"/>
        </w:trPr>
        <w:tc>
          <w:tcPr>
            <w:tcW w:w="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rPr>
              <w:t>to,” after the words “obligations under” in clause (Y) thereof.</w:t>
            </w:r>
          </w:p>
        </w:tc>
      </w:tr>
      <w:tr>
        <w:trPr>
          <w:trHeight w:val="432"/>
        </w:trPr>
        <w:tc>
          <w:tcPr>
            <w:tcW w:w="580" w:type="dxa"/>
            <w:vAlign w:val="bottom"/>
          </w:tcPr>
          <w:p>
            <w:pPr>
              <w:ind w:left="320"/>
              <w:spacing w:after="0"/>
              <w:rPr>
                <w:sz w:val="20"/>
                <w:szCs w:val="20"/>
                <w:color w:val="auto"/>
              </w:rPr>
            </w:pPr>
            <w:r>
              <w:rPr>
                <w:rFonts w:ascii="Arial" w:cs="Arial" w:eastAsia="Arial" w:hAnsi="Arial"/>
                <w:sz w:val="18"/>
                <w:szCs w:val="18"/>
                <w:color w:val="auto"/>
              </w:rPr>
              <w:t>(b)</w:t>
            </w:r>
          </w:p>
        </w:tc>
        <w:tc>
          <w:tcPr>
            <w:tcW w:w="2180" w:type="dxa"/>
            <w:vAlign w:val="bottom"/>
          </w:tcPr>
          <w:p>
            <w:pPr>
              <w:ind w:left="40"/>
              <w:spacing w:after="0"/>
              <w:rPr>
                <w:sz w:val="20"/>
                <w:szCs w:val="20"/>
                <w:color w:val="auto"/>
              </w:rPr>
            </w:pPr>
            <w:r>
              <w:rPr>
                <w:rFonts w:ascii="Arial" w:cs="Arial" w:eastAsia="Arial" w:hAnsi="Arial"/>
                <w:sz w:val="18"/>
                <w:szCs w:val="18"/>
                <w:color w:val="auto"/>
              </w:rPr>
              <w:t>Failure to Deliver:</w:t>
            </w:r>
          </w:p>
        </w:tc>
        <w:tc>
          <w:tcPr>
            <w:tcW w:w="7920" w:type="dxa"/>
            <w:vAlign w:val="bottom"/>
          </w:tcPr>
          <w:p>
            <w:pPr>
              <w:ind w:left="580"/>
              <w:spacing w:after="0"/>
              <w:rPr>
                <w:sz w:val="20"/>
                <w:szCs w:val="20"/>
                <w:color w:val="auto"/>
              </w:rPr>
            </w:pPr>
            <w:r>
              <w:rPr>
                <w:rFonts w:ascii="Arial" w:cs="Arial" w:eastAsia="Arial" w:hAnsi="Arial"/>
                <w:sz w:val="18"/>
                <w:szCs w:val="18"/>
                <w:color w:val="auto"/>
              </w:rPr>
              <w:t>Applicable</w:t>
            </w:r>
          </w:p>
        </w:tc>
      </w:tr>
      <w:tr>
        <w:trPr>
          <w:trHeight w:val="432"/>
        </w:trPr>
        <w:tc>
          <w:tcPr>
            <w:tcW w:w="580" w:type="dxa"/>
            <w:vAlign w:val="bottom"/>
          </w:tcPr>
          <w:p>
            <w:pPr>
              <w:ind w:left="320"/>
              <w:spacing w:after="0"/>
              <w:rPr>
                <w:sz w:val="20"/>
                <w:szCs w:val="20"/>
                <w:color w:val="auto"/>
              </w:rPr>
            </w:pPr>
            <w:r>
              <w:rPr>
                <w:rFonts w:ascii="Arial" w:cs="Arial" w:eastAsia="Arial" w:hAnsi="Arial"/>
                <w:sz w:val="18"/>
                <w:szCs w:val="18"/>
                <w:color w:val="auto"/>
              </w:rPr>
              <w:t>(c)</w:t>
            </w:r>
          </w:p>
        </w:tc>
        <w:tc>
          <w:tcPr>
            <w:tcW w:w="2180" w:type="dxa"/>
            <w:vAlign w:val="bottom"/>
          </w:tcPr>
          <w:p>
            <w:pPr>
              <w:ind w:left="40"/>
              <w:spacing w:after="0"/>
              <w:rPr>
                <w:sz w:val="20"/>
                <w:szCs w:val="20"/>
                <w:color w:val="auto"/>
              </w:rPr>
            </w:pPr>
            <w:r>
              <w:rPr>
                <w:rFonts w:ascii="Arial" w:cs="Arial" w:eastAsia="Arial" w:hAnsi="Arial"/>
                <w:sz w:val="18"/>
                <w:szCs w:val="18"/>
                <w:color w:val="auto"/>
              </w:rPr>
              <w:t>Insolvency Filing:</w:t>
            </w:r>
          </w:p>
        </w:tc>
        <w:tc>
          <w:tcPr>
            <w:tcW w:w="7920" w:type="dxa"/>
            <w:vAlign w:val="bottom"/>
          </w:tcPr>
          <w:p>
            <w:pPr>
              <w:ind w:left="580"/>
              <w:spacing w:after="0"/>
              <w:rPr>
                <w:sz w:val="20"/>
                <w:szCs w:val="20"/>
                <w:color w:val="auto"/>
              </w:rPr>
            </w:pPr>
            <w:r>
              <w:rPr>
                <w:rFonts w:ascii="Arial" w:cs="Arial" w:eastAsia="Arial" w:hAnsi="Arial"/>
                <w:sz w:val="18"/>
                <w:szCs w:val="18"/>
                <w:color w:val="auto"/>
              </w:rPr>
              <w:t>Applicable</w:t>
            </w:r>
          </w:p>
        </w:tc>
      </w:tr>
      <w:tr>
        <w:trPr>
          <w:trHeight w:val="432"/>
        </w:trPr>
        <w:tc>
          <w:tcPr>
            <w:tcW w:w="580" w:type="dxa"/>
            <w:vAlign w:val="bottom"/>
          </w:tcPr>
          <w:p>
            <w:pPr>
              <w:ind w:left="320"/>
              <w:spacing w:after="0"/>
              <w:rPr>
                <w:sz w:val="20"/>
                <w:szCs w:val="20"/>
                <w:color w:val="auto"/>
              </w:rPr>
            </w:pPr>
            <w:r>
              <w:rPr>
                <w:rFonts w:ascii="Arial" w:cs="Arial" w:eastAsia="Arial" w:hAnsi="Arial"/>
                <w:sz w:val="18"/>
                <w:szCs w:val="18"/>
                <w:color w:val="auto"/>
              </w:rPr>
              <w:t>(d)</w:t>
            </w:r>
          </w:p>
        </w:tc>
        <w:tc>
          <w:tcPr>
            <w:tcW w:w="2180" w:type="dxa"/>
            <w:vAlign w:val="bottom"/>
          </w:tcPr>
          <w:p>
            <w:pPr>
              <w:ind w:left="40"/>
              <w:spacing w:after="0"/>
              <w:rPr>
                <w:sz w:val="20"/>
                <w:szCs w:val="20"/>
                <w:color w:val="auto"/>
              </w:rPr>
            </w:pPr>
            <w:r>
              <w:rPr>
                <w:rFonts w:ascii="Arial" w:cs="Arial" w:eastAsia="Arial" w:hAnsi="Arial"/>
                <w:sz w:val="18"/>
                <w:szCs w:val="18"/>
                <w:color w:val="auto"/>
              </w:rPr>
              <w:t>Hedging Disruption:</w:t>
            </w:r>
          </w:p>
        </w:tc>
        <w:tc>
          <w:tcPr>
            <w:tcW w:w="7920" w:type="dxa"/>
            <w:vAlign w:val="bottom"/>
          </w:tcPr>
          <w:p>
            <w:pPr>
              <w:ind w:left="5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32"/>
        </w:trPr>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920" w:type="dxa"/>
            <w:vAlign w:val="bottom"/>
          </w:tcPr>
          <w:p>
            <w:pPr>
              <w:ind w:left="580"/>
              <w:spacing w:after="0"/>
              <w:rPr>
                <w:sz w:val="20"/>
                <w:szCs w:val="20"/>
                <w:color w:val="auto"/>
              </w:rPr>
            </w:pPr>
            <w:r>
              <w:rPr>
                <w:rFonts w:ascii="Arial" w:cs="Arial" w:eastAsia="Arial" w:hAnsi="Arial"/>
                <w:sz w:val="18"/>
                <w:szCs w:val="18"/>
                <w:color w:val="auto"/>
              </w:rPr>
              <w:t>(i)  Section 12.9(a)(v) of the Equity Definitions is hereby amended by:</w:t>
            </w:r>
          </w:p>
        </w:tc>
      </w:tr>
    </w:tbl>
    <w:p>
      <w:pPr>
        <w:spacing w:after="0" w:line="202" w:lineRule="exact"/>
        <w:rPr>
          <w:sz w:val="20"/>
          <w:szCs w:val="20"/>
          <w:color w:val="auto"/>
        </w:rPr>
      </w:pPr>
    </w:p>
    <w:p>
      <w:pPr>
        <w:ind w:left="4000" w:right="120" w:hanging="323"/>
        <w:spacing w:after="0" w:line="277" w:lineRule="auto"/>
        <w:rPr>
          <w:sz w:val="20"/>
          <w:szCs w:val="20"/>
          <w:color w:val="auto"/>
        </w:rPr>
      </w:pPr>
      <w:r>
        <w:rPr>
          <w:rFonts w:ascii="Arial" w:cs="Arial" w:eastAsia="Arial" w:hAnsi="Arial"/>
          <w:sz w:val="18"/>
          <w:szCs w:val="18"/>
          <w:color w:val="auto"/>
        </w:rPr>
        <w:t>(a) inserting the following words at the end of clause (A) thereof: “in the manner contemplated by the Hedging Party on the Trade Date” and</w:t>
      </w:r>
    </w:p>
    <w:p>
      <w:pPr>
        <w:spacing w:after="0" w:line="17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  inserting the following sentence at the end of such Section:</w:t>
      </w:r>
    </w:p>
    <w:p>
      <w:pPr>
        <w:spacing w:after="0" w:line="225" w:lineRule="exact"/>
        <w:rPr>
          <w:sz w:val="20"/>
          <w:szCs w:val="20"/>
          <w:color w:val="auto"/>
        </w:rPr>
      </w:pPr>
    </w:p>
    <w:p>
      <w:pPr>
        <w:ind w:left="4000"/>
        <w:spacing w:after="0" w:line="259" w:lineRule="auto"/>
        <w:rPr>
          <w:sz w:val="20"/>
          <w:szCs w:val="20"/>
          <w:color w:val="auto"/>
        </w:rPr>
      </w:pPr>
      <w:r>
        <w:rPr>
          <w:rFonts w:ascii="Arial" w:cs="Arial" w:eastAsia="Arial" w:hAnsi="Arial"/>
          <w:sz w:val="18"/>
          <w:szCs w:val="18"/>
          <w:color w:val="auto"/>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p>
      <w:pPr>
        <w:spacing w:after="0" w:line="187" w:lineRule="exact"/>
        <w:rPr>
          <w:sz w:val="20"/>
          <w:szCs w:val="20"/>
          <w:color w:val="auto"/>
        </w:rPr>
      </w:pPr>
    </w:p>
    <w:p>
      <w:pPr>
        <w:ind w:left="4960" w:right="340" w:hanging="1617"/>
        <w:spacing w:after="0" w:line="528" w:lineRule="auto"/>
        <w:rPr>
          <w:sz w:val="20"/>
          <w:szCs w:val="20"/>
          <w:color w:val="auto"/>
        </w:rPr>
      </w:pPr>
      <w:r>
        <w:rPr>
          <w:rFonts w:ascii="Arial" w:cs="Arial" w:eastAsia="Arial" w:hAnsi="Arial"/>
          <w:sz w:val="18"/>
          <w:szCs w:val="18"/>
          <w:color w:val="auto"/>
        </w:rPr>
        <w:t>(ii) Section 12.9(b)(iii) of the Equity Definitions is hereby amended by inserting in the third line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-90170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900" w:top="342" w:right="299" w:bottom="1440" w:gutter="0" w:footer="0" w:header="0"/>
        </w:sectPr>
      </w:pPr>
    </w:p>
    <w:bookmarkStart w:id="243" w:name="page244"/>
    <w:bookmarkEnd w:id="243"/>
    <w:tbl>
      <w:tblPr>
        <w:tblLayout w:type="fixed"/>
        <w:tblInd w:w="4"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w w:val="91"/>
              </w:rPr>
              <w:t>thereof, after the words “to terminate the Transaction”, the words “or a portion of the Transaction</w:t>
            </w:r>
          </w:p>
        </w:tc>
      </w:tr>
      <w:tr>
        <w:trPr>
          <w:trHeight w:val="230"/>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affected by such Hedging Disruption”.</w:t>
            </w:r>
          </w:p>
        </w:tc>
      </w:tr>
      <w:tr>
        <w:trPr>
          <w:trHeight w:val="432"/>
        </w:trPr>
        <w:tc>
          <w:tcPr>
            <w:tcW w:w="3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(e) Increased Cost of Hedging:</w:t>
            </w:r>
          </w:p>
        </w:tc>
        <w:tc>
          <w:tcPr>
            <w:tcW w:w="7720" w:type="dxa"/>
            <w:vAlign w:val="bottom"/>
          </w:tcPr>
          <w:p>
            <w:pPr>
              <w:ind w:left="380"/>
              <w:spacing w:after="0"/>
              <w:rPr>
                <w:sz w:val="20"/>
                <w:szCs w:val="20"/>
                <w:color w:val="auto"/>
              </w:rPr>
            </w:pPr>
            <w:r>
              <w:rPr>
                <w:rFonts w:ascii="Arial" w:cs="Arial" w:eastAsia="Arial" w:hAnsi="Arial"/>
                <w:sz w:val="18"/>
                <w:szCs w:val="18"/>
                <w:color w:val="auto"/>
              </w:rPr>
              <w:t>Applicable</w:t>
            </w:r>
          </w:p>
        </w:tc>
      </w:tr>
      <w:tr>
        <w:trPr>
          <w:trHeight w:val="432"/>
        </w:trPr>
        <w:tc>
          <w:tcPr>
            <w:tcW w:w="2960" w:type="dxa"/>
            <w:vAlign w:val="bottom"/>
            <w:gridSpan w:val="4"/>
          </w:tcPr>
          <w:p>
            <w:pPr>
              <w:spacing w:after="0"/>
              <w:rPr>
                <w:sz w:val="20"/>
                <w:szCs w:val="20"/>
                <w:color w:val="auto"/>
              </w:rPr>
            </w:pPr>
            <w:r>
              <w:rPr>
                <w:rFonts w:ascii="Arial" w:cs="Arial" w:eastAsia="Arial" w:hAnsi="Arial"/>
                <w:sz w:val="18"/>
                <w:szCs w:val="18"/>
                <w:color w:val="auto"/>
              </w:rPr>
              <w:t>Hedging Party:</w:t>
            </w:r>
          </w:p>
        </w:tc>
        <w:tc>
          <w:tcPr>
            <w:tcW w:w="7720" w:type="dxa"/>
            <w:vAlign w:val="bottom"/>
          </w:tcPr>
          <w:p>
            <w:pPr>
              <w:ind w:left="380"/>
              <w:spacing w:after="0"/>
              <w:rPr>
                <w:sz w:val="20"/>
                <w:szCs w:val="20"/>
                <w:color w:val="auto"/>
              </w:rPr>
            </w:pPr>
            <w:r>
              <w:rPr>
                <w:rFonts w:ascii="Arial" w:cs="Arial" w:eastAsia="Arial" w:hAnsi="Arial"/>
                <w:sz w:val="18"/>
                <w:szCs w:val="18"/>
                <w:color w:val="auto"/>
              </w:rPr>
              <w:t>Dealer</w:t>
            </w:r>
          </w:p>
        </w:tc>
      </w:tr>
      <w:tr>
        <w:trPr>
          <w:trHeight w:val="432"/>
        </w:trPr>
        <w:tc>
          <w:tcPr>
            <w:tcW w:w="2960" w:type="dxa"/>
            <w:vAlign w:val="bottom"/>
            <w:gridSpan w:val="4"/>
          </w:tcPr>
          <w:p>
            <w:pPr>
              <w:spacing w:after="0"/>
              <w:rPr>
                <w:sz w:val="20"/>
                <w:szCs w:val="20"/>
                <w:color w:val="auto"/>
              </w:rPr>
            </w:pPr>
            <w:r>
              <w:rPr>
                <w:rFonts w:ascii="Arial" w:cs="Arial" w:eastAsia="Arial" w:hAnsi="Arial"/>
                <w:sz w:val="18"/>
                <w:szCs w:val="18"/>
                <w:color w:val="auto"/>
              </w:rPr>
              <w:t>Determining Party:</w:t>
            </w:r>
          </w:p>
        </w:tc>
        <w:tc>
          <w:tcPr>
            <w:tcW w:w="7720" w:type="dxa"/>
            <w:vAlign w:val="bottom"/>
          </w:tcPr>
          <w:p>
            <w:pPr>
              <w:ind w:left="380"/>
              <w:spacing w:after="0"/>
              <w:rPr>
                <w:sz w:val="20"/>
                <w:szCs w:val="20"/>
                <w:color w:val="auto"/>
              </w:rPr>
            </w:pPr>
            <w:r>
              <w:rPr>
                <w:rFonts w:ascii="Arial" w:cs="Arial" w:eastAsia="Arial" w:hAnsi="Arial"/>
                <w:sz w:val="18"/>
                <w:szCs w:val="18"/>
                <w:color w:val="auto"/>
              </w:rPr>
              <w:t>Dealer</w:t>
            </w:r>
          </w:p>
        </w:tc>
      </w:tr>
      <w:tr>
        <w:trPr>
          <w:trHeight w:val="432"/>
        </w:trPr>
        <w:tc>
          <w:tcPr>
            <w:tcW w:w="2960" w:type="dxa"/>
            <w:vAlign w:val="bottom"/>
            <w:gridSpan w:val="4"/>
          </w:tcPr>
          <w:p>
            <w:pPr>
              <w:spacing w:after="0"/>
              <w:rPr>
                <w:sz w:val="20"/>
                <w:szCs w:val="20"/>
                <w:color w:val="auto"/>
              </w:rPr>
            </w:pPr>
            <w:r>
              <w:rPr>
                <w:rFonts w:ascii="Arial" w:cs="Arial" w:eastAsia="Arial" w:hAnsi="Arial"/>
                <w:sz w:val="18"/>
                <w:szCs w:val="18"/>
                <w:color w:val="auto"/>
              </w:rPr>
              <w:t>Non-Reliance:</w:t>
            </w:r>
          </w:p>
        </w:tc>
        <w:tc>
          <w:tcPr>
            <w:tcW w:w="7720" w:type="dxa"/>
            <w:vAlign w:val="bottom"/>
          </w:tcPr>
          <w:p>
            <w:pPr>
              <w:ind w:left="380"/>
              <w:spacing w:after="0"/>
              <w:rPr>
                <w:sz w:val="20"/>
                <w:szCs w:val="20"/>
                <w:color w:val="auto"/>
              </w:rPr>
            </w:pPr>
            <w:r>
              <w:rPr>
                <w:rFonts w:ascii="Arial" w:cs="Arial" w:eastAsia="Arial" w:hAnsi="Arial"/>
                <w:sz w:val="18"/>
                <w:szCs w:val="18"/>
                <w:color w:val="auto"/>
              </w:rPr>
              <w:t>Applicable</w:t>
            </w:r>
          </w:p>
        </w:tc>
      </w:tr>
      <w:tr>
        <w:trPr>
          <w:trHeight w:val="418"/>
        </w:trPr>
        <w:tc>
          <w:tcPr>
            <w:tcW w:w="2960" w:type="dxa"/>
            <w:vAlign w:val="bottom"/>
            <w:gridSpan w:val="4"/>
          </w:tcPr>
          <w:p>
            <w:pPr>
              <w:spacing w:after="0"/>
              <w:rPr>
                <w:sz w:val="20"/>
                <w:szCs w:val="20"/>
                <w:color w:val="auto"/>
              </w:rPr>
            </w:pPr>
            <w:r>
              <w:rPr>
                <w:rFonts w:ascii="Arial" w:cs="Arial" w:eastAsia="Arial" w:hAnsi="Arial"/>
                <w:sz w:val="18"/>
                <w:szCs w:val="18"/>
                <w:color w:val="auto"/>
              </w:rPr>
              <w:t>Agreements and Acknowledgments</w:t>
            </w:r>
          </w:p>
        </w:tc>
        <w:tc>
          <w:tcPr>
            <w:tcW w:w="7720" w:type="dxa"/>
            <w:vAlign w:val="bottom"/>
          </w:tcPr>
          <w:p>
            <w:pPr>
              <w:ind w:left="380"/>
              <w:spacing w:after="0"/>
              <w:rPr>
                <w:sz w:val="20"/>
                <w:szCs w:val="20"/>
                <w:color w:val="auto"/>
              </w:rPr>
            </w:pPr>
            <w:r>
              <w:rPr>
                <w:rFonts w:ascii="Arial" w:cs="Arial" w:eastAsia="Arial" w:hAnsi="Arial"/>
                <w:sz w:val="18"/>
                <w:szCs w:val="18"/>
                <w:color w:val="auto"/>
              </w:rPr>
              <w:t>Applicable</w:t>
            </w:r>
          </w:p>
        </w:tc>
      </w:tr>
      <w:tr>
        <w:trPr>
          <w:trHeight w:val="230"/>
        </w:trPr>
        <w:tc>
          <w:tcPr>
            <w:tcW w:w="2960" w:type="dxa"/>
            <w:vAlign w:val="bottom"/>
            <w:gridSpan w:val="4"/>
          </w:tcPr>
          <w:p>
            <w:pPr>
              <w:spacing w:after="0"/>
              <w:rPr>
                <w:sz w:val="20"/>
                <w:szCs w:val="20"/>
                <w:color w:val="auto"/>
              </w:rPr>
            </w:pPr>
            <w:r>
              <w:rPr>
                <w:rFonts w:ascii="Arial" w:cs="Arial" w:eastAsia="Arial" w:hAnsi="Arial"/>
                <w:sz w:val="18"/>
                <w:szCs w:val="18"/>
                <w:color w:val="auto"/>
              </w:rPr>
              <w:t>Regarding Hedging Activities:</w:t>
            </w:r>
          </w:p>
        </w:tc>
        <w:tc>
          <w:tcPr>
            <w:tcW w:w="7720" w:type="dxa"/>
            <w:vAlign w:val="bottom"/>
          </w:tcPr>
          <w:p>
            <w:pPr>
              <w:spacing w:after="0"/>
              <w:rPr>
                <w:sz w:val="20"/>
                <w:szCs w:val="20"/>
                <w:color w:val="auto"/>
              </w:rPr>
            </w:pPr>
          </w:p>
        </w:tc>
      </w:tr>
      <w:tr>
        <w:trPr>
          <w:trHeight w:val="432"/>
        </w:trPr>
        <w:tc>
          <w:tcPr>
            <w:tcW w:w="2960" w:type="dxa"/>
            <w:vAlign w:val="bottom"/>
            <w:gridSpan w:val="4"/>
          </w:tcPr>
          <w:p>
            <w:pPr>
              <w:spacing w:after="0"/>
              <w:rPr>
                <w:sz w:val="20"/>
                <w:szCs w:val="20"/>
                <w:color w:val="auto"/>
              </w:rPr>
            </w:pPr>
            <w:r>
              <w:rPr>
                <w:rFonts w:ascii="Arial" w:cs="Arial" w:eastAsia="Arial" w:hAnsi="Arial"/>
                <w:sz w:val="18"/>
                <w:szCs w:val="18"/>
                <w:color w:val="auto"/>
              </w:rPr>
              <w:t>Additional Acknowledgments:</w:t>
            </w:r>
          </w:p>
        </w:tc>
        <w:tc>
          <w:tcPr>
            <w:tcW w:w="7720" w:type="dxa"/>
            <w:vAlign w:val="bottom"/>
          </w:tcPr>
          <w:p>
            <w:pPr>
              <w:ind w:left="380"/>
              <w:spacing w:after="0"/>
              <w:rPr>
                <w:sz w:val="20"/>
                <w:szCs w:val="20"/>
                <w:color w:val="auto"/>
              </w:rPr>
            </w:pPr>
            <w:r>
              <w:rPr>
                <w:rFonts w:ascii="Arial" w:cs="Arial" w:eastAsia="Arial" w:hAnsi="Arial"/>
                <w:sz w:val="18"/>
                <w:szCs w:val="18"/>
                <w:color w:val="auto"/>
              </w:rPr>
              <w:t>Applicable</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2640" w:type="dxa"/>
            <w:vAlign w:val="bottom"/>
            <w:gridSpan w:val="3"/>
          </w:tcPr>
          <w:p>
            <w:pPr>
              <w:spacing w:after="0"/>
              <w:rPr>
                <w:sz w:val="20"/>
                <w:szCs w:val="20"/>
                <w:color w:val="auto"/>
              </w:rPr>
            </w:pPr>
            <w:r>
              <w:rPr>
                <w:rFonts w:ascii="Arial" w:cs="Arial" w:eastAsia="Arial" w:hAnsi="Arial"/>
                <w:sz w:val="18"/>
                <w:szCs w:val="18"/>
                <w:color w:val="auto"/>
              </w:rPr>
              <w:t>Calculation Agent:</w:t>
            </w:r>
          </w:p>
        </w:tc>
        <w:tc>
          <w:tcPr>
            <w:tcW w:w="7720" w:type="dxa"/>
            <w:vAlign w:val="bottom"/>
          </w:tcPr>
          <w:p>
            <w:pPr>
              <w:ind w:left="380"/>
              <w:spacing w:after="0"/>
              <w:rPr>
                <w:sz w:val="20"/>
                <w:szCs w:val="20"/>
                <w:color w:val="auto"/>
              </w:rPr>
            </w:pPr>
            <w:r>
              <w:rPr>
                <w:rFonts w:ascii="Arial" w:cs="Arial" w:eastAsia="Arial" w:hAnsi="Arial"/>
                <w:sz w:val="18"/>
                <w:szCs w:val="18"/>
                <w:color w:val="auto"/>
              </w:rPr>
              <w:t>Dealer.</w:t>
            </w: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Account Details:</w:t>
            </w:r>
          </w:p>
        </w:tc>
        <w:tc>
          <w:tcPr>
            <w:tcW w:w="132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53"/>
        </w:trPr>
        <w:tc>
          <w:tcPr>
            <w:tcW w:w="3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Dealer Payment Instructions:</w:t>
            </w:r>
          </w:p>
        </w:tc>
        <w:tc>
          <w:tcPr>
            <w:tcW w:w="7720" w:type="dxa"/>
            <w:vAlign w:val="bottom"/>
          </w:tcPr>
          <w:p>
            <w:pPr>
              <w:spacing w:after="0"/>
              <w:rPr>
                <w:sz w:val="24"/>
                <w:szCs w:val="24"/>
                <w:color w:val="auto"/>
              </w:rPr>
            </w:pPr>
          </w:p>
        </w:tc>
      </w:tr>
    </w:tbl>
    <w:p>
      <w:pPr>
        <w:spacing w:after="0" w:line="20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Bank: Bank of New York</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ABA#: 021000018</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A/C#: 8661062712</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Acct Name — BMO Nesbitt Burns</w:t>
      </w:r>
    </w:p>
    <w:p>
      <w:pPr>
        <w:spacing w:after="0" w:line="211" w:lineRule="exact"/>
        <w:rPr>
          <w:sz w:val="20"/>
          <w:szCs w:val="20"/>
          <w:color w:val="auto"/>
        </w:rPr>
      </w:pPr>
    </w:p>
    <w:p>
      <w:pPr>
        <w:ind w:left="324"/>
        <w:spacing w:after="0"/>
        <w:rPr>
          <w:sz w:val="20"/>
          <w:szCs w:val="20"/>
          <w:color w:val="auto"/>
        </w:rPr>
      </w:pPr>
      <w:r>
        <w:rPr>
          <w:rFonts w:ascii="Arial" w:cs="Arial" w:eastAsia="Arial" w:hAnsi="Arial"/>
          <w:sz w:val="18"/>
          <w:szCs w:val="18"/>
          <w:color w:val="auto"/>
        </w:rPr>
        <w:t>Counterparty Payment Instructions: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To be provided by Counterparty.</w:t>
      </w:r>
    </w:p>
    <w:p>
      <w:pPr>
        <w:spacing w:after="0" w:line="225" w:lineRule="exact"/>
        <w:rPr>
          <w:sz w:val="20"/>
          <w:szCs w:val="20"/>
          <w:color w:val="auto"/>
        </w:rPr>
      </w:pPr>
    </w:p>
    <w:p>
      <w:pPr>
        <w:ind w:left="324" w:hanging="324"/>
        <w:spacing w:after="0"/>
        <w:tabs>
          <w:tab w:leader="none" w:pos="32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4" w:right="220"/>
        <w:spacing w:after="0" w:line="277" w:lineRule="auto"/>
        <w:rPr>
          <w:rFonts w:ascii="Arial" w:cs="Arial" w:eastAsia="Arial" w:hAnsi="Arial"/>
          <w:sz w:val="18"/>
          <w:szCs w:val="18"/>
          <w:color w:val="auto"/>
        </w:rPr>
      </w:pPr>
      <w:r>
        <w:rPr>
          <w:rFonts w:ascii="Arial" w:cs="Arial" w:eastAsia="Arial" w:hAnsi="Arial"/>
          <w:sz w:val="18"/>
          <w:szCs w:val="18"/>
          <w:color w:val="auto"/>
        </w:rPr>
        <w:t>Dealer is a Multibranch Party and for purposes of this Confirmation and each Transaction, may act through its London, Chicago and Toronto Offices.</w:t>
      </w:r>
    </w:p>
    <w:p>
      <w:pPr>
        <w:spacing w:after="0" w:line="170"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The Office of Counterparty for the Transaction is: Inapplicable, Counterparty is not a Multibranch Party.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sz w:val="20"/>
          <w:szCs w:val="20"/>
          <w:color w:val="auto"/>
        </w:rPr>
      </w:pPr>
    </w:p>
    <w:p>
      <w:pPr>
        <w:ind w:left="644" w:hanging="644"/>
        <w:spacing w:after="0"/>
        <w:tabs>
          <w:tab w:leader="none" w:pos="64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225"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3" w:lineRule="exact"/>
        <w:rPr>
          <w:rFonts w:ascii="Arial" w:cs="Arial" w:eastAsia="Arial" w:hAnsi="Arial"/>
          <w:sz w:val="18"/>
          <w:szCs w:val="18"/>
          <w:color w:val="auto"/>
        </w:rPr>
      </w:pPr>
    </w:p>
    <w:p>
      <w:pPr>
        <w:ind w:left="644" w:right="7520"/>
        <w:spacing w:after="0" w:line="302" w:lineRule="auto"/>
        <w:rPr>
          <w:rFonts w:ascii="Arial" w:cs="Arial" w:eastAsia="Arial" w:hAnsi="Arial"/>
          <w:sz w:val="18"/>
          <w:szCs w:val="18"/>
          <w:color w:val="auto"/>
        </w:rPr>
      </w:pPr>
      <w:r>
        <w:rPr>
          <w:rFonts w:ascii="Arial" w:cs="Arial" w:eastAsia="Arial" w:hAnsi="Arial"/>
          <w:sz w:val="16"/>
          <w:szCs w:val="16"/>
          <w:color w:val="auto"/>
        </w:rPr>
        <w:t>13200 Pioneer Trail, Suite 150 Eden Prarie, MN 55347 Attention: Bert Jameson, Treasurer</w:t>
      </w:r>
    </w:p>
    <w:p>
      <w:pPr>
        <w:spacing w:after="0" w:line="155" w:lineRule="exact"/>
        <w:rPr>
          <w:rFonts w:ascii="Arial" w:cs="Arial" w:eastAsia="Arial" w:hAnsi="Arial"/>
          <w:sz w:val="18"/>
          <w:szCs w:val="18"/>
          <w:color w:val="auto"/>
        </w:rPr>
      </w:pPr>
    </w:p>
    <w:p>
      <w:pPr>
        <w:ind w:left="664" w:hanging="664"/>
        <w:spacing w:after="0"/>
        <w:tabs>
          <w:tab w:leader="none" w:pos="66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ectPr>
          <w:pgSz w:w="11900" w:h="16838" w:orient="portrait"/>
          <w:cols w:equalWidth="0" w:num="1">
            <w:col w:w="10684"/>
          </w:cols>
          <w:pgMar w:left="896" w:top="341" w:right="319" w:bottom="1440" w:gutter="0" w:footer="0" w:header="0"/>
        </w:sectPr>
      </w:pP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644"/>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55 Bloor Street West, 18</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M4W 1A5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Manager, Derivatives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(416) 552-7904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552-4177</w:t>
      </w:r>
    </w:p>
    <w:p>
      <w:pPr>
        <w:spacing w:after="0" w:line="200" w:lineRule="exact"/>
        <w:rPr>
          <w:sz w:val="20"/>
          <w:szCs w:val="20"/>
          <w:color w:val="auto"/>
        </w:rPr>
      </w:pPr>
    </w:p>
    <w:p>
      <w:pPr>
        <w:sectPr>
          <w:pgSz w:w="11900" w:h="16838" w:orient="portrait"/>
          <w:cols w:equalWidth="0" w:num="2">
            <w:col w:w="1824" w:space="720"/>
            <w:col w:w="8140"/>
          </w:cols>
          <w:pgMar w:left="896" w:top="341" w:right="319" w:bottom="1440" w:gutter="0" w:footer="0" w:header="0"/>
          <w:type w:val="continuous"/>
        </w:sectPr>
      </w:pPr>
    </w:p>
    <w:p>
      <w:pPr>
        <w:spacing w:after="0" w:line="11"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0684"/>
          </w:cols>
          <w:pgMar w:left="896" w:top="341" w:right="319" w:bottom="1440" w:gutter="0" w:footer="0" w:header="0"/>
          <w:type w:val="continuous"/>
        </w:sectPr>
      </w:pPr>
    </w:p>
    <w:p>
      <w:pPr>
        <w:spacing w:after="0" w:line="248"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King Street West, 20</w:t>
      </w:r>
      <w:r>
        <w:rPr>
          <w:rFonts w:ascii="Arial" w:cs="Arial" w:eastAsia="Arial" w:hAnsi="Arial"/>
          <w:sz w:val="10"/>
          <w:szCs w:val="10"/>
          <w:color w:val="auto"/>
        </w:rPr>
        <w:t>th</w:t>
      </w:r>
      <w:r>
        <w:rPr>
          <w:rFonts w:ascii="Arial" w:cs="Arial" w:eastAsia="Arial" w:hAnsi="Arial"/>
          <w:sz w:val="16"/>
          <w:szCs w:val="16"/>
          <w:color w:val="auto"/>
        </w:rPr>
        <w:t xml:space="preserve"> Floor</w:t>
      </w:r>
    </w:p>
    <w:p>
      <w:pPr>
        <w:spacing w:after="0" w:line="200" w:lineRule="exact"/>
        <w:rPr>
          <w:sz w:val="20"/>
          <w:szCs w:val="20"/>
          <w:color w:val="auto"/>
        </w:rPr>
      </w:pPr>
    </w:p>
    <w:p>
      <w:pPr>
        <w:sectPr>
          <w:pgSz w:w="11900" w:h="16838" w:orient="portrait"/>
          <w:cols w:equalWidth="0" w:num="2">
            <w:col w:w="1824" w:space="720"/>
            <w:col w:w="8140"/>
          </w:cols>
          <w:pgMar w:left="896" w:top="341" w:right="319" w:bottom="1440" w:gutter="0" w:footer="0" w:header="0"/>
          <w:type w:val="continuous"/>
        </w:sectPr>
      </w:pPr>
    </w:p>
    <w:p>
      <w:pPr>
        <w:spacing w:after="0" w:line="34"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95885</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type w:val="continuous"/>
        </w:sectPr>
      </w:pPr>
    </w:p>
    <w:bookmarkStart w:id="244" w:name="page245"/>
    <w:bookmarkEnd w:id="244"/>
    <w:p>
      <w:pPr>
        <w:spacing w:after="0" w:line="200" w:lineRule="exact"/>
        <w:rPr>
          <w:sz w:val="20"/>
          <w:szCs w:val="20"/>
          <w:color w:val="auto"/>
        </w:rPr>
      </w:pP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Toronto, Ontario M5X 1A1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Associate General Counsel &amp; Managing Director, Derivatives Legal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(416) 956-2318</w:t>
      </w:r>
    </w:p>
    <w:p>
      <w:pPr>
        <w:spacing w:after="0" w:line="200" w:lineRule="exact"/>
        <w:rPr>
          <w:sz w:val="20"/>
          <w:szCs w:val="20"/>
          <w:color w:val="auto"/>
        </w:rPr>
      </w:pPr>
    </w:p>
    <w:p>
      <w:pPr>
        <w:sectPr>
          <w:pgSz w:w="11900" w:h="16838" w:orient="portrait"/>
          <w:cols w:equalWidth="0" w:num="2">
            <w:col w:w="2460" w:space="720"/>
            <w:col w:w="8220"/>
          </w:cols>
          <w:pgMar w:left="260" w:top="342" w:right="239" w:bottom="1440" w:gutter="0" w:footer="0" w:header="0"/>
        </w:sectPr>
      </w:pPr>
    </w:p>
    <w:p>
      <w:pPr>
        <w:spacing w:after="0" w:line="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And a copy to:</w:t>
      </w:r>
    </w:p>
    <w:p>
      <w:pPr>
        <w:sectPr>
          <w:pgSz w:w="11900" w:h="16838" w:orient="portrait"/>
          <w:cols w:equalWidth="0" w:num="1">
            <w:col w:w="11400"/>
          </w:cols>
          <w:pgMar w:left="260" w:top="342" w:right="239" w:bottom="1440" w:gutter="0" w:footer="0" w:header="0"/>
          <w:type w:val="continuous"/>
        </w:sectPr>
      </w:pP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BMO Capital Markets Corp.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 Times Square 25</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Brian Riley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605-1414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885-4165</w:t>
      </w:r>
    </w:p>
    <w:p>
      <w:pPr>
        <w:spacing w:after="0" w:line="200" w:lineRule="exact"/>
        <w:rPr>
          <w:sz w:val="20"/>
          <w:szCs w:val="20"/>
          <w:color w:val="auto"/>
        </w:rPr>
      </w:pPr>
    </w:p>
    <w:p>
      <w:pPr>
        <w:sectPr>
          <w:pgSz w:w="11900" w:h="16838" w:orient="portrait"/>
          <w:cols w:equalWidth="0" w:num="2">
            <w:col w:w="2460" w:space="720"/>
            <w:col w:w="8220"/>
          </w:cols>
          <w:pgMar w:left="260" w:top="342" w:right="239" w:bottom="1440" w:gutter="0" w:footer="0" w:header="0"/>
          <w:type w:val="continuous"/>
        </w:sectPr>
      </w:pPr>
    </w:p>
    <w:p>
      <w:pPr>
        <w:spacing w:after="0" w:line="11" w:lineRule="exact"/>
        <w:rPr>
          <w:sz w:val="20"/>
          <w:szCs w:val="20"/>
          <w:color w:val="auto"/>
        </w:rPr>
      </w:pPr>
    </w:p>
    <w:p>
      <w:pPr>
        <w:ind w:left="960" w:hanging="324"/>
        <w:spacing w:after="0"/>
        <w:tabs>
          <w:tab w:leader="none" w:pos="96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left="-20" w:right="500" w:firstLine="656"/>
        <w:spacing w:after="0" w:line="277" w:lineRule="auto"/>
        <w:tabs>
          <w:tab w:leader="none" w:pos="127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40" w:right="40" w:firstLine="645"/>
        <w:spacing w:after="0" w:line="255" w:lineRule="auto"/>
        <w:tabs>
          <w:tab w:leader="none" w:pos="195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jc w:val="both"/>
        <w:ind w:left="640" w:right="20" w:firstLine="645"/>
        <w:spacing w:after="0" w:line="279" w:lineRule="auto"/>
        <w:tabs>
          <w:tab w:leader="none" w:pos="1967"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 On the Trade Date, the Shares or securities that are convertible into, or exchangeable or exercisable for Shares, are not subject to a “restricted period,” as such term is defined in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spacing w:after="0" w:line="171" w:lineRule="exact"/>
        <w:rPr>
          <w:rFonts w:ascii="Arial" w:cs="Arial" w:eastAsia="Arial" w:hAnsi="Arial"/>
          <w:sz w:val="17"/>
          <w:szCs w:val="17"/>
          <w:color w:val="auto"/>
        </w:rPr>
      </w:pPr>
    </w:p>
    <w:p>
      <w:pPr>
        <w:ind w:left="640" w:firstLine="645"/>
        <w:spacing w:after="0" w:line="257" w:lineRule="auto"/>
        <w:tabs>
          <w:tab w:leader="none" w:pos="197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188" w:lineRule="exact"/>
        <w:rPr>
          <w:rFonts w:ascii="Arial" w:cs="Arial" w:eastAsia="Arial" w:hAnsi="Arial"/>
          <w:sz w:val="18"/>
          <w:szCs w:val="18"/>
          <w:color w:val="auto"/>
        </w:rPr>
      </w:pPr>
    </w:p>
    <w:p>
      <w:pPr>
        <w:ind w:left="640" w:right="320" w:firstLine="645"/>
        <w:spacing w:after="0" w:line="277" w:lineRule="auto"/>
        <w:tabs>
          <w:tab w:leader="none" w:pos="195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40" w:right="240" w:firstLine="645"/>
        <w:spacing w:after="0" w:line="297" w:lineRule="auto"/>
        <w:tabs>
          <w:tab w:leader="none" w:pos="1944" w:val="left"/>
        </w:tabs>
        <w:numPr>
          <w:ilvl w:val="1"/>
          <w:numId w:val="262"/>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490.1110 of the Iowa Business Corporation Act as an “interested stockholder”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2" w:right="239" w:bottom="1440" w:gutter="0" w:footer="0" w:header="0"/>
          <w:type w:val="continuous"/>
        </w:sectPr>
      </w:pPr>
    </w:p>
    <w:bookmarkStart w:id="245" w:name="page246"/>
    <w:bookmarkEnd w:id="245"/>
    <w:p>
      <w:pPr>
        <w:ind w:left="640" w:right="40" w:firstLine="645"/>
        <w:spacing w:after="0" w:line="264" w:lineRule="auto"/>
        <w:tabs>
          <w:tab w:leader="none" w:pos="195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40" w:right="740" w:firstLine="645"/>
        <w:spacing w:after="0" w:line="277" w:lineRule="auto"/>
        <w:tabs>
          <w:tab w:leader="none" w:pos="196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40" w:right="300" w:firstLine="645"/>
        <w:spacing w:after="0" w:line="286" w:lineRule="auto"/>
        <w:tabs>
          <w:tab w:leader="none" w:pos="197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On each of the Trade Date and the Premium Payment Date, Counterparty is not “insolvent” (as such term is defined under Section 101(32) of the U.S. Bankruptcy Code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and Counterparty would be able to purchase the Number of Shares in compliance with the laws of the jurisdiction of Counterparty’s incorporation.</w:t>
      </w:r>
    </w:p>
    <w:p>
      <w:pPr>
        <w:spacing w:after="0" w:line="165" w:lineRule="exact"/>
        <w:rPr>
          <w:rFonts w:ascii="Arial" w:cs="Arial" w:eastAsia="Arial" w:hAnsi="Arial"/>
          <w:sz w:val="17"/>
          <w:szCs w:val="17"/>
          <w:color w:val="auto"/>
        </w:rPr>
      </w:pPr>
    </w:p>
    <w:p>
      <w:pPr>
        <w:jc w:val="both"/>
        <w:ind w:left="640" w:right="80" w:firstLine="645"/>
        <w:spacing w:after="0" w:line="259" w:lineRule="auto"/>
        <w:tabs>
          <w:tab w:leader="none" w:pos="195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representations and warranties of Counterparty set forth in Section 3 of the Agreement and Section 1 of the Purchase Agreement, dated as of October 29, 2019, between Goldman Sachs &amp; Co. LLC and BMO Capital Markets Corp. as the Representatives and Counterparty (the “</w:t>
      </w:r>
      <w:r>
        <w:rPr>
          <w:rFonts w:ascii="Arial" w:cs="Arial" w:eastAsia="Arial" w:hAnsi="Arial"/>
          <w:sz w:val="18"/>
          <w:szCs w:val="18"/>
          <w:b w:val="1"/>
          <w:bCs w:val="1"/>
          <w:color w:val="auto"/>
        </w:rPr>
        <w:t>Purchase Agreement</w:t>
      </w:r>
      <w:r>
        <w:rPr>
          <w:rFonts w:ascii="Arial" w:cs="Arial" w:eastAsia="Arial" w:hAnsi="Arial"/>
          <w:sz w:val="18"/>
          <w:szCs w:val="18"/>
          <w:color w:val="auto"/>
        </w:rPr>
        <w:t>”) are true and correct as of the Trade Date and the Effective Date and are hereby deemed to be repeated to Dealer as if set forth herein.</w:t>
      </w:r>
    </w:p>
    <w:p>
      <w:pPr>
        <w:spacing w:after="0" w:line="186" w:lineRule="exact"/>
        <w:rPr>
          <w:rFonts w:ascii="Arial" w:cs="Arial" w:eastAsia="Arial" w:hAnsi="Arial"/>
          <w:sz w:val="18"/>
          <w:szCs w:val="18"/>
          <w:color w:val="auto"/>
        </w:rPr>
      </w:pPr>
    </w:p>
    <w:p>
      <w:pPr>
        <w:ind w:left="640" w:right="100" w:firstLine="645"/>
        <w:spacing w:after="0" w:line="264" w:lineRule="auto"/>
        <w:tabs>
          <w:tab w:leader="none" w:pos="19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81" w:lineRule="exact"/>
        <w:rPr>
          <w:rFonts w:ascii="Arial" w:cs="Arial" w:eastAsia="Arial" w:hAnsi="Arial"/>
          <w:sz w:val="18"/>
          <w:szCs w:val="18"/>
          <w:color w:val="auto"/>
        </w:rPr>
      </w:pPr>
    </w:p>
    <w:p>
      <w:pPr>
        <w:jc w:val="both"/>
        <w:ind w:left="640" w:right="180" w:firstLine="645"/>
        <w:spacing w:after="0" w:line="286" w:lineRule="auto"/>
        <w:tabs>
          <w:tab w:leader="none" w:pos="1953" w:val="left"/>
        </w:tabs>
        <w:numPr>
          <w:ilvl w:val="0"/>
          <w:numId w:val="263"/>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w:t>
      </w:r>
    </w:p>
    <w:p>
      <w:pPr>
        <w:spacing w:after="0" w:line="2" w:lineRule="exact"/>
        <w:rPr>
          <w:sz w:val="20"/>
          <w:szCs w:val="20"/>
          <w:color w:val="auto"/>
        </w:rPr>
      </w:pPr>
    </w:p>
    <w:p>
      <w:pPr>
        <w:ind w:left="640" w:right="420" w:hanging="4"/>
        <w:spacing w:after="0" w:line="261" w:lineRule="auto"/>
        <w:tabs>
          <w:tab w:leader="none" w:pos="92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has total assets of at least $50 million. Counterparty will notify Dealer if the immediately preceding statement contained in this Section 7(a) (xi) ceases to be true.</w:t>
      </w:r>
    </w:p>
    <w:p>
      <w:pPr>
        <w:spacing w:after="0" w:line="183" w:lineRule="exact"/>
        <w:rPr>
          <w:rFonts w:ascii="Arial" w:cs="Arial" w:eastAsia="Arial" w:hAnsi="Arial"/>
          <w:sz w:val="18"/>
          <w:szCs w:val="18"/>
          <w:color w:val="auto"/>
        </w:rPr>
      </w:pPr>
    </w:p>
    <w:p>
      <w:pPr>
        <w:ind w:left="640" w:right="40" w:firstLine="645"/>
        <w:spacing w:after="0" w:line="272" w:lineRule="auto"/>
        <w:tabs>
          <w:tab w:leader="none" w:pos="1963" w:val="left"/>
        </w:tabs>
        <w:numPr>
          <w:ilvl w:val="1"/>
          <w:numId w:val="264"/>
        </w:numPr>
        <w:rPr>
          <w:rFonts w:ascii="Arial" w:cs="Arial" w:eastAsia="Arial" w:hAnsi="Arial"/>
          <w:sz w:val="17"/>
          <w:szCs w:val="17"/>
          <w:color w:val="auto"/>
        </w:rPr>
      </w:pPr>
      <w:r>
        <w:rPr>
          <w:rFonts w:ascii="Arial" w:cs="Arial" w:eastAsia="Arial" w:hAnsi="Arial"/>
          <w:sz w:val="17"/>
          <w:szCs w:val="17"/>
          <w:color w:val="auto"/>
        </w:rPr>
        <w:t>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31, 2019,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78" w:lineRule="exact"/>
        <w:rPr>
          <w:sz w:val="20"/>
          <w:szCs w:val="20"/>
          <w:color w:val="auto"/>
        </w:rPr>
      </w:pPr>
    </w:p>
    <w:p>
      <w:pPr>
        <w:ind w:left="-20" w:firstLine="656"/>
        <w:spacing w:after="0" w:line="264" w:lineRule="auto"/>
        <w:tabs>
          <w:tab w:leader="none" w:pos="128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left="-20" w:right="60" w:firstLine="656"/>
        <w:spacing w:after="0" w:line="293" w:lineRule="auto"/>
        <w:tabs>
          <w:tab w:leader="none" w:pos="128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46" w:name="page247"/>
    <w:bookmarkEnd w:id="246"/>
    <w:p>
      <w:pPr>
        <w:spacing w:after="0" w:line="257" w:lineRule="auto"/>
        <w:rPr>
          <w:sz w:val="20"/>
          <w:szCs w:val="20"/>
          <w:color w:val="auto"/>
        </w:rPr>
      </w:pPr>
      <w:r>
        <w:rPr>
          <w:rFonts w:ascii="Arial" w:cs="Arial" w:eastAsia="Arial" w:hAnsi="Arial"/>
          <w:sz w:val="18"/>
          <w:szCs w:val="18"/>
          <w:color w:val="auto"/>
        </w:rPr>
        <w:t>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88" w:lineRule="exact"/>
        <w:rPr>
          <w:sz w:val="20"/>
          <w:szCs w:val="20"/>
          <w:color w:val="auto"/>
        </w:rPr>
      </w:pPr>
    </w:p>
    <w:p>
      <w:pPr>
        <w:ind w:right="140" w:firstLine="656"/>
        <w:spacing w:after="0" w:line="273" w:lineRule="auto"/>
        <w:tabs>
          <w:tab w:leader="none" w:pos="130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178" w:lineRule="exact"/>
        <w:rPr>
          <w:rFonts w:ascii="Arial" w:cs="Arial" w:eastAsia="Arial" w:hAnsi="Arial"/>
          <w:sz w:val="17"/>
          <w:szCs w:val="17"/>
          <w:color w:val="auto"/>
        </w:rPr>
      </w:pPr>
    </w:p>
    <w:p>
      <w:pPr>
        <w:ind w:right="60" w:firstLine="656"/>
        <w:spacing w:after="0" w:line="259" w:lineRule="auto"/>
        <w:tabs>
          <w:tab w:leader="none" w:pos="130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spacing w:after="0" w:line="186" w:lineRule="exact"/>
        <w:rPr>
          <w:rFonts w:ascii="Arial" w:cs="Arial" w:eastAsia="Arial" w:hAnsi="Arial"/>
          <w:sz w:val="18"/>
          <w:szCs w:val="18"/>
          <w:color w:val="auto"/>
        </w:rPr>
      </w:pPr>
    </w:p>
    <w:p>
      <w:pPr>
        <w:ind w:right="20" w:firstLine="656"/>
        <w:spacing w:after="0" w:line="312" w:lineRule="auto"/>
        <w:tabs>
          <w:tab w:leader="none" w:pos="130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142" w:lineRule="exact"/>
        <w:rPr>
          <w:rFonts w:ascii="Arial" w:cs="Arial" w:eastAsia="Arial" w:hAnsi="Arial"/>
          <w:sz w:val="16"/>
          <w:szCs w:val="16"/>
          <w:color w:val="auto"/>
        </w:rPr>
      </w:pPr>
    </w:p>
    <w:p>
      <w:pPr>
        <w:ind w:right="140" w:firstLine="656"/>
        <w:spacing w:after="0" w:line="347" w:lineRule="auto"/>
        <w:tabs>
          <w:tab w:leader="none" w:pos="131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Counterparty represents and warrants that 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220" w:firstLine="656"/>
        <w:spacing w:after="0" w:line="277" w:lineRule="auto"/>
        <w:tabs>
          <w:tab w:leader="none" w:pos="130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rFonts w:ascii="Arial" w:cs="Arial" w:eastAsia="Arial" w:hAnsi="Arial"/>
          <w:sz w:val="18"/>
          <w:szCs w:val="18"/>
          <w:color w:val="auto"/>
        </w:rPr>
      </w:pPr>
    </w:p>
    <w:p>
      <w:pPr>
        <w:ind w:right="20" w:firstLine="656"/>
        <w:spacing w:after="0" w:line="279" w:lineRule="auto"/>
        <w:tabs>
          <w:tab w:leader="none" w:pos="1318" w:val="left"/>
        </w:tabs>
        <w:numPr>
          <w:ilvl w:val="0"/>
          <w:numId w:val="266"/>
        </w:numPr>
        <w:rPr>
          <w:rFonts w:ascii="Arial" w:cs="Arial" w:eastAsia="Arial" w:hAnsi="Arial"/>
          <w:sz w:val="17"/>
          <w:szCs w:val="17"/>
          <w:color w:val="auto"/>
        </w:rPr>
      </w:pPr>
      <w:r>
        <w:rPr>
          <w:rFonts w:ascii="Arial" w:cs="Arial" w:eastAsia="Arial" w:hAnsi="Arial"/>
          <w:sz w:val="17"/>
          <w:szCs w:val="17"/>
          <w:color w:val="auto"/>
        </w:rPr>
        <w:t>Counterparty represents and warrants that the assets used in the Transaction (i) are not assets of any “plan” (as such term is defined in Section 4975 of the U.S. Internal Revenue Code (the “</w:t>
      </w:r>
      <w:r>
        <w:rPr>
          <w:rFonts w:ascii="Arial" w:cs="Arial" w:eastAsia="Arial" w:hAnsi="Arial"/>
          <w:sz w:val="17"/>
          <w:szCs w:val="17"/>
          <w:b w:val="1"/>
          <w:bCs w:val="1"/>
          <w:color w:val="auto"/>
        </w:rPr>
        <w:t>Code</w:t>
      </w:r>
      <w:r>
        <w:rPr>
          <w:rFonts w:ascii="Arial" w:cs="Arial" w:eastAsia="Arial" w:hAnsi="Arial"/>
          <w:sz w:val="17"/>
          <w:szCs w:val="17"/>
          <w:color w:val="auto"/>
        </w:rPr>
        <w:t>”)) subject to Section 4975 of the Code or any “employee benefit plan” (as such term is defined in Section 3(3) of the U.S.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subject to Title I of ERISA, and (ii) do not constitute “plan assets” within the meaning of Department of Labor Regulation 2510.3-101, 29 CFR Section 2510-3-101.</w:t>
      </w:r>
    </w:p>
    <w:p>
      <w:pPr>
        <w:spacing w:after="0" w:line="171" w:lineRule="exact"/>
        <w:rPr>
          <w:rFonts w:ascii="Arial" w:cs="Arial" w:eastAsia="Arial" w:hAnsi="Arial"/>
          <w:sz w:val="17"/>
          <w:szCs w:val="17"/>
          <w:color w:val="auto"/>
        </w:rPr>
      </w:pPr>
    </w:p>
    <w:p>
      <w:pPr>
        <w:ind w:right="20" w:firstLine="656"/>
        <w:spacing w:after="0" w:line="257" w:lineRule="auto"/>
        <w:tabs>
          <w:tab w:leader="none" w:pos="130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On the Trade Date, neither Counterparty nor any “affiliate” or “affiliated purchaser” (each as defined in Rule 10b-18 under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8" w:lineRule="exact"/>
        <w:rPr>
          <w:sz w:val="20"/>
          <w:szCs w:val="20"/>
          <w:color w:val="auto"/>
        </w:rPr>
      </w:pPr>
    </w:p>
    <w:p>
      <w:pPr>
        <w:ind w:left="880" w:hanging="224"/>
        <w:spacing w:after="0"/>
        <w:tabs>
          <w:tab w:leader="none" w:pos="88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59" w:lineRule="auto"/>
        <w:tabs>
          <w:tab w:leader="none" w:pos="1294"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Right to Extend</w:t>
      </w:r>
      <w:r>
        <w:rPr>
          <w:rFonts w:ascii="Arial" w:cs="Arial" w:eastAsia="Arial" w:hAnsi="Arial"/>
          <w:sz w:val="18"/>
          <w:szCs w:val="18"/>
          <w:color w:val="auto"/>
        </w:rPr>
        <w:t>. Dealer may postpone or add, in whole or in part, any Exercise Date or Settlement Date or any other date of valuation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7" w:name="page248"/>
    <w:bookmarkEnd w:id="247"/>
    <w:p>
      <w:pPr>
        <w:ind w:right="60"/>
        <w:spacing w:after="0" w:line="257" w:lineRule="auto"/>
        <w:rPr>
          <w:sz w:val="20"/>
          <w:szCs w:val="20"/>
          <w:color w:val="auto"/>
        </w:rPr>
      </w:pPr>
      <w:r>
        <w:rPr>
          <w:rFonts w:ascii="Arial" w:cs="Arial" w:eastAsia="Arial" w:hAnsi="Arial"/>
          <w:sz w:val="18"/>
          <w:szCs w:val="18"/>
          <w:color w:val="auto"/>
        </w:rPr>
        <w:t>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w:t>
      </w:r>
    </w:p>
    <w:p>
      <w:pPr>
        <w:spacing w:after="0" w:line="188" w:lineRule="exact"/>
        <w:rPr>
          <w:sz w:val="20"/>
          <w:szCs w:val="20"/>
          <w:color w:val="auto"/>
        </w:rPr>
      </w:pPr>
    </w:p>
    <w:p>
      <w:pPr>
        <w:ind w:right="200" w:firstLine="656"/>
        <w:spacing w:after="0" w:line="257" w:lineRule="auto"/>
        <w:tabs>
          <w:tab w:leader="none" w:pos="1304"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Additional Termination Events</w:t>
      </w:r>
      <w:r>
        <w:rPr>
          <w:rFonts w:ascii="Arial" w:cs="Arial" w:eastAsia="Arial" w:hAnsi="Arial"/>
          <w:sz w:val="18"/>
          <w:szCs w:val="18"/>
          <w:color w:val="auto"/>
        </w:rPr>
        <w:t>. The occurrence of (A) an event of default with respect to Counterparty under the terms of the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set forth in Section 7.01 of the Indenture,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w:t>
      </w:r>
    </w:p>
    <w:p>
      <w:pPr>
        <w:spacing w:after="0" w:line="184"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Event</w:t>
      </w:r>
      <w:r>
        <w:rPr>
          <w:rFonts w:ascii="Arial" w:cs="Arial" w:eastAsia="Arial" w:hAnsi="Arial"/>
          <w:sz w:val="17"/>
          <w:szCs w:val="17"/>
          <w:color w:val="auto"/>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spacing w:after="0" w:line="176" w:lineRule="exact"/>
        <w:rPr>
          <w:sz w:val="20"/>
          <w:szCs w:val="20"/>
          <w:color w:val="auto"/>
        </w:rPr>
      </w:pPr>
    </w:p>
    <w:p>
      <w:pPr>
        <w:ind w:right="60" w:firstLine="697"/>
        <w:spacing w:after="0" w:line="286" w:lineRule="auto"/>
        <w:tabs>
          <w:tab w:leader="none" w:pos="1307" w:val="left"/>
        </w:tabs>
        <w:numPr>
          <w:ilvl w:val="0"/>
          <w:numId w:val="270"/>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Dealer shall owe Counterparty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pursuant to Section 6(d)(ii) of the Agreement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8500" w:type="dxa"/>
            <w:vAlign w:val="bottom"/>
          </w:tcPr>
          <w:p>
            <w:pPr>
              <w:ind w:left="240"/>
              <w:spacing w:after="0"/>
              <w:rPr>
                <w:sz w:val="20"/>
                <w:szCs w:val="20"/>
                <w:color w:val="auto"/>
              </w:rPr>
            </w:pPr>
            <w:r>
              <w:rPr>
                <w:rFonts w:ascii="Arial" w:cs="Arial" w:eastAsia="Arial" w:hAnsi="Arial"/>
                <w:sz w:val="18"/>
                <w:szCs w:val="18"/>
                <w:color w:val="auto"/>
                <w:w w:val="95"/>
              </w:rPr>
              <w:t>If applicable, means that Dealer shall deliver to Counterparty the Share Termination Delivery Property on the</w:t>
            </w:r>
          </w:p>
        </w:tc>
      </w:tr>
      <w:tr>
        <w:trPr>
          <w:trHeight w:val="212"/>
        </w:trPr>
        <w:tc>
          <w:tcPr>
            <w:tcW w:w="2960" w:type="dxa"/>
            <w:vAlign w:val="bottom"/>
          </w:tcPr>
          <w:p>
            <w:pPr>
              <w:spacing w:after="0"/>
              <w:rPr>
                <w:sz w:val="18"/>
                <w:szCs w:val="18"/>
                <w:color w:val="auto"/>
              </w:rPr>
            </w:pPr>
          </w:p>
        </w:tc>
        <w:tc>
          <w:tcPr>
            <w:tcW w:w="8500" w:type="dxa"/>
            <w:vAlign w:val="bottom"/>
          </w:tcPr>
          <w:p>
            <w:pPr>
              <w:ind w:left="240"/>
              <w:spacing w:after="0"/>
              <w:rPr>
                <w:sz w:val="20"/>
                <w:szCs w:val="20"/>
                <w:color w:val="auto"/>
              </w:rPr>
            </w:pPr>
            <w:r>
              <w:rPr>
                <w:rFonts w:ascii="Arial" w:cs="Arial" w:eastAsia="Arial" w:hAnsi="Arial"/>
                <w:sz w:val="18"/>
                <w:szCs w:val="18"/>
                <w:color w:val="auto"/>
                <w:w w:val="93"/>
              </w:rPr>
              <w:t>date on which the Payment Obligation would otherwise be due pursuant to Section 6(d)(ii) of the Agreement or</w:t>
            </w:r>
          </w:p>
        </w:tc>
      </w:tr>
      <w:tr>
        <w:trPr>
          <w:trHeight w:val="216"/>
        </w:trPr>
        <w:tc>
          <w:tcPr>
            <w:tcW w:w="2960" w:type="dxa"/>
            <w:vAlign w:val="bottom"/>
          </w:tcPr>
          <w:p>
            <w:pPr>
              <w:spacing w:after="0"/>
              <w:rPr>
                <w:sz w:val="18"/>
                <w:szCs w:val="18"/>
                <w:color w:val="auto"/>
              </w:rPr>
            </w:pPr>
          </w:p>
        </w:tc>
        <w:tc>
          <w:tcPr>
            <w:tcW w:w="8500" w:type="dxa"/>
            <w:vAlign w:val="bottom"/>
          </w:tcPr>
          <w:p>
            <w:pPr>
              <w:ind w:left="240"/>
              <w:spacing w:after="0"/>
              <w:rPr>
                <w:sz w:val="20"/>
                <w:szCs w:val="20"/>
                <w:color w:val="auto"/>
              </w:rPr>
            </w:pPr>
            <w:r>
              <w:rPr>
                <w:rFonts w:ascii="Arial" w:cs="Arial" w:eastAsia="Arial" w:hAnsi="Arial"/>
                <w:sz w:val="18"/>
                <w:szCs w:val="18"/>
                <w:color w:val="auto"/>
                <w:w w:val="93"/>
              </w:rPr>
              <w:t>such later date or dates as Dealer may commercially reasonably determine (the “</w:t>
            </w:r>
            <w:r>
              <w:rPr>
                <w:rFonts w:ascii="Arial" w:cs="Arial" w:eastAsia="Arial" w:hAnsi="Arial"/>
                <w:sz w:val="18"/>
                <w:szCs w:val="18"/>
                <w:b w:val="1"/>
                <w:bCs w:val="1"/>
                <w:color w:val="auto"/>
                <w:w w:val="93"/>
              </w:rPr>
              <w:t>Share Termination Payment</w:t>
            </w:r>
          </w:p>
        </w:tc>
      </w:tr>
      <w:tr>
        <w:trPr>
          <w:trHeight w:val="220"/>
        </w:trPr>
        <w:tc>
          <w:tcPr>
            <w:tcW w:w="2960" w:type="dxa"/>
            <w:vAlign w:val="bottom"/>
          </w:tcPr>
          <w:p>
            <w:pPr>
              <w:spacing w:after="0"/>
              <w:rPr>
                <w:sz w:val="19"/>
                <w:szCs w:val="19"/>
                <w:color w:val="auto"/>
              </w:rPr>
            </w:pPr>
          </w:p>
        </w:tc>
        <w:tc>
          <w:tcPr>
            <w:tcW w:w="8500" w:type="dxa"/>
            <w:vAlign w:val="bottom"/>
          </w:tcPr>
          <w:p>
            <w:pPr>
              <w:ind w:left="240"/>
              <w:spacing w:after="0"/>
              <w:rPr>
                <w:sz w:val="20"/>
                <w:szCs w:val="20"/>
                <w:color w:val="auto"/>
              </w:rPr>
            </w:pPr>
            <w:r>
              <w:rPr>
                <w:rFonts w:ascii="Arial" w:cs="Arial" w:eastAsia="Arial" w:hAnsi="Arial"/>
                <w:sz w:val="18"/>
                <w:szCs w:val="18"/>
                <w:b w:val="1"/>
                <w:bCs w:val="1"/>
                <w:color w:val="auto"/>
                <w:w w:val="97"/>
              </w:rPr>
              <w:t>Date</w:t>
            </w:r>
            <w:r>
              <w:rPr>
                <w:rFonts w:ascii="Arial" w:cs="Arial" w:eastAsia="Arial" w:hAnsi="Arial"/>
                <w:sz w:val="18"/>
                <w:szCs w:val="18"/>
                <w:color w:val="auto"/>
                <w:w w:val="97"/>
              </w:rPr>
              <w:t>”) taking into account commercially reasonable hedging or hedge unwind activity, in satisfaction of the</w:t>
            </w:r>
          </w:p>
        </w:tc>
      </w:tr>
      <w:tr>
        <w:trPr>
          <w:trHeight w:val="230"/>
        </w:trPr>
        <w:tc>
          <w:tcPr>
            <w:tcW w:w="2960" w:type="dxa"/>
            <w:vAlign w:val="bottom"/>
          </w:tcPr>
          <w:p>
            <w:pPr>
              <w:spacing w:after="0"/>
              <w:rPr>
                <w:sz w:val="20"/>
                <w:szCs w:val="20"/>
                <w:color w:val="auto"/>
              </w:rPr>
            </w:pPr>
          </w:p>
        </w:tc>
        <w:tc>
          <w:tcPr>
            <w:tcW w:w="8500" w:type="dxa"/>
            <w:vAlign w:val="bottom"/>
          </w:tcPr>
          <w:p>
            <w:pPr>
              <w:ind w:left="240"/>
              <w:spacing w:after="0"/>
              <w:rPr>
                <w:sz w:val="20"/>
                <w:szCs w:val="20"/>
                <w:color w:val="auto"/>
              </w:rPr>
            </w:pPr>
            <w:r>
              <w:rPr>
                <w:rFonts w:ascii="Arial" w:cs="Arial" w:eastAsia="Arial" w:hAnsi="Arial"/>
                <w:sz w:val="18"/>
                <w:szCs w:val="18"/>
                <w:color w:val="auto"/>
              </w:rPr>
              <w:t>Payment Obligation.</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w w:val="99"/>
              </w:rPr>
              <w:t>Share Termination Delivery Property:</w:t>
            </w:r>
          </w:p>
        </w:tc>
        <w:tc>
          <w:tcPr>
            <w:tcW w:w="8500" w:type="dxa"/>
            <w:vAlign w:val="bottom"/>
          </w:tcPr>
          <w:p>
            <w:pPr>
              <w:ind w:left="240"/>
              <w:spacing w:after="0"/>
              <w:rPr>
                <w:sz w:val="20"/>
                <w:szCs w:val="20"/>
                <w:color w:val="auto"/>
              </w:rPr>
            </w:pPr>
            <w:r>
              <w:rPr>
                <w:rFonts w:ascii="Arial" w:cs="Arial" w:eastAsia="Arial" w:hAnsi="Arial"/>
                <w:sz w:val="18"/>
                <w:szCs w:val="18"/>
                <w:color w:val="auto"/>
              </w:rPr>
              <w:t>A number of Share Termination Delivery Units, as calculated by the</w:t>
            </w:r>
          </w:p>
        </w:tc>
      </w:tr>
      <w:tr>
        <w:trPr>
          <w:trHeight w:val="432"/>
        </w:trPr>
        <w:tc>
          <w:tcPr>
            <w:tcW w:w="2960" w:type="dxa"/>
            <w:vAlign w:val="bottom"/>
          </w:tcPr>
          <w:p>
            <w:pPr>
              <w:spacing w:after="0"/>
              <w:rPr>
                <w:sz w:val="24"/>
                <w:szCs w:val="24"/>
                <w:color w:val="auto"/>
              </w:rPr>
            </w:pPr>
          </w:p>
        </w:tc>
        <w:tc>
          <w:tcPr>
            <w:tcW w:w="8500" w:type="dxa"/>
            <w:vAlign w:val="bottom"/>
          </w:tcPr>
          <w:p>
            <w:pPr>
              <w:ind w:left="2660"/>
              <w:spacing w:after="0"/>
              <w:rPr>
                <w:sz w:val="20"/>
                <w:szCs w:val="20"/>
                <w:color w:val="auto"/>
              </w:rPr>
            </w:pPr>
            <w:r>
              <w:rPr>
                <w:rFonts w:ascii="Arial" w:cs="Arial" w:eastAsia="Arial" w:hAnsi="Arial"/>
                <w:sz w:val="18"/>
                <w:szCs w:val="18"/>
                <w:color w:val="auto"/>
              </w:rPr>
              <w:t>20</w:t>
            </w:r>
          </w:p>
        </w:tc>
      </w:tr>
      <w:tr>
        <w:trPr>
          <w:trHeight w:val="132"/>
        </w:trPr>
        <w:tc>
          <w:tcPr>
            <w:tcW w:w="2960" w:type="dxa"/>
            <w:vAlign w:val="bottom"/>
            <w:tcBorders>
              <w:bottom w:val="single" w:sz="8" w:color="808080"/>
            </w:tcBorders>
          </w:tcPr>
          <w:p>
            <w:pPr>
              <w:spacing w:after="0"/>
              <w:rPr>
                <w:sz w:val="11"/>
                <w:szCs w:val="11"/>
                <w:color w:val="auto"/>
              </w:rPr>
            </w:pPr>
          </w:p>
        </w:tc>
        <w:tc>
          <w:tcPr>
            <w:tcW w:w="8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48" w:name="page249"/>
    <w:bookmarkEnd w:id="248"/>
    <w:p>
      <w:pPr>
        <w:ind w:left="3200"/>
        <w:spacing w:after="0" w:line="259" w:lineRule="auto"/>
        <w:rPr>
          <w:sz w:val="20"/>
          <w:szCs w:val="20"/>
          <w:color w:val="auto"/>
        </w:rPr>
      </w:pPr>
      <w:r>
        <w:rPr>
          <w:rFonts w:ascii="Arial" w:cs="Arial" w:eastAsia="Arial" w:hAnsi="Arial"/>
          <w:sz w:val="18"/>
          <w:szCs w:val="18"/>
          <w:color w:val="auto"/>
        </w:rPr>
        <w:t>Calculation Agent, equal to the Payment Obligation divided by the Share Termination Unit Price. The Calculation Agent shall adjust the Share Termination Delivery Property by replacing any fractional portion of the aggregate amount of a security therein with an amount of cash equal to the value of such fractional security based on the values used to calculate the Share Termination Unit Price.</w:t>
      </w:r>
    </w:p>
    <w:p>
      <w:pPr>
        <w:sectPr>
          <w:pgSz w:w="11900" w:h="16838" w:orient="portrait"/>
          <w:cols w:equalWidth="0" w:num="1">
            <w:col w:w="11420"/>
          </w:cols>
          <w:pgMar w:left="240" w:top="341"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The value of property contained in one Share Termination Delivery Unit on the date such Share Termination Delivery Units are to be delivered as Share Termination Delivery Property, as determined by the Calculation Agent and notified by the Calculation Agent to Dealer at the time of notification of the Payment Obligation.</w:t>
      </w:r>
    </w:p>
    <w:p>
      <w:pPr>
        <w:spacing w:after="0" w:line="147" w:lineRule="exact"/>
        <w:rPr>
          <w:sz w:val="20"/>
          <w:szCs w:val="20"/>
          <w:color w:val="auto"/>
        </w:rPr>
      </w:pPr>
    </w:p>
    <w:p>
      <w:pPr>
        <w:sectPr>
          <w:pgSz w:w="11900" w:h="16838" w:orient="portrait"/>
          <w:cols w:equalWidth="0" w:num="2">
            <w:col w:w="2480" w:space="720"/>
            <w:col w:w="8220"/>
          </w:cols>
          <w:pgMar w:left="240" w:top="3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p>
      <w:pPr>
        <w:spacing w:after="0" w:line="167" w:lineRule="exact"/>
        <w:rPr>
          <w:sz w:val="20"/>
          <w:szCs w:val="20"/>
          <w:color w:val="auto"/>
        </w:rPr>
      </w:pPr>
    </w:p>
    <w:p>
      <w:pPr>
        <w:sectPr>
          <w:pgSz w:w="11900" w:h="16838" w:orient="portrait"/>
          <w:cols w:equalWidth="0" w:num="2">
            <w:col w:w="2480" w:space="720"/>
            <w:col w:w="8220"/>
          </w:cols>
          <w:pgMar w:left="240" w:top="341" w:right="239" w:bottom="1440" w:gutter="0" w:footer="0" w:header="0"/>
          <w:type w:val="continuous"/>
        </w:sect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2480" w:space="720"/>
            <w:col w:w="8220"/>
          </w:cols>
          <w:pgMar w:left="240" w:top="34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p>
      <w:pPr>
        <w:spacing w:after="0" w:line="185" w:lineRule="exact"/>
        <w:rPr>
          <w:sz w:val="20"/>
          <w:szCs w:val="20"/>
          <w:color w:val="auto"/>
        </w:rPr>
      </w:pPr>
    </w:p>
    <w:p>
      <w:pPr>
        <w:sectPr>
          <w:pgSz w:w="11900" w:h="16838" w:orient="portrait"/>
          <w:cols w:equalWidth="0" w:num="2">
            <w:col w:w="2480" w:space="720"/>
            <w:col w:w="8220"/>
          </w:cols>
          <w:pgMar w:left="240" w:top="341" w:right="239" w:bottom="1440" w:gutter="0" w:footer="0" w:header="0"/>
          <w:type w:val="continuous"/>
        </w:sectPr>
      </w:pPr>
    </w:p>
    <w:p>
      <w:pPr>
        <w:ind w:right="40" w:firstLine="656"/>
        <w:spacing w:after="0" w:line="286" w:lineRule="auto"/>
        <w:tabs>
          <w:tab w:leader="none" w:pos="1304" w:val="left"/>
        </w:tabs>
        <w:numPr>
          <w:ilvl w:val="1"/>
          <w:numId w:val="271"/>
        </w:numPr>
        <w:rPr>
          <w:rFonts w:ascii="Arial" w:cs="Arial" w:eastAsia="Arial" w:hAnsi="Arial"/>
          <w:sz w:val="16"/>
          <w:szCs w:val="16"/>
          <w:color w:val="auto"/>
        </w:rPr>
      </w:pPr>
      <w:r>
        <w:rPr>
          <w:rFonts w:ascii="Arial" w:cs="Arial" w:eastAsia="Arial" w:hAnsi="Arial"/>
          <w:sz w:val="16"/>
          <w:szCs w:val="16"/>
          <w:i w:val="1"/>
          <w:iCs w:val="1"/>
          <w:color w:val="auto"/>
        </w:rPr>
        <w:t>Disposition of Hedge Shares</w:t>
      </w:r>
      <w:r>
        <w:rPr>
          <w:rFonts w:ascii="Arial" w:cs="Arial" w:eastAsia="Arial" w:hAnsi="Arial"/>
          <w:sz w:val="16"/>
          <w:szCs w:val="16"/>
          <w:color w:val="auto"/>
        </w:rPr>
        <w:t>. Counterparty hereby agrees that if, in the good faith reasonable judgment of Dealer, the Shares (the “</w:t>
      </w:r>
      <w:r>
        <w:rPr>
          <w:rFonts w:ascii="Arial" w:cs="Arial" w:eastAsia="Arial" w:hAnsi="Arial"/>
          <w:sz w:val="16"/>
          <w:szCs w:val="16"/>
          <w:b w:val="1"/>
          <w:bCs w:val="1"/>
          <w:color w:val="auto"/>
        </w:rPr>
        <w:t>Hedge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acquired by Dealer for the purpose of hedging its obligations pursuant to the Transaction in a commercially reasonable manner cannot be sold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satisfactory to Dealer, substantially in the form of an underwriting agreement for a registered offering,</w:t>
      </w:r>
    </w:p>
    <w:p>
      <w:pPr>
        <w:spacing w:after="0" w:line="2" w:lineRule="exact"/>
        <w:rPr>
          <w:rFonts w:ascii="Arial" w:cs="Arial" w:eastAsia="Arial" w:hAnsi="Arial"/>
          <w:sz w:val="16"/>
          <w:szCs w:val="16"/>
          <w:color w:val="auto"/>
        </w:rPr>
      </w:pPr>
    </w:p>
    <w:p>
      <w:pPr>
        <w:ind w:right="20" w:firstLine="8"/>
        <w:spacing w:after="0" w:line="268" w:lineRule="auto"/>
        <w:tabs>
          <w:tab w:leader="none" w:pos="28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49" w:name="page250"/>
    <w:bookmarkEnd w:id="249"/>
    <w:p>
      <w:pPr>
        <w:ind w:right="20"/>
        <w:spacing w:after="0" w:line="285" w:lineRule="auto"/>
        <w:rPr>
          <w:sz w:val="20"/>
          <w:szCs w:val="20"/>
          <w:color w:val="auto"/>
        </w:rPr>
      </w:pPr>
      <w:r>
        <w:rPr>
          <w:rFonts w:ascii="Arial" w:cs="Arial" w:eastAsia="Arial" w:hAnsi="Arial"/>
          <w:sz w:val="16"/>
          <w:szCs w:val="16"/>
          <w:color w:val="auto"/>
        </w:rPr>
        <w:t>of equity securities, in form and substance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w:t>
      </w:r>
    </w:p>
    <w:p>
      <w:pPr>
        <w:spacing w:after="0" w:line="2" w:lineRule="exact"/>
        <w:rPr>
          <w:sz w:val="20"/>
          <w:szCs w:val="20"/>
          <w:color w:val="auto"/>
        </w:rPr>
      </w:pPr>
    </w:p>
    <w:p>
      <w:pPr>
        <w:ind w:right="600" w:firstLine="8"/>
        <w:spacing w:after="0" w:line="323" w:lineRule="auto"/>
        <w:tabs>
          <w:tab w:leader="none" w:pos="31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spacing w:after="0" w:line="138" w:lineRule="exact"/>
        <w:rPr>
          <w:rFonts w:ascii="Arial" w:cs="Arial" w:eastAsia="Arial" w:hAnsi="Arial"/>
          <w:sz w:val="16"/>
          <w:szCs w:val="16"/>
          <w:color w:val="auto"/>
        </w:rPr>
      </w:pPr>
    </w:p>
    <w:p>
      <w:pPr>
        <w:ind w:firstLine="656"/>
        <w:spacing w:after="0" w:line="284" w:lineRule="auto"/>
        <w:tabs>
          <w:tab w:leader="none" w:pos="1307" w:val="left"/>
        </w:tabs>
        <w:numPr>
          <w:ilvl w:val="2"/>
          <w:numId w:val="273"/>
        </w:numPr>
        <w:rPr>
          <w:rFonts w:ascii="Arial" w:cs="Arial" w:eastAsia="Arial" w:hAnsi="Arial"/>
          <w:sz w:val="16"/>
          <w:szCs w:val="16"/>
          <w:color w:val="auto"/>
        </w:rPr>
      </w:pPr>
      <w:r>
        <w:rPr>
          <w:rFonts w:ascii="Arial" w:cs="Arial" w:eastAsia="Arial" w:hAnsi="Arial"/>
          <w:sz w:val="16"/>
          <w:szCs w:val="16"/>
          <w:i w:val="1"/>
          <w:iCs w:val="1"/>
          <w:color w:val="auto"/>
        </w:rPr>
        <w:t>Repurchase and Conversion Rate Adjustment Notices</w:t>
      </w:r>
      <w:r>
        <w:rPr>
          <w:rFonts w:ascii="Arial" w:cs="Arial" w:eastAsia="Arial" w:hAnsi="Arial"/>
          <w:sz w:val="16"/>
          <w:szCs w:val="16"/>
          <w:color w:val="auto"/>
        </w:rPr>
        <w:t>. Counterparty shall, at least two Exchange Business Days prior to any day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Counterparty effects any repurchase of Shares or consummates or otherwise engages in any transaction or event (a “</w:t>
      </w:r>
      <w:r>
        <w:rPr>
          <w:rFonts w:ascii="Arial" w:cs="Arial" w:eastAsia="Arial" w:hAnsi="Arial"/>
          <w:sz w:val="16"/>
          <w:szCs w:val="16"/>
          <w:b w:val="1"/>
          <w:bCs w:val="1"/>
          <w:color w:val="auto"/>
        </w:rPr>
        <w:t>Conversion Rate Adjustment Event</w:t>
      </w:r>
      <w:r>
        <w:rPr>
          <w:rFonts w:ascii="Arial" w:cs="Arial" w:eastAsia="Arial" w:hAnsi="Arial"/>
          <w:sz w:val="16"/>
          <w:szCs w:val="16"/>
          <w:color w:val="auto"/>
        </w:rPr>
        <w:t>”) that could reasonably be expected to lead to an increase in the Conversion Rate, give Dealer a written notice of such repurchase or Conversion Rate Adjustment Event (a “</w:t>
      </w:r>
      <w:r>
        <w:rPr>
          <w:rFonts w:ascii="Arial" w:cs="Arial" w:eastAsia="Arial" w:hAnsi="Arial"/>
          <w:sz w:val="16"/>
          <w:szCs w:val="16"/>
          <w:b w:val="1"/>
          <w:bCs w:val="1"/>
          <w:color w:val="auto"/>
        </w:rPr>
        <w:t>Repurchase Notice</w:t>
      </w:r>
      <w:r>
        <w:rPr>
          <w:rFonts w:ascii="Arial" w:cs="Arial" w:eastAsia="Arial" w:hAnsi="Arial"/>
          <w:sz w:val="16"/>
          <w:szCs w:val="16"/>
          <w:color w:val="auto"/>
        </w:rPr>
        <w:t>”) on such day if, following such repurchase or Conversion Rate Adjustment Event, the Notice Percentage would reasonably be expected to be (i) greater than 8.0% and (ii) greater by 0.5% than the Notice Percentage included in the immediately preceding Repurchase Notice (or, in the case of the first such Repurchase Notice, greater than the Notice Percentage as of the date hereof). The “</w:t>
      </w:r>
      <w:r>
        <w:rPr>
          <w:rFonts w:ascii="Arial" w:cs="Arial" w:eastAsia="Arial" w:hAnsi="Arial"/>
          <w:sz w:val="16"/>
          <w:szCs w:val="16"/>
          <w:b w:val="1"/>
          <w:bCs w:val="1"/>
          <w:color w:val="auto"/>
        </w:rPr>
        <w:t>Notice Percentage</w:t>
      </w:r>
      <w:r>
        <w:rPr>
          <w:rFonts w:ascii="Arial" w:cs="Arial" w:eastAsia="Arial" w:hAnsi="Arial"/>
          <w:sz w:val="16"/>
          <w:szCs w:val="16"/>
          <w:color w:val="auto"/>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spacing w:after="0" w:line="180" w:lineRule="exact"/>
        <w:rPr>
          <w:rFonts w:ascii="Arial" w:cs="Arial" w:eastAsia="Arial" w:hAnsi="Arial"/>
          <w:sz w:val="16"/>
          <w:szCs w:val="16"/>
          <w:color w:val="auto"/>
        </w:rPr>
      </w:pPr>
    </w:p>
    <w:p>
      <w:pPr>
        <w:ind w:right="260" w:firstLine="638"/>
        <w:spacing w:after="0" w:line="271" w:lineRule="auto"/>
        <w:tabs>
          <w:tab w:leader="none" w:pos="1296" w:val="left"/>
        </w:tabs>
        <w:numPr>
          <w:ilvl w:val="1"/>
          <w:numId w:val="273"/>
        </w:numPr>
        <w:rPr>
          <w:rFonts w:ascii="Arial" w:cs="Arial" w:eastAsia="Arial" w:hAnsi="Arial"/>
          <w:sz w:val="17"/>
          <w:szCs w:val="17"/>
          <w:color w:val="auto"/>
        </w:rPr>
      </w:pPr>
      <w:r>
        <w:rPr>
          <w:rFonts w:ascii="Arial" w:cs="Arial" w:eastAsia="Arial" w:hAnsi="Arial"/>
          <w:sz w:val="17"/>
          <w:szCs w:val="17"/>
          <w:i w:val="1"/>
          <w:iCs w:val="1"/>
          <w:color w:val="auto"/>
        </w:rPr>
        <w:t>Transfer and Assignment</w:t>
      </w:r>
      <w:r>
        <w:rPr>
          <w:rFonts w:ascii="Arial" w:cs="Arial" w:eastAsia="Arial" w:hAnsi="Arial"/>
          <w:sz w:val="17"/>
          <w:szCs w:val="17"/>
          <w:color w:val="auto"/>
        </w:rPr>
        <w:t>. Either party may transfer or assign any of its rights or obligations under the Transaction with the prior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consent of the non-transferring party,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Dealer may transfer or assign without any consent of Counterparty its rights and obligations hereunder, in whole or in part, to (i) any affiliate of Dealer or (ii) any person, or any person whose obligations would be guaranteed by a person, in either case, of credit quality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Arial" w:cs="Arial" w:eastAsia="Arial" w:hAnsi="Arial"/>
          <w:sz w:val="17"/>
          <w:szCs w:val="17"/>
          <w:b w:val="1"/>
          <w:bCs w:val="1"/>
          <w:color w:val="auto"/>
        </w:rPr>
        <w:t>Dealer Person</w:t>
      </w:r>
      <w:r>
        <w:rPr>
          <w:rFonts w:ascii="Arial" w:cs="Arial" w:eastAsia="Arial" w:hAnsi="Arial"/>
          <w:sz w:val="17"/>
          <w:szCs w:val="17"/>
          <w:color w:val="auto"/>
        </w:rPr>
        <w:t>”) under the Iowa Business Corporation Act or other federal, state or local law, rule, regulation or regulatory order or organizational documents or contracts of Counterparty applicable to ownership of Shares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owns, beneficially owns, constructively owns, controls,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0" w:name="page251"/>
    <w:bookmarkEnd w:id="250"/>
    <w:p>
      <w:pPr>
        <w:ind w:right="20"/>
        <w:spacing w:after="0" w:line="282" w:lineRule="auto"/>
        <w:rPr>
          <w:sz w:val="20"/>
          <w:szCs w:val="20"/>
          <w:color w:val="auto"/>
        </w:rPr>
      </w:pPr>
      <w:r>
        <w:rPr>
          <w:rFonts w:ascii="Arial" w:cs="Arial" w:eastAsia="Arial" w:hAnsi="Arial"/>
          <w:sz w:val="16"/>
          <w:szCs w:val="16"/>
          <w:color w:val="auto"/>
        </w:rPr>
        <w:t xml:space="preserve">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(either such condition described in clause (1) or (2), an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Dealer, in its discretion, is unable to effect a transfer or assignment to a third party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Arial" w:cs="Arial" w:eastAsia="Arial" w:hAnsi="Arial"/>
          <w:sz w:val="16"/>
          <w:szCs w:val="16"/>
          <w:b w:val="1"/>
          <w:bCs w:val="1"/>
          <w:color w:val="auto"/>
        </w:rPr>
        <w:t>Terminated</w:t>
      </w:r>
      <w:r>
        <w:rPr>
          <w:rFonts w:ascii="Arial" w:cs="Arial" w:eastAsia="Arial" w:hAnsi="Arial"/>
          <w:sz w:val="16"/>
          <w:szCs w:val="16"/>
          <w:color w:val="auto"/>
        </w:rPr>
        <w:t xml:space="preserve"> </w:t>
      </w:r>
      <w:r>
        <w:rPr>
          <w:rFonts w:ascii="Arial" w:cs="Arial" w:eastAsia="Arial" w:hAnsi="Arial"/>
          <w:sz w:val="16"/>
          <w:szCs w:val="16"/>
          <w:b w:val="1"/>
          <w:bCs w:val="1"/>
          <w:color w:val="auto"/>
        </w:rPr>
        <w:t>Portion</w:t>
      </w:r>
      <w:r>
        <w:rPr>
          <w:rFonts w:ascii="Arial" w:cs="Arial" w:eastAsia="Arial" w:hAnsi="Arial"/>
          <w:sz w:val="16"/>
          <w:szCs w:val="16"/>
          <w:color w:val="auto"/>
        </w:rPr>
        <w:t>”) of the Transaction, such that an Excess Ownership Position would no longer exist following the resulting partial termination of the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w:t>
      </w:r>
    </w:p>
    <w:p>
      <w:pPr>
        <w:spacing w:after="0" w:line="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Rule 13d-5(b)(1) under the Exchange Act) with Dealer (collectively, “</w:t>
      </w:r>
      <w:r>
        <w:rPr>
          <w:rFonts w:ascii="Arial" w:cs="Arial" w:eastAsia="Arial" w:hAnsi="Arial"/>
          <w:sz w:val="16"/>
          <w:szCs w:val="16"/>
          <w:b w:val="1"/>
          <w:bCs w:val="1"/>
          <w:color w:val="auto"/>
        </w:rPr>
        <w:t>Dealer Group</w:t>
      </w:r>
      <w:r>
        <w:rPr>
          <w:rFonts w:ascii="Arial" w:cs="Arial" w:eastAsia="Arial" w:hAnsi="Arial"/>
          <w:sz w:val="16"/>
          <w:szCs w:val="16"/>
          <w:color w:val="auto"/>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Arial" w:cs="Arial" w:eastAsia="Arial" w:hAnsi="Arial"/>
          <w:sz w:val="16"/>
          <w:szCs w:val="16"/>
          <w:b w:val="1"/>
          <w:bCs w:val="1"/>
          <w:color w:val="auto"/>
        </w:rPr>
        <w:t>Transfer Options</w:t>
      </w:r>
      <w:r>
        <w:rPr>
          <w:rFonts w:ascii="Arial" w:cs="Arial" w:eastAsia="Arial" w:hAnsi="Arial"/>
          <w:sz w:val="16"/>
          <w:szCs w:val="16"/>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164" w:lineRule="exact"/>
        <w:rPr>
          <w:sz w:val="20"/>
          <w:szCs w:val="20"/>
          <w:color w:val="auto"/>
        </w:rPr>
      </w:pPr>
    </w:p>
    <w:p>
      <w:pPr>
        <w:ind w:left="720" w:right="140" w:firstLine="638"/>
        <w:spacing w:after="0" w:line="277" w:lineRule="auto"/>
        <w:tabs>
          <w:tab w:leader="none" w:pos="196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170" w:lineRule="exact"/>
        <w:rPr>
          <w:rFonts w:ascii="Arial" w:cs="Arial" w:eastAsia="Arial" w:hAnsi="Arial"/>
          <w:sz w:val="18"/>
          <w:szCs w:val="18"/>
          <w:color w:val="auto"/>
        </w:rPr>
      </w:pPr>
    </w:p>
    <w:p>
      <w:pPr>
        <w:ind w:left="720" w:right="100" w:firstLine="638"/>
        <w:spacing w:after="0" w:line="277" w:lineRule="auto"/>
        <w:tabs>
          <w:tab w:leader="none" w:pos="195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United States person (as defined in the Internal Revenue Code of 1986, as amended(the “Code”));</w:t>
      </w:r>
    </w:p>
    <w:p>
      <w:pPr>
        <w:spacing w:after="0" w:line="170" w:lineRule="exact"/>
        <w:rPr>
          <w:rFonts w:ascii="Arial" w:cs="Arial" w:eastAsia="Arial" w:hAnsi="Arial"/>
          <w:sz w:val="18"/>
          <w:szCs w:val="18"/>
          <w:color w:val="auto"/>
        </w:rPr>
      </w:pPr>
    </w:p>
    <w:p>
      <w:pPr>
        <w:jc w:val="both"/>
        <w:ind w:left="720" w:right="20" w:firstLine="638"/>
        <w:spacing w:after="0" w:line="302" w:lineRule="auto"/>
        <w:tabs>
          <w:tab w:leader="none" w:pos="195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spacing w:after="0" w:line="154" w:lineRule="exact"/>
        <w:rPr>
          <w:rFonts w:ascii="Arial" w:cs="Arial" w:eastAsia="Arial" w:hAnsi="Arial"/>
          <w:sz w:val="16"/>
          <w:szCs w:val="16"/>
          <w:color w:val="auto"/>
        </w:rPr>
      </w:pPr>
    </w:p>
    <w:p>
      <w:pPr>
        <w:ind w:left="720" w:right="300" w:firstLine="638"/>
        <w:spacing w:after="0" w:line="264" w:lineRule="auto"/>
        <w:tabs>
          <w:tab w:leader="none" w:pos="196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1" w:name="page252"/>
    <w:bookmarkEnd w:id="251"/>
    <w:p>
      <w:pPr>
        <w:ind w:left="1920" w:hanging="602"/>
        <w:spacing w:after="0"/>
        <w:tabs>
          <w:tab w:leader="none" w:pos="1920" w:val="left"/>
        </w:tabs>
        <w:numPr>
          <w:ilvl w:val="2"/>
          <w:numId w:val="275"/>
        </w:numPr>
        <w:rPr>
          <w:rFonts w:ascii="Arial" w:cs="Arial" w:eastAsia="Arial" w:hAnsi="Arial"/>
          <w:sz w:val="16"/>
          <w:szCs w:val="16"/>
          <w:color w:val="auto"/>
        </w:rPr>
      </w:pPr>
      <w:r>
        <w:rPr>
          <w:rFonts w:ascii="Arial" w:cs="Arial" w:eastAsia="Arial" w:hAnsi="Arial"/>
          <w:sz w:val="16"/>
          <w:szCs w:val="16"/>
          <w:color w:val="auto"/>
        </w:rPr>
        <w:t>An Event of Default, Potential Event of Default or Termination Event shall not occur as a result of such transfer and assignment;</w:t>
      </w:r>
    </w:p>
    <w:p>
      <w:pPr>
        <w:spacing w:after="0" w:line="248" w:lineRule="exact"/>
        <w:rPr>
          <w:rFonts w:ascii="Arial" w:cs="Arial" w:eastAsia="Arial" w:hAnsi="Arial"/>
          <w:sz w:val="16"/>
          <w:szCs w:val="16"/>
          <w:color w:val="auto"/>
        </w:rPr>
      </w:pPr>
    </w:p>
    <w:p>
      <w:pPr>
        <w:ind w:left="680" w:right="600" w:firstLine="638"/>
        <w:spacing w:after="0" w:line="286" w:lineRule="auto"/>
        <w:tabs>
          <w:tab w:leader="none" w:pos="1922" w:val="left"/>
        </w:tabs>
        <w:numPr>
          <w:ilvl w:val="2"/>
          <w:numId w:val="275"/>
        </w:numPr>
        <w:rPr>
          <w:rFonts w:ascii="Arial" w:cs="Arial" w:eastAsia="Arial" w:hAnsi="Arial"/>
          <w:sz w:val="17"/>
          <w:szCs w:val="17"/>
          <w:color w:val="auto"/>
        </w:rPr>
      </w:pPr>
      <w:r>
        <w:rPr>
          <w:rFonts w:ascii="Arial" w:cs="Arial" w:eastAsia="Arial" w:hAnsi="Arial"/>
          <w:sz w:val="17"/>
          <w:szCs w:val="17"/>
          <w:color w:val="auto"/>
        </w:rPr>
        <w:t>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165" w:lineRule="exact"/>
        <w:rPr>
          <w:rFonts w:ascii="Arial" w:cs="Arial" w:eastAsia="Arial" w:hAnsi="Arial"/>
          <w:sz w:val="17"/>
          <w:szCs w:val="17"/>
          <w:color w:val="auto"/>
        </w:rPr>
      </w:pPr>
    </w:p>
    <w:p>
      <w:pPr>
        <w:ind w:left="680" w:right="180" w:firstLine="638"/>
        <w:spacing w:after="0" w:line="277" w:lineRule="auto"/>
        <w:tabs>
          <w:tab w:leader="none" w:pos="1925" w:val="left"/>
        </w:tabs>
        <w:numPr>
          <w:ilvl w:val="2"/>
          <w:numId w:val="275"/>
        </w:numPr>
        <w:rPr>
          <w:rFonts w:ascii="Arial" w:cs="Arial" w:eastAsia="Arial" w:hAnsi="Arial"/>
          <w:sz w:val="18"/>
          <w:szCs w:val="18"/>
          <w:color w:val="auto"/>
        </w:rPr>
      </w:pPr>
      <w:r>
        <w:rPr>
          <w:rFonts w:ascii="Arial" w:cs="Arial" w:eastAsia="Arial" w:hAnsi="Arial"/>
          <w:sz w:val="18"/>
          <w:szCs w:val="18"/>
          <w:color w:val="auto"/>
        </w:rPr>
        <w:t>Counterparty shall be responsible for all reasonable costs and expenses, including reasonable counsel fees, incurred by Dealer in connection with such transfer or assignment.</w:t>
      </w:r>
    </w:p>
    <w:p>
      <w:pPr>
        <w:spacing w:after="0" w:line="170" w:lineRule="exact"/>
        <w:rPr>
          <w:rFonts w:ascii="Arial" w:cs="Arial" w:eastAsia="Arial" w:hAnsi="Arial"/>
          <w:sz w:val="18"/>
          <w:szCs w:val="18"/>
          <w:color w:val="auto"/>
        </w:rPr>
      </w:pPr>
    </w:p>
    <w:p>
      <w:pPr>
        <w:jc w:val="both"/>
        <w:ind w:left="-40" w:right="200" w:firstLine="656"/>
        <w:spacing w:after="0" w:line="279" w:lineRule="auto"/>
        <w:tabs>
          <w:tab w:leader="none" w:pos="1277" w:val="left"/>
        </w:tabs>
        <w:numPr>
          <w:ilvl w:val="1"/>
          <w:numId w:val="276"/>
        </w:numPr>
        <w:rPr>
          <w:rFonts w:ascii="Arial" w:cs="Arial" w:eastAsia="Arial" w:hAnsi="Arial"/>
          <w:sz w:val="17"/>
          <w:szCs w:val="17"/>
          <w:color w:val="auto"/>
        </w:rPr>
      </w:pPr>
      <w:r>
        <w:rPr>
          <w:rFonts w:ascii="Arial" w:cs="Arial" w:eastAsia="Arial" w:hAnsi="Arial"/>
          <w:sz w:val="17"/>
          <w:szCs w:val="17"/>
          <w:i w:val="1"/>
          <w:iCs w:val="1"/>
          <w:color w:val="auto"/>
        </w:rPr>
        <w:t>Delivery of Shares</w:t>
      </w:r>
      <w:r>
        <w:rPr>
          <w:rFonts w:ascii="Arial" w:cs="Arial" w:eastAsia="Arial" w:hAnsi="Arial"/>
          <w:sz w:val="17"/>
          <w:szCs w:val="17"/>
          <w:color w:val="auto"/>
        </w:rPr>
        <w:t>. Notwithstanding anything to the contrary herein, Dealer may, by prior notice to Counterparty, satisfy its obligation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any Shares or other securities on any date due (an “</w:t>
      </w:r>
      <w:r>
        <w:rPr>
          <w:rFonts w:ascii="Arial" w:cs="Arial" w:eastAsia="Arial" w:hAnsi="Arial"/>
          <w:sz w:val="17"/>
          <w:szCs w:val="17"/>
          <w:b w:val="1"/>
          <w:bCs w:val="1"/>
          <w:color w:val="auto"/>
        </w:rPr>
        <w:t>Original Delivery Date</w:t>
      </w:r>
      <w:r>
        <w:rPr>
          <w:rFonts w:ascii="Arial" w:cs="Arial" w:eastAsia="Arial" w:hAnsi="Arial"/>
          <w:sz w:val="17"/>
          <w:szCs w:val="17"/>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71" w:lineRule="exact"/>
        <w:rPr>
          <w:rFonts w:ascii="Arial" w:cs="Arial" w:eastAsia="Arial" w:hAnsi="Arial"/>
          <w:sz w:val="17"/>
          <w:szCs w:val="17"/>
          <w:color w:val="auto"/>
        </w:rPr>
      </w:pPr>
    </w:p>
    <w:p>
      <w:pPr>
        <w:jc w:val="both"/>
        <w:ind w:left="-40" w:right="100" w:firstLine="656"/>
        <w:spacing w:after="0" w:line="312" w:lineRule="auto"/>
        <w:tabs>
          <w:tab w:leader="none" w:pos="1264" w:val="left"/>
        </w:tabs>
        <w:numPr>
          <w:ilvl w:val="1"/>
          <w:numId w:val="276"/>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Effective from the date of commencement of discussions concerning the Transaction, Counterparty and each of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6"/>
          <w:szCs w:val="16"/>
          <w:color w:val="auto"/>
        </w:rPr>
      </w:pPr>
    </w:p>
    <w:p>
      <w:pPr>
        <w:jc w:val="both"/>
        <w:ind w:left="-40" w:right="420" w:firstLine="638"/>
        <w:spacing w:after="0" w:line="312" w:lineRule="auto"/>
        <w:tabs>
          <w:tab w:leader="none" w:pos="949" w:val="left"/>
        </w:tabs>
        <w:numPr>
          <w:ilvl w:val="0"/>
          <w:numId w:val="277"/>
        </w:numPr>
        <w:rPr>
          <w:rFonts w:ascii="Arial" w:cs="Arial" w:eastAsia="Arial" w:hAnsi="Arial"/>
          <w:sz w:val="16"/>
          <w:szCs w:val="16"/>
          <w:color w:val="auto"/>
        </w:rPr>
      </w:pPr>
      <w:r>
        <w:rPr>
          <w:rFonts w:ascii="Arial" w:cs="Arial" w:eastAsia="Arial" w:hAnsi="Arial"/>
          <w:sz w:val="16"/>
          <w:szCs w:val="16"/>
          <w:i w:val="1"/>
          <w:iCs w:val="1"/>
          <w:color w:val="auto"/>
        </w:rPr>
        <w:t xml:space="preserve">No Netting and Set-off. </w:t>
      </w:r>
      <w:r>
        <w:rPr>
          <w:rFonts w:ascii="Arial" w:cs="Arial" w:eastAsia="Arial" w:hAnsi="Arial"/>
          <w:sz w:val="16"/>
          <w:szCs w:val="16"/>
          <w:color w:val="auto"/>
        </w:rPr>
        <w:t>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6" w:lineRule="exact"/>
        <w:rPr>
          <w:rFonts w:ascii="Arial" w:cs="Arial" w:eastAsia="Arial" w:hAnsi="Arial"/>
          <w:sz w:val="16"/>
          <w:szCs w:val="16"/>
          <w:color w:val="auto"/>
        </w:rPr>
      </w:pPr>
    </w:p>
    <w:p>
      <w:pPr>
        <w:ind w:left="-40" w:right="100" w:firstLine="656"/>
        <w:spacing w:after="0" w:line="297" w:lineRule="auto"/>
        <w:tabs>
          <w:tab w:leader="none" w:pos="940"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left="-40" w:firstLine="656"/>
        <w:spacing w:after="0" w:line="269" w:lineRule="auto"/>
        <w:tabs>
          <w:tab w:leader="none" w:pos="940" w:val="left"/>
        </w:tabs>
        <w:numPr>
          <w:ilvl w:val="1"/>
          <w:numId w:val="277"/>
        </w:numPr>
        <w:rPr>
          <w:rFonts w:ascii="Arial" w:cs="Arial" w:eastAsia="Arial" w:hAnsi="Arial"/>
          <w:sz w:val="17"/>
          <w:szCs w:val="17"/>
          <w:color w:val="auto"/>
        </w:rPr>
      </w:pPr>
      <w:r>
        <w:rPr>
          <w:rFonts w:ascii="Arial" w:cs="Arial" w:eastAsia="Arial" w:hAnsi="Arial"/>
          <w:sz w:val="17"/>
          <w:szCs w:val="17"/>
          <w:i w:val="1"/>
          <w:iCs w:val="1"/>
          <w:color w:val="auto"/>
        </w:rPr>
        <w:t>Early Unwind</w:t>
      </w:r>
      <w:r>
        <w:rPr>
          <w:rFonts w:ascii="Arial" w:cs="Arial" w:eastAsia="Arial" w:hAnsi="Arial"/>
          <w:sz w:val="17"/>
          <w:szCs w:val="17"/>
          <w:color w:val="auto"/>
        </w:rPr>
        <w:t>. In the event the sale by Counterparty of the Optional Securities is not consummated pursuant to the Purchase Agreement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by the close of business in New York on November 1, 2019 (or such later date as agreed upon by the parties) (November 1, 2019 or such later date being the “</w:t>
      </w:r>
      <w:r>
        <w:rPr>
          <w:rFonts w:ascii="Arial" w:cs="Arial" w:eastAsia="Arial" w:hAnsi="Arial"/>
          <w:sz w:val="17"/>
          <w:szCs w:val="17"/>
          <w:b w:val="1"/>
          <w:bCs w:val="1"/>
          <w:color w:val="auto"/>
        </w:rPr>
        <w:t>Early Unwind Date</w:t>
      </w:r>
      <w:r>
        <w:rPr>
          <w:rFonts w:ascii="Arial" w:cs="Arial" w:eastAsia="Arial" w:hAnsi="Arial"/>
          <w:sz w:val="17"/>
          <w:szCs w:val="17"/>
          <w:color w:val="auto"/>
        </w:rPr>
        <w:t>”), the Transaction shall automatically terminate (the “</w:t>
      </w:r>
      <w:r>
        <w:rPr>
          <w:rFonts w:ascii="Arial" w:cs="Arial" w:eastAsia="Arial" w:hAnsi="Arial"/>
          <w:sz w:val="17"/>
          <w:szCs w:val="17"/>
          <w:b w:val="1"/>
          <w:bCs w:val="1"/>
          <w:color w:val="auto"/>
        </w:rPr>
        <w:t>Early Unwind</w:t>
      </w:r>
      <w:r>
        <w:rPr>
          <w:rFonts w:ascii="Arial" w:cs="Arial" w:eastAsia="Arial" w:hAnsi="Arial"/>
          <w:sz w:val="17"/>
          <w:szCs w:val="17"/>
          <w:color w:val="auto"/>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spacing w:after="0" w:line="182" w:lineRule="exact"/>
        <w:rPr>
          <w:rFonts w:ascii="Arial" w:cs="Arial" w:eastAsia="Arial" w:hAnsi="Arial"/>
          <w:sz w:val="17"/>
          <w:szCs w:val="17"/>
          <w:color w:val="auto"/>
        </w:rPr>
      </w:pPr>
    </w:p>
    <w:p>
      <w:pPr>
        <w:ind w:left="-40" w:right="60" w:firstLine="656"/>
        <w:spacing w:after="0" w:line="342" w:lineRule="auto"/>
        <w:tabs>
          <w:tab w:leader="none" w:pos="954"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Agreements and Acknowledgements Regarding Hedgin</w:t>
      </w:r>
      <w:r>
        <w:rPr>
          <w:rFonts w:ascii="Arial" w:cs="Arial" w:eastAsia="Arial" w:hAnsi="Arial"/>
          <w:sz w:val="16"/>
          <w:szCs w:val="16"/>
          <w:i w:val="1"/>
          <w:iCs w:val="1"/>
          <w:u w:val="single" w:color="auto"/>
          <w:color w:val="auto"/>
        </w:rPr>
        <w:t>g</w:t>
      </w:r>
      <w:r>
        <w:rPr>
          <w:rFonts w:ascii="Arial" w:cs="Arial" w:eastAsia="Arial" w:hAnsi="Arial"/>
          <w:sz w:val="16"/>
          <w:szCs w:val="16"/>
          <w:color w:val="auto"/>
        </w:rPr>
        <w:t>. Counterparty understands, acknowledges and agrees that: (A) at any time on and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Expiration Date, Dealer and its affiliates may buy or sell Shares or other securities or buy or sell options or futures contracts or enter into swaps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252" w:name="page253"/>
    <w:bookmarkEnd w:id="252"/>
    <w:p>
      <w:pPr>
        <w:spacing w:after="0" w:line="291" w:lineRule="auto"/>
        <w:rPr>
          <w:sz w:val="20"/>
          <w:szCs w:val="20"/>
          <w:color w:val="auto"/>
        </w:rPr>
      </w:pPr>
      <w:r>
        <w:rPr>
          <w:rFonts w:ascii="Arial" w:cs="Arial" w:eastAsia="Arial" w:hAnsi="Arial"/>
          <w:sz w:val="16"/>
          <w:szCs w:val="16"/>
          <w:color w:val="auto"/>
        </w:rPr>
        <w:t>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67" w:lineRule="exact"/>
        <w:rPr>
          <w:sz w:val="20"/>
          <w:szCs w:val="20"/>
          <w:color w:val="auto"/>
        </w:rPr>
      </w:pPr>
    </w:p>
    <w:p>
      <w:pPr>
        <w:ind w:right="40" w:firstLine="656"/>
        <w:spacing w:after="0" w:line="254" w:lineRule="auto"/>
        <w:tabs>
          <w:tab w:leader="none" w:pos="976"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Wall Street Transparency and Accountability Act</w:t>
      </w:r>
      <w:r>
        <w:rPr>
          <w:rFonts w:ascii="Arial" w:cs="Arial" w:eastAsia="Arial" w:hAnsi="Arial"/>
          <w:sz w:val="18"/>
          <w:szCs w:val="18"/>
          <w:color w:val="auto"/>
        </w:rPr>
        <w:t>. In connection with Section 739 of the Wall Street Transparency and Accountability Act of</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w:t>
      </w:r>
      <w:r>
        <w:rPr>
          <w:rFonts w:ascii="Arial" w:cs="Arial" w:eastAsia="Arial" w:hAnsi="Arial"/>
          <w:sz w:val="18"/>
          <w:szCs w:val="18"/>
          <w:b w:val="1"/>
          <w:bCs w:val="1"/>
          <w:color w:val="auto"/>
        </w:rPr>
        <w:t>WSTAA</w:t>
      </w:r>
      <w:r>
        <w:rPr>
          <w:rFonts w:ascii="Arial" w:cs="Arial" w:eastAsia="Arial" w:hAnsi="Arial"/>
          <w:sz w:val="18"/>
          <w:szCs w:val="18"/>
          <w:color w:val="auto"/>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ind w:right="2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90" w:lineRule="exact"/>
        <w:rPr>
          <w:rFonts w:ascii="Arial" w:cs="Arial" w:eastAsia="Arial" w:hAnsi="Arial"/>
          <w:sz w:val="18"/>
          <w:szCs w:val="18"/>
          <w:color w:val="auto"/>
        </w:rPr>
      </w:pPr>
    </w:p>
    <w:p>
      <w:pPr>
        <w:ind w:right="180" w:firstLine="656"/>
        <w:spacing w:after="0" w:line="277" w:lineRule="auto"/>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This Confirmation and the Agreement may not be modified, amended or supplemented, except in a written instrument signed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Counterparty and Dealer.</w:t>
      </w:r>
    </w:p>
    <w:p>
      <w:pPr>
        <w:spacing w:after="0" w:line="170" w:lineRule="exact"/>
        <w:rPr>
          <w:rFonts w:ascii="Arial" w:cs="Arial" w:eastAsia="Arial" w:hAnsi="Arial"/>
          <w:sz w:val="18"/>
          <w:szCs w:val="18"/>
          <w:color w:val="auto"/>
        </w:rPr>
      </w:pPr>
    </w:p>
    <w:p>
      <w:pPr>
        <w:ind w:right="120" w:firstLine="656"/>
        <w:spacing w:after="0" w:line="277" w:lineRule="auto"/>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and the same instrument.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firstLine="645"/>
        <w:spacing w:after="0" w:line="272" w:lineRule="auto"/>
        <w:tabs>
          <w:tab w:leader="none" w:pos="1978" w:val="left"/>
        </w:tabs>
        <w:numPr>
          <w:ilvl w:val="1"/>
          <w:numId w:val="278"/>
        </w:numPr>
        <w:rPr>
          <w:rFonts w:ascii="Arial" w:cs="Arial" w:eastAsia="Arial" w:hAnsi="Arial"/>
          <w:sz w:val="17"/>
          <w:szCs w:val="17"/>
          <w:color w:val="auto"/>
        </w:rPr>
      </w:pPr>
      <w:r>
        <w:rPr>
          <w:rFonts w:ascii="Arial" w:cs="Arial" w:eastAsia="Arial" w:hAnsi="Arial"/>
          <w:sz w:val="17"/>
          <w:szCs w:val="17"/>
          <w:color w:val="auto"/>
        </w:rPr>
        <w:t>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7" w:lineRule="exact"/>
        <w:rPr>
          <w:rFonts w:ascii="Arial" w:cs="Arial" w:eastAsia="Arial" w:hAnsi="Arial"/>
          <w:sz w:val="17"/>
          <w:szCs w:val="17"/>
          <w:color w:val="auto"/>
        </w:rPr>
      </w:pPr>
    </w:p>
    <w:p>
      <w:pPr>
        <w:ind w:left="660" w:right="180" w:firstLine="645"/>
        <w:spacing w:after="0" w:line="293" w:lineRule="auto"/>
        <w:tabs>
          <w:tab w:leader="none" w:pos="1987" w:val="left"/>
        </w:tabs>
        <w:numPr>
          <w:ilvl w:val="1"/>
          <w:numId w:val="278"/>
        </w:numPr>
        <w:rPr>
          <w:rFonts w:ascii="Arial" w:cs="Arial" w:eastAsia="Arial" w:hAnsi="Arial"/>
          <w:sz w:val="16"/>
          <w:szCs w:val="16"/>
          <w:color w:val="auto"/>
        </w:rPr>
      </w:pPr>
      <w:r>
        <w:rPr>
          <w:rFonts w:ascii="Arial" w:cs="Arial" w:eastAsia="Arial" w:hAnsi="Arial"/>
          <w:sz w:val="16"/>
          <w:szCs w:val="16"/>
          <w:color w:val="auto"/>
        </w:rPr>
        <w:t>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Arial" w:cs="Arial" w:eastAsia="Arial" w:hAnsi="Arial"/>
          <w:sz w:val="16"/>
          <w:szCs w:val="16"/>
          <w:b w:val="1"/>
          <w:bCs w:val="1"/>
          <w:color w:val="auto"/>
        </w:rPr>
        <w:t>871(m) Protocol</w:t>
      </w:r>
      <w:r>
        <w:rPr>
          <w:rFonts w:ascii="Arial" w:cs="Arial" w:eastAsia="Arial" w:hAnsi="Arial"/>
          <w:sz w:val="16"/>
          <w:szCs w:val="16"/>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3" w:name="page254"/>
    <w:bookmarkEnd w:id="253"/>
    <w:p>
      <w:pPr>
        <w:ind w:left="660" w:right="80"/>
        <w:spacing w:after="0" w:line="277" w:lineRule="auto"/>
        <w:rPr>
          <w:sz w:val="20"/>
          <w:szCs w:val="20"/>
          <w:color w:val="auto"/>
        </w:rPr>
      </w:pPr>
      <w:r>
        <w:rPr>
          <w:rFonts w:ascii="Arial" w:cs="Arial" w:eastAsia="Arial" w:hAnsi="Arial"/>
          <w:sz w:val="18"/>
          <w:szCs w:val="18"/>
          <w:color w:val="auto"/>
        </w:rPr>
        <w:t>references to the Agreement with respect to this Transaction, and references to the “Implementation Date” in the 871(m) Protocol will be deemed to be references to the Trade Date of this Transaction.</w:t>
      </w:r>
    </w:p>
    <w:p>
      <w:pPr>
        <w:spacing w:after="0" w:line="170" w:lineRule="exact"/>
        <w:rPr>
          <w:sz w:val="20"/>
          <w:szCs w:val="20"/>
          <w:color w:val="auto"/>
        </w:rPr>
      </w:pPr>
    </w:p>
    <w:p>
      <w:pPr>
        <w:ind w:left="660" w:right="200" w:firstLine="645"/>
        <w:spacing w:after="0" w:line="293" w:lineRule="auto"/>
        <w:tabs>
          <w:tab w:leader="none" w:pos="1997" w:val="left"/>
        </w:tabs>
        <w:numPr>
          <w:ilvl w:val="2"/>
          <w:numId w:val="279"/>
        </w:numPr>
        <w:rPr>
          <w:rFonts w:ascii="Arial" w:cs="Arial" w:eastAsia="Arial" w:hAnsi="Arial"/>
          <w:sz w:val="16"/>
          <w:szCs w:val="16"/>
          <w:color w:val="auto"/>
        </w:rPr>
      </w:pPr>
      <w:r>
        <w:rPr>
          <w:rFonts w:ascii="Arial" w:cs="Arial" w:eastAsia="Arial" w:hAnsi="Arial"/>
          <w:sz w:val="16"/>
          <w:szCs w:val="16"/>
          <w:color w:val="auto"/>
        </w:rPr>
        <w:t>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W-8ECI “Certificate of Foreign Person’s Claim That Income Is Effectively Connected With the Conduct of a Trade or Business in the United States” or any successor thereto, (i) on or before the date of execution of this Confirmation, (ii) upon reasonable request of Counterparty and (iii) promptly upon learning that any such tax form previously provided by Dealer has become obsolete or incorrect.</w:t>
      </w:r>
    </w:p>
    <w:p>
      <w:pPr>
        <w:spacing w:after="0" w:line="164" w:lineRule="exact"/>
        <w:rPr>
          <w:rFonts w:ascii="Arial" w:cs="Arial" w:eastAsia="Arial" w:hAnsi="Arial"/>
          <w:sz w:val="16"/>
          <w:szCs w:val="16"/>
          <w:color w:val="auto"/>
        </w:rPr>
      </w:pPr>
    </w:p>
    <w:p>
      <w:pPr>
        <w:ind w:left="660" w:right="40" w:firstLine="645"/>
        <w:spacing w:after="0" w:line="297" w:lineRule="auto"/>
        <w:tabs>
          <w:tab w:leader="none" w:pos="1973" w:val="left"/>
        </w:tabs>
        <w:numPr>
          <w:ilvl w:val="2"/>
          <w:numId w:val="279"/>
        </w:numPr>
        <w:rPr>
          <w:rFonts w:ascii="Arial" w:cs="Arial" w:eastAsia="Arial" w:hAnsi="Arial"/>
          <w:sz w:val="16"/>
          <w:szCs w:val="16"/>
          <w:color w:val="auto"/>
        </w:rPr>
      </w:pPr>
      <w:r>
        <w:rPr>
          <w:rFonts w:ascii="Arial" w:cs="Arial" w:eastAsia="Arial" w:hAnsi="Arial"/>
          <w:sz w:val="16"/>
          <w:szCs w:val="16"/>
          <w:color w:val="auto"/>
        </w:rPr>
        <w:t>Tax Representations. For the purpose of Section 3(f) of the Agreement, Counterparty is a corporation for U.S. federal income tax purposes and is organized under the laws of the State of Iowa.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Dealer represents to Counterparty that each payment received or to be received by it under the Agreement will be effectively connected with its conduct of a trade or business in the United States.</w:t>
      </w:r>
    </w:p>
    <w:p>
      <w:pPr>
        <w:spacing w:after="0" w:line="158" w:lineRule="exact"/>
        <w:rPr>
          <w:rFonts w:ascii="Arial" w:cs="Arial" w:eastAsia="Arial" w:hAnsi="Arial"/>
          <w:sz w:val="16"/>
          <w:szCs w:val="16"/>
          <w:color w:val="auto"/>
        </w:rPr>
      </w:pPr>
    </w:p>
    <w:p>
      <w:pPr>
        <w:ind w:firstLine="656"/>
        <w:spacing w:after="0" w:line="284" w:lineRule="auto"/>
        <w:tabs>
          <w:tab w:leader="none" w:pos="990" w:val="left"/>
        </w:tabs>
        <w:numPr>
          <w:ilvl w:val="1"/>
          <w:numId w:val="280"/>
        </w:numPr>
        <w:rPr>
          <w:rFonts w:ascii="Arial" w:cs="Arial" w:eastAsia="Arial" w:hAnsi="Arial"/>
          <w:sz w:val="16"/>
          <w:szCs w:val="16"/>
          <w:color w:val="auto"/>
        </w:rPr>
      </w:pPr>
      <w:r>
        <w:rPr>
          <w:rFonts w:ascii="Arial" w:cs="Arial" w:eastAsia="Arial" w:hAnsi="Arial"/>
          <w:sz w:val="16"/>
          <w:szCs w:val="16"/>
          <w:i w:val="1"/>
          <w:iCs w:val="1"/>
          <w:color w:val="auto"/>
        </w:rPr>
        <w:t>Role of Agent</w:t>
      </w:r>
      <w:r>
        <w:rPr>
          <w:rFonts w:ascii="Arial" w:cs="Arial" w:eastAsia="Arial" w:hAnsi="Arial"/>
          <w:sz w:val="16"/>
          <w:szCs w:val="16"/>
          <w:color w:val="auto"/>
        </w:rPr>
        <w:t>. Each of Dealer and Counterparty acknowledges to and agrees with the other party hereto and to and with the Agent that (i) the</w:t>
      </w:r>
      <w:r>
        <w:rPr>
          <w:rFonts w:ascii="Arial" w:cs="Arial" w:eastAsia="Arial" w:hAnsi="Arial"/>
          <w:sz w:val="16"/>
          <w:szCs w:val="16"/>
          <w:i w:val="1"/>
          <w:iCs w:val="1"/>
          <w:color w:val="auto"/>
        </w:rPr>
        <w:t xml:space="preserve"> </w:t>
      </w:r>
      <w:r>
        <w:rPr>
          <w:rFonts w:ascii="Arial" w:cs="Arial" w:eastAsia="Arial" w:hAnsi="Arial"/>
          <w:sz w:val="16"/>
          <w:szCs w:val="16"/>
          <w:color w:val="auto"/>
        </w:rPr>
        <w:t>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w:t>
      </w:r>
    </w:p>
    <w:p>
      <w:pPr>
        <w:spacing w:after="0" w:line="4" w:lineRule="exact"/>
        <w:rPr>
          <w:rFonts w:ascii="Arial" w:cs="Arial" w:eastAsia="Arial" w:hAnsi="Arial"/>
          <w:sz w:val="16"/>
          <w:szCs w:val="16"/>
          <w:color w:val="auto"/>
        </w:rPr>
      </w:pPr>
    </w:p>
    <w:p>
      <w:pPr>
        <w:ind w:right="20" w:firstLine="8"/>
        <w:spacing w:after="0" w:line="302" w:lineRule="auto"/>
        <w:tabs>
          <w:tab w:leader="none" w:pos="25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each party agrees to proceed solely against the other party, and not the Agent, to collect or recover any money or securities owed to it in connection with the Transactions. Each party hereto acknowledges and agrees that the Agent is an intended third party beneficiary hereunder. Counterparty acknowledges that the Agent is an affiliate of Dealer. Dealer will be acting for its own account in respect of this Confirmation and the Transactions contemplated hereunder.</w:t>
      </w:r>
    </w:p>
    <w:p>
      <w:pPr>
        <w:spacing w:after="0" w:line="151" w:lineRule="exact"/>
        <w:rPr>
          <w:sz w:val="20"/>
          <w:szCs w:val="20"/>
          <w:color w:val="auto"/>
        </w:rPr>
      </w:pPr>
    </w:p>
    <w:p>
      <w:pPr>
        <w:ind w:left="880" w:hanging="224"/>
        <w:spacing w:after="0"/>
        <w:tabs>
          <w:tab w:leader="none" w:pos="8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225" w:lineRule="exact"/>
        <w:rPr>
          <w:sz w:val="20"/>
          <w:szCs w:val="20"/>
          <w:color w:val="auto"/>
        </w:rPr>
      </w:pPr>
    </w:p>
    <w:p>
      <w:pPr>
        <w:ind w:right="300" w:firstLine="656"/>
        <w:spacing w:after="0" w:line="282" w:lineRule="auto"/>
        <w:tabs>
          <w:tab w:leader="none" w:pos="1304"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awards are generally final and binding; a party’s ability to have a court reverse or modify an arbitration award is very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4" w:name="page255"/>
    <w:bookmarkEnd w:id="254"/>
    <w:p>
      <w:pPr>
        <w:ind w:right="80" w:firstLine="656"/>
        <w:spacing w:after="0" w:line="282" w:lineRule="auto"/>
        <w:tabs>
          <w:tab w:leader="none" w:pos="1307"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the parties to obtain documents, witness statements and other discovery is generally more limited in arbitration than in court proceedings.</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do not have to explain the reason(s) for their award.</w:t>
      </w:r>
    </w:p>
    <w:p>
      <w:pPr>
        <w:spacing w:after="0" w:line="225" w:lineRule="exact"/>
        <w:rPr>
          <w:rFonts w:ascii="Arial" w:cs="Arial" w:eastAsia="Arial" w:hAnsi="Arial"/>
          <w:sz w:val="18"/>
          <w:szCs w:val="18"/>
          <w:b w:val="1"/>
          <w:bCs w:val="1"/>
          <w:color w:val="auto"/>
        </w:rPr>
      </w:pPr>
    </w:p>
    <w:p>
      <w:pPr>
        <w:jc w:val="both"/>
        <w:ind w:right="460" w:firstLine="656"/>
        <w:spacing w:after="0" w:line="266" w:lineRule="auto"/>
        <w:tabs>
          <w:tab w:leader="none" w:pos="1307"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6" w:lineRule="exact"/>
        <w:rPr>
          <w:rFonts w:ascii="Arial" w:cs="Arial" w:eastAsia="Arial" w:hAnsi="Arial"/>
          <w:sz w:val="18"/>
          <w:szCs w:val="18"/>
          <w:b w:val="1"/>
          <w:bCs w:val="1"/>
          <w:color w:val="auto"/>
        </w:rPr>
      </w:pPr>
    </w:p>
    <w:p>
      <w:pPr>
        <w:ind w:right="420" w:firstLine="656"/>
        <w:spacing w:after="0" w:line="282" w:lineRule="auto"/>
        <w:tabs>
          <w:tab w:leader="none" w:pos="1301"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The rules of some arbitration forums may impose time limits for bringing a claim in arbitration. In some cases, a claim that is ineligible for arbitration may be brought in court.</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The rules of the arbitration forum in which the claim is filed, and any amendments thereto, shall be incorporated into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Confirmation.</w:t>
      </w:r>
    </w:p>
    <w:p>
      <w:pPr>
        <w:spacing w:after="0" w:line="206" w:lineRule="exact"/>
        <w:rPr>
          <w:rFonts w:ascii="Arial" w:cs="Arial" w:eastAsia="Arial" w:hAnsi="Arial"/>
          <w:sz w:val="17"/>
          <w:szCs w:val="17"/>
          <w:b w:val="1"/>
          <w:bCs w:val="1"/>
          <w:color w:val="auto"/>
        </w:rPr>
      </w:pPr>
    </w:p>
    <w:p>
      <w:pPr>
        <w:ind w:firstLine="656"/>
        <w:spacing w:after="0" w:line="258" w:lineRule="auto"/>
        <w:tabs>
          <w:tab w:leader="none" w:pos="1314"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83" w:lineRule="exact"/>
        <w:rPr>
          <w:rFonts w:ascii="Arial" w:cs="Arial" w:eastAsia="Arial" w:hAnsi="Arial"/>
          <w:sz w:val="18"/>
          <w:szCs w:val="18"/>
          <w:b w:val="1"/>
          <w:bCs w:val="1"/>
          <w:color w:val="auto"/>
        </w:rPr>
      </w:pPr>
    </w:p>
    <w:p>
      <w:pPr>
        <w:jc w:val="both"/>
        <w:ind w:right="180" w:firstLine="656"/>
        <w:spacing w:after="0" w:line="289" w:lineRule="auto"/>
        <w:tabs>
          <w:tab w:leader="none" w:pos="1304" w:val="left"/>
        </w:tabs>
        <w:numPr>
          <w:ilvl w:val="1"/>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is excluded from the class by the court.</w:t>
      </w:r>
    </w:p>
    <w:p>
      <w:pPr>
        <w:spacing w:after="0" w:line="206" w:lineRule="exact"/>
        <w:rPr>
          <w:rFonts w:ascii="Arial" w:cs="Arial" w:eastAsia="Arial" w:hAnsi="Arial"/>
          <w:sz w:val="18"/>
          <w:szCs w:val="18"/>
          <w:b w:val="1"/>
          <w:bCs w:val="1"/>
          <w:color w:val="auto"/>
        </w:rPr>
      </w:pPr>
    </w:p>
    <w:p>
      <w:pPr>
        <w:ind w:right="40" w:firstLine="656"/>
        <w:spacing w:after="0" w:line="282" w:lineRule="auto"/>
        <w:tabs>
          <w:tab w:leader="none" w:pos="1314" w:val="left"/>
        </w:tabs>
        <w:numPr>
          <w:ilvl w:val="1"/>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Such forbearance to enforce an agreement to arbitrate shall not constitute a waiver of any rights under this Confirmation except to the extent stated 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5" w:name="page256"/>
    <w:bookmarkEnd w:id="255"/>
    <w:p>
      <w:pPr>
        <w:spacing w:after="0" w:line="279" w:lineRule="auto"/>
        <w:rPr>
          <w:sz w:val="20"/>
          <w:szCs w:val="20"/>
          <w:color w:val="auto"/>
        </w:rPr>
      </w:pPr>
      <w:r>
        <w:rPr>
          <w:rFonts w:ascii="Arial" w:cs="Arial" w:eastAsia="Arial" w:hAnsi="Arial"/>
          <w:sz w:val="17"/>
          <w:szCs w:val="17"/>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Dealer.</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BMO CAPITAL MARKETS CORP.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as agent for </w:t>
      </w:r>
      <w:r>
        <w:rPr>
          <w:rFonts w:ascii="Arial" w:cs="Arial" w:eastAsia="Arial" w:hAnsi="Arial"/>
          <w:sz w:val="18"/>
          <w:szCs w:val="18"/>
          <w:b w:val="1"/>
          <w:bCs w:val="1"/>
          <w:color w:val="auto"/>
        </w:rPr>
        <w:t>BANK OF MONTREAL</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Nick Stamou</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Nick Stamou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Director, Derivatives Operations</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Brian Riley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Brian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MONTREAL</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Andrew Henderson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Director, Derivatives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right"/>
        <w:ind w:right="6479"/>
        <w:spacing w:after="0"/>
        <w:rPr>
          <w:sz w:val="20"/>
          <w:szCs w:val="20"/>
          <w:color w:val="auto"/>
        </w:rPr>
      </w:pPr>
      <w:r>
        <w:rPr>
          <w:rFonts w:ascii="Arial" w:cs="Arial" w:eastAsia="Arial" w:hAnsi="Arial"/>
          <w:sz w:val="18"/>
          <w:szCs w:val="18"/>
          <w:color w:val="auto"/>
        </w:rPr>
        <w:t>Title: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GOLDMAN SACHS &amp; CO. LLC | 200 WEST STREET | NEW YORK, NEW YORK 10282-2198 |TEL: 212-902-1000</w:t>
      </w:r>
    </w:p>
    <w:p>
      <w:pPr>
        <w:spacing w:after="0" w:line="229"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w:t>
      </w:r>
    </w:p>
    <w:p>
      <w:pPr>
        <w:spacing w:after="0" w:line="200" w:lineRule="exact"/>
        <w:rPr>
          <w:sz w:val="20"/>
          <w:szCs w:val="20"/>
          <w:color w:val="auto"/>
        </w:rPr>
      </w:pPr>
    </w:p>
    <w:p>
      <w:pPr>
        <w:sectPr>
          <w:pgSz w:w="11900" w:h="16838" w:orient="portrait"/>
          <w:cols w:equalWidth="0" w:num="2">
            <w:col w:w="340" w:space="720"/>
            <w:col w:w="1036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[Insert Account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Base Issuer Warrant Transaction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Reference Number]</w:t>
      </w:r>
    </w:p>
    <w:p>
      <w:pPr>
        <w:spacing w:after="0" w:line="200" w:lineRule="exact"/>
        <w:rPr>
          <w:sz w:val="20"/>
          <w:szCs w:val="20"/>
          <w:color w:val="auto"/>
        </w:rPr>
      </w:pPr>
    </w:p>
    <w:p>
      <w:pPr>
        <w:sectPr>
          <w:pgSz w:w="11900" w:h="16838" w:orient="portrait"/>
          <w:cols w:equalWidth="0" w:num="2">
            <w:col w:w="640" w:space="420"/>
            <w:col w:w="10360"/>
          </w:cols>
          <w:pgMar w:left="240" w:top="12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October 29, 2019</w:t>
      </w:r>
    </w:p>
    <w:p>
      <w:pPr>
        <w:spacing w:after="0" w:line="200" w:lineRule="exact"/>
        <w:rPr>
          <w:sz w:val="20"/>
          <w:szCs w:val="20"/>
          <w:color w:val="auto"/>
        </w:rPr>
      </w:pPr>
    </w:p>
    <w:p>
      <w:pPr>
        <w:sectPr>
          <w:pgSz w:w="11900" w:h="16838" w:orient="portrait"/>
          <w:cols w:equalWidth="0" w:num="2">
            <w:col w:w="420" w:space="640"/>
            <w:col w:w="1036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Goldman Sachs &amp; Co. LLC (“</w:t>
      </w:r>
      <w:r>
        <w:rPr>
          <w:rFonts w:ascii="Arial" w:cs="Arial" w:eastAsia="Arial" w:hAnsi="Arial"/>
          <w:sz w:val="18"/>
          <w:szCs w:val="18"/>
          <w:b w:val="1"/>
          <w:bCs w:val="1"/>
          <w:color w:val="auto"/>
        </w:rPr>
        <w:t>Dealer</w:t>
      </w:r>
      <w:r>
        <w:rPr>
          <w:rFonts w:ascii="Arial" w:cs="Arial" w:eastAsia="Arial" w:hAnsi="Arial"/>
          <w:sz w:val="18"/>
          <w:szCs w:val="18"/>
          <w:color w:val="auto"/>
        </w:rPr>
        <w:t>”) and Winnebago Industries, Inc. (“</w:t>
      </w:r>
      <w:r>
        <w:rPr>
          <w:rFonts w:ascii="Arial" w:cs="Arial" w:eastAsia="Arial" w:hAnsi="Arial"/>
          <w:sz w:val="18"/>
          <w:szCs w:val="18"/>
          <w:b w:val="1"/>
          <w:bCs w:val="1"/>
          <w:color w:val="auto"/>
        </w:rPr>
        <w:t>Counterparty</w:t>
      </w:r>
      <w:r>
        <w:rPr>
          <w:rFonts w:ascii="Arial" w:cs="Arial" w:eastAsia="Arial" w:hAnsi="Arial"/>
          <w:sz w:val="18"/>
          <w:szCs w:val="18"/>
          <w:color w:val="auto"/>
        </w:rPr>
        <w:t>”). This communication constitutes a “Confirmation” as referred to in the Agreement specified below.</w:t>
      </w:r>
    </w:p>
    <w:p>
      <w:pPr>
        <w:spacing w:after="0" w:line="176" w:lineRule="exact"/>
        <w:rPr>
          <w:sz w:val="20"/>
          <w:szCs w:val="20"/>
          <w:color w:val="auto"/>
        </w:rPr>
      </w:pPr>
    </w:p>
    <w:p>
      <w:pPr>
        <w:ind w:firstLine="656"/>
        <w:spacing w:after="0" w:line="281" w:lineRule="auto"/>
        <w:tabs>
          <w:tab w:leader="none" w:pos="100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2006 ISDA Definitions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and together with the 2006 Definitions, the “</w:t>
      </w:r>
      <w:r>
        <w:rPr>
          <w:rFonts w:ascii="Arial" w:cs="Arial" w:eastAsia="Arial" w:hAnsi="Arial"/>
          <w:sz w:val="17"/>
          <w:szCs w:val="17"/>
          <w:b w:val="1"/>
          <w:bCs w:val="1"/>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For purposes of the Equity Definitions, each reference herein to a Warrant shall be deemed to be a reference to a Call Option or an Option, as context requires.</w:t>
      </w:r>
    </w:p>
    <w:p>
      <w:pPr>
        <w:spacing w:after="0" w:line="16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(ii) the replacement of the word “third” in the last line of Section 5(a)(i) of the Agreement with the word “first” and (iii) the election that the “Cross Default” provisions of Section 5(a)(vi) of the Agreement shall apply to Counterparty with a “Threshold Amount” of USD15.0 million).</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8" w:name="page259"/>
    <w:bookmarkEnd w:id="258"/>
    <w:p>
      <w:pPr>
        <w:spacing w:after="0"/>
        <w:rPr>
          <w:sz w:val="20"/>
          <w:szCs w:val="20"/>
          <w:color w:val="auto"/>
        </w:rPr>
      </w:pPr>
      <w:r>
        <w:rPr>
          <w:rFonts w:ascii="Arial" w:cs="Arial" w:eastAsia="Arial" w:hAnsi="Arial"/>
          <w:sz w:val="16"/>
          <w:szCs w:val="16"/>
          <w:color w:val="auto"/>
        </w:rPr>
        <w:t>Definitions shall not be construed to exclude or limit any other provision of this Confirmation, the Agreement, the Equity Definitions or the 2006 Definitions.</w:t>
      </w:r>
    </w:p>
    <w:p>
      <w:pPr>
        <w:spacing w:after="0" w:line="248"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320" w:firstLine="656"/>
        <w:spacing w:after="0" w:line="277" w:lineRule="auto"/>
        <w:tabs>
          <w:tab w:leader="none" w:pos="100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General Terms:</w:t>
            </w:r>
          </w:p>
        </w:tc>
        <w:tc>
          <w:tcPr>
            <w:tcW w:w="7800" w:type="dxa"/>
            <w:vAlign w:val="bottom"/>
          </w:tcPr>
          <w:p>
            <w:pPr>
              <w:spacing w:after="0"/>
              <w:rPr>
                <w:sz w:val="20"/>
                <w:szCs w:val="20"/>
                <w:color w:val="auto"/>
              </w:rPr>
            </w:pP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7800" w:type="dxa"/>
            <w:vAlign w:val="bottom"/>
          </w:tcPr>
          <w:p>
            <w:pPr>
              <w:ind w:left="1500"/>
              <w:spacing w:after="0"/>
              <w:rPr>
                <w:sz w:val="20"/>
                <w:szCs w:val="20"/>
                <w:color w:val="auto"/>
              </w:rPr>
            </w:pPr>
            <w:r>
              <w:rPr>
                <w:rFonts w:ascii="Arial" w:cs="Arial" w:eastAsia="Arial" w:hAnsi="Arial"/>
                <w:sz w:val="18"/>
                <w:szCs w:val="18"/>
                <w:color w:val="auto"/>
              </w:rPr>
              <w:t>October 29, 2019</w:t>
            </w:r>
          </w:p>
        </w:tc>
      </w:tr>
      <w:tr>
        <w:trPr>
          <w:trHeight w:val="418"/>
        </w:trPr>
        <w:tc>
          <w:tcPr>
            <w:tcW w:w="366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7800" w:type="dxa"/>
            <w:vAlign w:val="bottom"/>
          </w:tcPr>
          <w:p>
            <w:pPr>
              <w:ind w:left="1500"/>
              <w:spacing w:after="0"/>
              <w:rPr>
                <w:sz w:val="20"/>
                <w:szCs w:val="20"/>
                <w:color w:val="auto"/>
              </w:rPr>
            </w:pPr>
            <w:r>
              <w:rPr>
                <w:rFonts w:ascii="Arial" w:cs="Arial" w:eastAsia="Arial" w:hAnsi="Arial"/>
                <w:sz w:val="18"/>
                <w:szCs w:val="18"/>
                <w:color w:val="auto"/>
                <w:w w:val="98"/>
              </w:rPr>
              <w:t>November 1, 2019, or such other date as agreed between the parties, subject to</w:t>
            </w:r>
          </w:p>
        </w:tc>
      </w:tr>
      <w:tr>
        <w:trPr>
          <w:trHeight w:val="230"/>
        </w:trPr>
        <w:tc>
          <w:tcPr>
            <w:tcW w:w="3660" w:type="dxa"/>
            <w:vAlign w:val="bottom"/>
          </w:tcPr>
          <w:p>
            <w:pPr>
              <w:spacing w:after="0"/>
              <w:rPr>
                <w:sz w:val="20"/>
                <w:szCs w:val="20"/>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rPr>
              <w:t>Section 8(l) below</w:t>
            </w:r>
          </w:p>
        </w:tc>
      </w:tr>
      <w:tr>
        <w:trPr>
          <w:trHeight w:val="418"/>
        </w:trPr>
        <w:tc>
          <w:tcPr>
            <w:tcW w:w="3660" w:type="dxa"/>
            <w:vAlign w:val="bottom"/>
          </w:tcPr>
          <w:p>
            <w:pPr>
              <w:ind w:left="660"/>
              <w:spacing w:after="0"/>
              <w:rPr>
                <w:sz w:val="20"/>
                <w:szCs w:val="20"/>
                <w:color w:val="auto"/>
              </w:rPr>
            </w:pPr>
            <w:r>
              <w:rPr>
                <w:rFonts w:ascii="Arial" w:cs="Arial" w:eastAsia="Arial" w:hAnsi="Arial"/>
                <w:sz w:val="18"/>
                <w:szCs w:val="18"/>
                <w:color w:val="auto"/>
              </w:rPr>
              <w:t>Components:</w:t>
            </w:r>
          </w:p>
        </w:tc>
        <w:tc>
          <w:tcPr>
            <w:tcW w:w="7800" w:type="dxa"/>
            <w:vAlign w:val="bottom"/>
          </w:tcPr>
          <w:p>
            <w:pPr>
              <w:ind w:left="1500"/>
              <w:spacing w:after="0"/>
              <w:rPr>
                <w:sz w:val="20"/>
                <w:szCs w:val="20"/>
                <w:color w:val="auto"/>
              </w:rPr>
            </w:pPr>
            <w:r>
              <w:rPr>
                <w:rFonts w:ascii="Arial" w:cs="Arial" w:eastAsia="Arial" w:hAnsi="Arial"/>
                <w:sz w:val="18"/>
                <w:szCs w:val="18"/>
                <w:color w:val="auto"/>
                <w:w w:val="94"/>
              </w:rPr>
              <w:t>The Transaction will be divided into individual Components, each with the terms set</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rPr>
              <w:t>forth in this Confirmation, and, in particular, with the Number of Warrants and</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8"/>
              </w:rPr>
              <w:t>Expiration Date set forth in this Confirmation. The payments and deliveries to be</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8"/>
              </w:rPr>
              <w:t>made upon settlement of the Transaction will be determined separately for each</w:t>
            </w:r>
          </w:p>
        </w:tc>
      </w:tr>
      <w:tr>
        <w:trPr>
          <w:trHeight w:val="230"/>
        </w:trPr>
        <w:tc>
          <w:tcPr>
            <w:tcW w:w="3660" w:type="dxa"/>
            <w:vAlign w:val="bottom"/>
          </w:tcPr>
          <w:p>
            <w:pPr>
              <w:spacing w:after="0"/>
              <w:rPr>
                <w:sz w:val="20"/>
                <w:szCs w:val="20"/>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1"/>
              </w:rPr>
              <w:t>Component as if each Component were a separate Transaction under the Agreement.</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Warrant Style:</w:t>
            </w:r>
          </w:p>
        </w:tc>
        <w:tc>
          <w:tcPr>
            <w:tcW w:w="7800" w:type="dxa"/>
            <w:vAlign w:val="bottom"/>
          </w:tcPr>
          <w:p>
            <w:pPr>
              <w:ind w:left="1500"/>
              <w:spacing w:after="0"/>
              <w:rPr>
                <w:sz w:val="20"/>
                <w:szCs w:val="20"/>
                <w:color w:val="auto"/>
              </w:rPr>
            </w:pPr>
            <w:r>
              <w:rPr>
                <w:rFonts w:ascii="Arial" w:cs="Arial" w:eastAsia="Arial" w:hAnsi="Arial"/>
                <w:sz w:val="18"/>
                <w:szCs w:val="18"/>
                <w:color w:val="auto"/>
              </w:rPr>
              <w:t>European</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Warrant Type:</w:t>
            </w:r>
          </w:p>
        </w:tc>
        <w:tc>
          <w:tcPr>
            <w:tcW w:w="7800" w:type="dxa"/>
            <w:vAlign w:val="bottom"/>
          </w:tcPr>
          <w:p>
            <w:pPr>
              <w:ind w:left="1500"/>
              <w:spacing w:after="0"/>
              <w:rPr>
                <w:sz w:val="20"/>
                <w:szCs w:val="20"/>
                <w:color w:val="auto"/>
              </w:rPr>
            </w:pPr>
            <w:r>
              <w:rPr>
                <w:rFonts w:ascii="Arial" w:cs="Arial" w:eastAsia="Arial" w:hAnsi="Arial"/>
                <w:sz w:val="18"/>
                <w:szCs w:val="18"/>
                <w:color w:val="auto"/>
              </w:rPr>
              <w:t>Call</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Seller:</w:t>
            </w:r>
          </w:p>
        </w:tc>
        <w:tc>
          <w:tcPr>
            <w:tcW w:w="7800" w:type="dxa"/>
            <w:vAlign w:val="bottom"/>
          </w:tcPr>
          <w:p>
            <w:pPr>
              <w:ind w:left="1500"/>
              <w:spacing w:after="0"/>
              <w:rPr>
                <w:sz w:val="20"/>
                <w:szCs w:val="20"/>
                <w:color w:val="auto"/>
              </w:rPr>
            </w:pPr>
            <w:r>
              <w:rPr>
                <w:rFonts w:ascii="Arial" w:cs="Arial" w:eastAsia="Arial" w:hAnsi="Arial"/>
                <w:sz w:val="18"/>
                <w:szCs w:val="18"/>
                <w:color w:val="auto"/>
              </w:rPr>
              <w:t>Counterparty</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Buyer:</w:t>
            </w:r>
          </w:p>
        </w:tc>
        <w:tc>
          <w:tcPr>
            <w:tcW w:w="7800" w:type="dxa"/>
            <w:vAlign w:val="bottom"/>
          </w:tcPr>
          <w:p>
            <w:pPr>
              <w:ind w:left="1500"/>
              <w:spacing w:after="0"/>
              <w:rPr>
                <w:sz w:val="20"/>
                <w:szCs w:val="20"/>
                <w:color w:val="auto"/>
              </w:rPr>
            </w:pPr>
            <w:r>
              <w:rPr>
                <w:rFonts w:ascii="Arial" w:cs="Arial" w:eastAsia="Arial" w:hAnsi="Arial"/>
                <w:sz w:val="18"/>
                <w:szCs w:val="18"/>
                <w:color w:val="auto"/>
              </w:rPr>
              <w:t>Dealer</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Shares:</w:t>
            </w:r>
          </w:p>
        </w:tc>
        <w:tc>
          <w:tcPr>
            <w:tcW w:w="7800" w:type="dxa"/>
            <w:vAlign w:val="bottom"/>
          </w:tcPr>
          <w:p>
            <w:pPr>
              <w:ind w:left="1500"/>
              <w:spacing w:after="0"/>
              <w:rPr>
                <w:sz w:val="20"/>
                <w:szCs w:val="20"/>
                <w:color w:val="auto"/>
              </w:rPr>
            </w:pPr>
            <w:r>
              <w:rPr>
                <w:rFonts w:ascii="Arial" w:cs="Arial" w:eastAsia="Arial" w:hAnsi="Arial"/>
                <w:sz w:val="18"/>
                <w:szCs w:val="18"/>
                <w:color w:val="auto"/>
                <w:w w:val="96"/>
              </w:rPr>
              <w:t>The Common Stock of Counterparty, par value USD0.50 (Ticker Symbol: “WGO”).</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Number of Warrants:</w:t>
            </w:r>
          </w:p>
        </w:tc>
        <w:tc>
          <w:tcPr>
            <w:tcW w:w="7800" w:type="dxa"/>
            <w:vAlign w:val="bottom"/>
          </w:tcPr>
          <w:p>
            <w:pPr>
              <w:ind w:left="1500"/>
              <w:spacing w:after="0"/>
              <w:rPr>
                <w:sz w:val="20"/>
                <w:szCs w:val="20"/>
                <w:color w:val="auto"/>
              </w:rPr>
            </w:pPr>
            <w:r>
              <w:rPr>
                <w:rFonts w:ascii="Arial" w:cs="Arial" w:eastAsia="Arial" w:hAnsi="Arial"/>
                <w:sz w:val="18"/>
                <w:szCs w:val="18"/>
                <w:color w:val="auto"/>
              </w:rPr>
              <w:t>For each Component, as provided in Annex A to this Confirmation.</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Warrant Entitlement:</w:t>
            </w:r>
          </w:p>
        </w:tc>
        <w:tc>
          <w:tcPr>
            <w:tcW w:w="7800" w:type="dxa"/>
            <w:vAlign w:val="bottom"/>
          </w:tcPr>
          <w:p>
            <w:pPr>
              <w:ind w:left="1500"/>
              <w:spacing w:after="0"/>
              <w:rPr>
                <w:sz w:val="20"/>
                <w:szCs w:val="20"/>
                <w:color w:val="auto"/>
              </w:rPr>
            </w:pPr>
            <w:r>
              <w:rPr>
                <w:rFonts w:ascii="Arial" w:cs="Arial" w:eastAsia="Arial" w:hAnsi="Arial"/>
                <w:sz w:val="18"/>
                <w:szCs w:val="18"/>
                <w:color w:val="auto"/>
              </w:rPr>
              <w:t>One Share per Warrant</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7800" w:type="dxa"/>
            <w:vAlign w:val="bottom"/>
          </w:tcPr>
          <w:p>
            <w:pPr>
              <w:ind w:left="1500"/>
              <w:spacing w:after="0"/>
              <w:rPr>
                <w:sz w:val="20"/>
                <w:szCs w:val="20"/>
                <w:color w:val="auto"/>
              </w:rPr>
            </w:pPr>
            <w:r>
              <w:rPr>
                <w:rFonts w:ascii="Arial" w:cs="Arial" w:eastAsia="Arial" w:hAnsi="Arial"/>
                <w:sz w:val="18"/>
                <w:szCs w:val="18"/>
                <w:color w:val="auto"/>
              </w:rPr>
              <w:t>USD96.2000</w:t>
            </w:r>
          </w:p>
        </w:tc>
      </w:tr>
      <w:tr>
        <w:trPr>
          <w:trHeight w:val="418"/>
        </w:trPr>
        <w:tc>
          <w:tcPr>
            <w:tcW w:w="3660" w:type="dxa"/>
            <w:vAlign w:val="bottom"/>
          </w:tcPr>
          <w:p>
            <w:pPr>
              <w:spacing w:after="0"/>
              <w:rPr>
                <w:sz w:val="24"/>
                <w:szCs w:val="24"/>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5"/>
              </w:rPr>
              <w:t>Notwithstanding anything to the contrary in the Agreement, this Confirmation or the</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5"/>
              </w:rPr>
              <w:t>Equity Definitions, in no event shall the Strike Price be subject to adjustment to the</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3"/>
              </w:rPr>
              <w:t>extent that, after giving effect to such adjustment, the Strike Price would be less than</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5"/>
              </w:rPr>
              <w:t>USD48.1000, except for any adjustment pursuant to the terms of this Confirmation</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rPr>
              <w:t>and the Equity Definitions in connection with a stock split or similar change to</w:t>
            </w:r>
          </w:p>
        </w:tc>
      </w:tr>
      <w:tr>
        <w:trPr>
          <w:trHeight w:val="230"/>
        </w:trPr>
        <w:tc>
          <w:tcPr>
            <w:tcW w:w="3660" w:type="dxa"/>
            <w:vAlign w:val="bottom"/>
          </w:tcPr>
          <w:p>
            <w:pPr>
              <w:spacing w:after="0"/>
              <w:rPr>
                <w:sz w:val="20"/>
                <w:szCs w:val="20"/>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rPr>
              <w:t>Counterparty’s capitalization.</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Number of Shares:</w:t>
            </w:r>
          </w:p>
        </w:tc>
        <w:tc>
          <w:tcPr>
            <w:tcW w:w="7800" w:type="dxa"/>
            <w:vAlign w:val="bottom"/>
          </w:tcPr>
          <w:p>
            <w:pPr>
              <w:ind w:left="1500"/>
              <w:spacing w:after="0"/>
              <w:rPr>
                <w:sz w:val="20"/>
                <w:szCs w:val="20"/>
                <w:color w:val="auto"/>
              </w:rPr>
            </w:pPr>
            <w:r>
              <w:rPr>
                <w:rFonts w:ascii="Arial" w:cs="Arial" w:eastAsia="Arial" w:hAnsi="Arial"/>
                <w:sz w:val="18"/>
                <w:szCs w:val="18"/>
                <w:color w:val="auto"/>
              </w:rPr>
              <w:t>As of any date, a number of Shares equal to the</w:t>
            </w:r>
          </w:p>
        </w:tc>
      </w:tr>
      <w:tr>
        <w:trPr>
          <w:trHeight w:val="432"/>
        </w:trPr>
        <w:tc>
          <w:tcPr>
            <w:tcW w:w="3660" w:type="dxa"/>
            <w:vAlign w:val="bottom"/>
          </w:tcPr>
          <w:p>
            <w:pPr>
              <w:spacing w:after="0"/>
              <w:rPr>
                <w:sz w:val="24"/>
                <w:szCs w:val="24"/>
                <w:color w:val="auto"/>
              </w:rPr>
            </w:pPr>
          </w:p>
        </w:tc>
        <w:tc>
          <w:tcPr>
            <w:tcW w:w="7800" w:type="dxa"/>
            <w:vAlign w:val="bottom"/>
          </w:tcPr>
          <w:p>
            <w:pPr>
              <w:ind w:left="2000"/>
              <w:spacing w:after="0"/>
              <w:rPr>
                <w:sz w:val="20"/>
                <w:szCs w:val="20"/>
                <w:color w:val="auto"/>
              </w:rPr>
            </w:pPr>
            <w:r>
              <w:rPr>
                <w:rFonts w:ascii="Arial" w:cs="Arial" w:eastAsia="Arial" w:hAnsi="Arial"/>
                <w:sz w:val="18"/>
                <w:szCs w:val="18"/>
                <w:color w:val="auto"/>
              </w:rPr>
              <w:t>2</w:t>
            </w:r>
          </w:p>
        </w:tc>
      </w:tr>
      <w:tr>
        <w:trPr>
          <w:trHeight w:val="132"/>
        </w:trPr>
        <w:tc>
          <w:tcPr>
            <w:tcW w:w="3660" w:type="dxa"/>
            <w:vAlign w:val="bottom"/>
            <w:tcBorders>
              <w:bottom w:val="single" w:sz="8" w:color="808080"/>
            </w:tcBorders>
          </w:tcPr>
          <w:p>
            <w:pPr>
              <w:spacing w:after="0"/>
              <w:rPr>
                <w:sz w:val="11"/>
                <w:szCs w:val="11"/>
                <w:color w:val="auto"/>
              </w:rPr>
            </w:pPr>
          </w:p>
        </w:tc>
        <w:tc>
          <w:tcPr>
            <w:tcW w:w="78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59" w:name="page260"/>
    <w:bookmarkEnd w:id="259"/>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 Payment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Exercise: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 respect of any Component: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product of the Number of Warrants and the Warrant Entitlement.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USD18,994,500.00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Valuation Time</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Confirmation (or, if such date is not a Scheduled Trading Day, the next following Scheduled Trading Day that is not already an Expiration Date for another Component);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and is not deemed to be an Expiration Date in respect of any other Component of the Transaction hereunder;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if the Expiration Date has not occurred pursuant to the preceding</w:t>
      </w:r>
      <w:r>
        <w:rPr>
          <w:rFonts w:ascii="Arial" w:cs="Arial" w:eastAsia="Arial" w:hAnsi="Arial"/>
          <w:sz w:val="16"/>
          <w:szCs w:val="16"/>
          <w:i w:val="1"/>
          <w:iCs w:val="1"/>
          <w:color w:val="auto"/>
        </w:rPr>
        <w:t xml:space="preserve"> </w:t>
      </w:r>
      <w:r>
        <w:rPr>
          <w:rFonts w:ascii="Arial" w:cs="Arial" w:eastAsia="Arial" w:hAnsi="Arial"/>
          <w:sz w:val="16"/>
          <w:szCs w:val="16"/>
          <w:color w:val="auto"/>
        </w:rPr>
        <w:t>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 be a Disrupted Day in full</w:t>
      </w:r>
      <w:r>
        <w:rPr>
          <w:rFonts w:ascii="Arial" w:cs="Arial" w:eastAsia="Arial" w:hAnsi="Arial"/>
          <w:sz w:val="16"/>
          <w:szCs w:val="16"/>
          <w:b w:val="1"/>
          <w:bCs w:val="1"/>
          <w:color w:val="auto"/>
        </w:rPr>
        <w:t>.</w:t>
      </w:r>
      <w:r>
        <w:rPr>
          <w:rFonts w:ascii="Arial" w:cs="Arial" w:eastAsia="Arial" w:hAnsi="Arial"/>
          <w:sz w:val="16"/>
          <w:szCs w:val="16"/>
          <w:color w:val="auto"/>
        </w:rPr>
        <w:t xml:space="preserve"> Section 6.6 of the Equity Definitions shall not apply to any Valuation Date occurring on an Expiration Date. “</w:t>
      </w:r>
      <w:r>
        <w:rPr>
          <w:rFonts w:ascii="Arial" w:cs="Arial" w:eastAsia="Arial" w:hAnsi="Arial"/>
          <w:sz w:val="16"/>
          <w:szCs w:val="16"/>
          <w:b w:val="1"/>
          <w:bCs w:val="1"/>
          <w:color w:val="auto"/>
        </w:rPr>
        <w:t>Final Disruption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means December 3, 2025.</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440" w:space="720"/>
            <w:col w:w="6200"/>
          </w:cols>
          <w:pgMar w:left="240" w:top="341" w:right="299" w:bottom="1440" w:gutter="0" w:footer="0" w:header="0"/>
        </w:sectPr>
      </w:pPr>
    </w:p>
    <w:bookmarkStart w:id="260" w:name="page261"/>
    <w:bookmarkEnd w:id="260"/>
    <w:p>
      <w:pPr>
        <w:ind w:left="660"/>
        <w:spacing w:after="0"/>
        <w:rPr>
          <w:sz w:val="20"/>
          <w:szCs w:val="20"/>
          <w:color w:val="auto"/>
        </w:rPr>
      </w:pPr>
      <w:r>
        <w:rPr>
          <w:rFonts w:ascii="Arial" w:cs="Arial" w:eastAsia="Arial" w:hAnsi="Arial"/>
          <w:sz w:val="18"/>
          <w:szCs w:val="18"/>
          <w:color w:val="auto"/>
        </w:rPr>
        <w:t>Market Disruption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Regulatory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Counterparty’s Telephone Number and Telex and/or Facsimile Number and Contact Details for purpose of Giving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Currency: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Share Settlement: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7"/>
          <w:szCs w:val="17"/>
          <w:color w:val="auto"/>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Any event that Dealer, in its discretion, determines makes it appropriate, with regard to any legal, regulatory or self-regulatory requirements or related policies and procedures (whether or not such requirements or related policies and procedures are imposed by law or have been voluntarily adopted by Dealer), for Dealer to refrain from or decrease any market activity in connection with the Transaction.</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Section 6(a)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each Settlement Date, Counterparty shall deliver to Dealer a number of Shares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equal to the Number of Shares to be Delivered for such Settlement Date to the account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specified by Dealer and cash in lieu of any fractional Share valued at the Relevant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Price on the Valuation Date corresponding to such Settlement Date. If, in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reasonable opinion of Dealer, based on advice of counsel, for any reason,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deliverable upon Net Share Settlement would not be immediately freely transferable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Dealer under Rule 144 under the Securities Act of 1933, as amended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then Dealer may elect to either (x) accept delivery of such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restriction on transfer or (y)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520" w:space="640"/>
            <w:col w:w="6220"/>
          </w:cols>
          <w:pgMar w:left="240" w:top="341" w:right="279" w:bottom="1440" w:gutter="0" w:footer="0" w:header="0"/>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Extraordinary 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have the provisions set forth in Section 8(c) below apply.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Number of Shares to be Delivered shall be delivered by Counterparty to Dealer no later than 12:00 noon (local time in New York City) on the relevant Settlement Date.</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such VWAP Price.</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provisions of Sections 9.1(c), 9.4, 9.8, 9.9, 9.10, 9.11 and 9.12 of the Equity Definitions will be applicable as if “Physical Settlement” applied to the Transaction;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Representation and Agreement contained in Section 9.11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Definitions shall be modified by excluding any representations therein relating to restrictions, obligations, limitations or requirements under applicable securities laws that exist as a result of the fact that Counterparty is the issuer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 any regular dividend period of Counterparty, any dividend or distribution on the Shares with an ex-dividend date occurring during such regular dividend period (other than any dividend or distribution of the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440" w:space="720"/>
            <w:col w:w="6260"/>
          </w:cols>
          <w:pgMar w:left="240" w:top="341" w:right="2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type described in Section 11.2(e)(i) or Section 11.2(e)(ii)(A) of the Equity Definitions)</w:t>
            </w:r>
          </w:p>
        </w:tc>
      </w:tr>
      <w:tr>
        <w:trPr>
          <w:trHeight w:val="220"/>
        </w:trPr>
        <w:tc>
          <w:tcPr>
            <w:tcW w:w="1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Dividend</w:t>
            </w:r>
            <w:r>
              <w:rPr>
                <w:rFonts w:ascii="Arial" w:cs="Arial" w:eastAsia="Arial" w:hAnsi="Arial"/>
                <w:sz w:val="18"/>
                <w:szCs w:val="18"/>
                <w:color w:val="auto"/>
              </w:rPr>
              <w:t>”) the amount or value of which (as determined by the Calculation</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Agent), when aggregated with the amount or value (as determined by the Calculation</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Agent) of any and all previous Dividends with ex-dividend dates occurring in the same</w:t>
            </w:r>
          </w:p>
        </w:tc>
      </w:tr>
      <w:tr>
        <w:trPr>
          <w:trHeight w:val="230"/>
        </w:trPr>
        <w:tc>
          <w:tcPr>
            <w:tcW w:w="1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regular dividend period, exceeds the Ordinary Dividend Amount.</w:t>
            </w:r>
          </w:p>
        </w:tc>
      </w:tr>
      <w:tr>
        <w:trPr>
          <w:trHeight w:val="4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Ordinary Dividend Amount:</w:t>
            </w: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For the first Dividend on the Shares for which the ex-dividend date occurs during any</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regular quarterly dividend period of Counterparty, USD0.11, and for any other</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Dividend on the Shares for which the ex-dividend date occurs during the same regular</w:t>
            </w:r>
          </w:p>
        </w:tc>
      </w:tr>
      <w:tr>
        <w:trPr>
          <w:trHeight w:val="230"/>
        </w:trPr>
        <w:tc>
          <w:tcPr>
            <w:tcW w:w="1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quarterly dividend period, USD 0.00.</w:t>
            </w: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color w:val="auto"/>
              </w:rPr>
              <w:t>Extraordinary Events:</w:t>
            </w:r>
          </w:p>
        </w:tc>
        <w:tc>
          <w:tcPr>
            <w:tcW w:w="7360" w:type="dxa"/>
            <w:vAlign w:val="bottom"/>
          </w:tcPr>
          <w:p>
            <w:pPr>
              <w:spacing w:after="0"/>
              <w:rPr>
                <w:sz w:val="24"/>
                <w:szCs w:val="24"/>
                <w:color w:val="auto"/>
              </w:rPr>
            </w:pPr>
          </w:p>
        </w:tc>
      </w:tr>
      <w:tr>
        <w:trPr>
          <w:trHeight w:val="4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New Shares:</w:t>
            </w: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In the definition of New Shares in Section 12.1(i) of the Equity Definitions, the text in</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6"/>
              </w:rPr>
              <w:t>clause (i) thereof shall be deleted in its entirety and replaced with “publicly quoted,</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9"/>
              </w:rPr>
              <w:t>traded or listed on any of The New York Stock Exchange, The NASDAQ Global</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Market or The NASDAQ Global Select Market (or their respective successors) and of</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an entity or person that is a corporation organized under the laws of the United States,</w:t>
            </w:r>
          </w:p>
        </w:tc>
      </w:tr>
      <w:tr>
        <w:trPr>
          <w:trHeight w:val="230"/>
        </w:trPr>
        <w:tc>
          <w:tcPr>
            <w:tcW w:w="1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any State thereof or the District of Columbia”.</w:t>
            </w:r>
          </w:p>
        </w:tc>
      </w:tr>
      <w:tr>
        <w:trPr>
          <w:trHeight w:val="4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Merger Event:</w:t>
            </w: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 xml:space="preserve">Applicable;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if an event occurs that constitutes both a Merger Event under</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Section 12.1(b) of the Equity Definitions and an Additional Termination Event under</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Section 8(k)(iv) of this Confirmation, Dealer may elect, in its sole discretion, whether</w:t>
            </w:r>
          </w:p>
        </w:tc>
      </w:tr>
      <w:tr>
        <w:trPr>
          <w:trHeight w:val="230"/>
        </w:trPr>
        <w:tc>
          <w:tcPr>
            <w:tcW w:w="1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the provisions of Section 12.2 of the Equity Definitions or Section 8(k)(iv) will apply.</w:t>
            </w:r>
          </w:p>
        </w:tc>
      </w:tr>
      <w:tr>
        <w:trPr>
          <w:trHeight w:val="432"/>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Consequences of Merger Events:</w:t>
            </w:r>
          </w:p>
        </w:tc>
        <w:tc>
          <w:tcPr>
            <w:tcW w:w="7360" w:type="dxa"/>
            <w:vAlign w:val="bottom"/>
          </w:tcPr>
          <w:p>
            <w:pPr>
              <w:spacing w:after="0"/>
              <w:rPr>
                <w:sz w:val="24"/>
                <w:szCs w:val="24"/>
                <w:color w:val="auto"/>
              </w:rPr>
            </w:pPr>
          </w:p>
        </w:tc>
      </w:tr>
      <w:tr>
        <w:trPr>
          <w:trHeight w:val="432"/>
        </w:trPr>
        <w:tc>
          <w:tcPr>
            <w:tcW w:w="4100" w:type="dxa"/>
            <w:vAlign w:val="bottom"/>
            <w:gridSpan w:val="2"/>
          </w:tcPr>
          <w:p>
            <w:pPr>
              <w:ind w:left="980"/>
              <w:spacing w:after="0"/>
              <w:rPr>
                <w:sz w:val="20"/>
                <w:szCs w:val="20"/>
                <w:color w:val="auto"/>
              </w:rPr>
            </w:pPr>
            <w:r>
              <w:rPr>
                <w:rFonts w:ascii="Arial" w:cs="Arial" w:eastAsia="Arial" w:hAnsi="Arial"/>
                <w:sz w:val="18"/>
                <w:szCs w:val="18"/>
                <w:color w:val="auto"/>
              </w:rPr>
              <w:t>(a)  Share-for-Share:</w:t>
            </w:r>
          </w:p>
        </w:tc>
        <w:tc>
          <w:tcPr>
            <w:tcW w:w="7360" w:type="dxa"/>
            <w:vAlign w:val="bottom"/>
          </w:tcPr>
          <w:p>
            <w:pPr>
              <w:ind w:left="106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1260" w:type="dxa"/>
            <w:vAlign w:val="bottom"/>
          </w:tcPr>
          <w:p>
            <w:pPr>
              <w:ind w:left="980"/>
              <w:spacing w:after="0"/>
              <w:rPr>
                <w:sz w:val="20"/>
                <w:szCs w:val="20"/>
                <w:color w:val="auto"/>
              </w:rPr>
            </w:pPr>
            <w:r>
              <w:rPr>
                <w:rFonts w:ascii="Arial" w:cs="Arial" w:eastAsia="Arial" w:hAnsi="Arial"/>
                <w:sz w:val="18"/>
                <w:szCs w:val="18"/>
                <w:color w:val="auto"/>
              </w:rPr>
              <w:t>(b)</w:t>
            </w:r>
          </w:p>
        </w:tc>
        <w:tc>
          <w:tcPr>
            <w:tcW w:w="2840" w:type="dxa"/>
            <w:vAlign w:val="bottom"/>
          </w:tcPr>
          <w:p>
            <w:pPr>
              <w:ind w:left="60"/>
              <w:spacing w:after="0"/>
              <w:rPr>
                <w:sz w:val="20"/>
                <w:szCs w:val="20"/>
                <w:color w:val="auto"/>
              </w:rPr>
            </w:pPr>
            <w:r>
              <w:rPr>
                <w:rFonts w:ascii="Arial" w:cs="Arial" w:eastAsia="Arial" w:hAnsi="Arial"/>
                <w:sz w:val="18"/>
                <w:szCs w:val="18"/>
                <w:color w:val="auto"/>
              </w:rPr>
              <w:t>Share-for-Other:</w:t>
            </w: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 xml:space="preserve">Cancellation and Payment (Calculation Agent Determination);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Dealer</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may elect, in its sole discretion, that Modified Calculation Agent Adjustment shall</w:t>
            </w:r>
          </w:p>
        </w:tc>
      </w:tr>
      <w:tr>
        <w:trPr>
          <w:trHeight w:val="230"/>
        </w:trPr>
        <w:tc>
          <w:tcPr>
            <w:tcW w:w="1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apply for all or part of the Transaction.</w:t>
            </w:r>
          </w:p>
        </w:tc>
      </w:tr>
      <w:tr>
        <w:trPr>
          <w:trHeight w:val="418"/>
        </w:trPr>
        <w:tc>
          <w:tcPr>
            <w:tcW w:w="1260" w:type="dxa"/>
            <w:vAlign w:val="bottom"/>
          </w:tcPr>
          <w:p>
            <w:pPr>
              <w:ind w:left="980"/>
              <w:spacing w:after="0"/>
              <w:rPr>
                <w:sz w:val="20"/>
                <w:szCs w:val="20"/>
                <w:color w:val="auto"/>
              </w:rPr>
            </w:pPr>
            <w:r>
              <w:rPr>
                <w:rFonts w:ascii="Arial" w:cs="Arial" w:eastAsia="Arial" w:hAnsi="Arial"/>
                <w:sz w:val="18"/>
                <w:szCs w:val="18"/>
                <w:color w:val="auto"/>
              </w:rPr>
              <w:t>(c)</w:t>
            </w:r>
          </w:p>
        </w:tc>
        <w:tc>
          <w:tcPr>
            <w:tcW w:w="2840" w:type="dxa"/>
            <w:vAlign w:val="bottom"/>
          </w:tcPr>
          <w:p>
            <w:pPr>
              <w:ind w:left="60"/>
              <w:spacing w:after="0"/>
              <w:rPr>
                <w:sz w:val="20"/>
                <w:szCs w:val="20"/>
                <w:color w:val="auto"/>
              </w:rPr>
            </w:pPr>
            <w:r>
              <w:rPr>
                <w:rFonts w:ascii="Arial" w:cs="Arial" w:eastAsia="Arial" w:hAnsi="Arial"/>
                <w:sz w:val="18"/>
                <w:szCs w:val="18"/>
                <w:color w:val="auto"/>
              </w:rPr>
              <w:t>Share-for-Combined:</w:t>
            </w: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 xml:space="preserve">Cancellation and Payment (Calculation Agent Determination);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Dealer</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may elect, in its sole discretion, that Modified Calculation Agent Adjustment or</w:t>
            </w:r>
          </w:p>
        </w:tc>
      </w:tr>
      <w:tr>
        <w:trPr>
          <w:trHeight w:val="230"/>
        </w:trPr>
        <w:tc>
          <w:tcPr>
            <w:tcW w:w="1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Component Adjustment shall apply for all or part of the Transaction.</w:t>
            </w:r>
          </w:p>
        </w:tc>
      </w:tr>
      <w:tr>
        <w:trPr>
          <w:trHeight w:val="4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Tender Offer:</w:t>
            </w: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 xml:space="preserve">Applicable;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an event occurs that constitutes both a Tender Offer under</w:t>
            </w:r>
          </w:p>
        </w:tc>
      </w:tr>
      <w:tr>
        <w:trPr>
          <w:trHeight w:val="216"/>
        </w:trPr>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Section 12.1(d) of the Equity Definitions and an Additional Termination Event under</w:t>
            </w:r>
          </w:p>
        </w:tc>
      </w:tr>
      <w:tr>
        <w:trPr>
          <w:trHeight w:val="230"/>
        </w:trPr>
        <w:tc>
          <w:tcPr>
            <w:tcW w:w="1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Section 8(k)(iii) of this Confirmation, Dealer may elect, in its sole discretion,</w:t>
            </w:r>
          </w:p>
        </w:tc>
      </w:tr>
      <w:tr>
        <w:trPr>
          <w:trHeight w:val="432"/>
        </w:trPr>
        <w:tc>
          <w:tcPr>
            <w:tcW w:w="1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360" w:type="dxa"/>
            <w:vAlign w:val="bottom"/>
          </w:tcPr>
          <w:p>
            <w:pPr>
              <w:ind w:left="1560"/>
              <w:spacing w:after="0"/>
              <w:rPr>
                <w:sz w:val="20"/>
                <w:szCs w:val="20"/>
                <w:color w:val="auto"/>
              </w:rPr>
            </w:pPr>
            <w:r>
              <w:rPr>
                <w:rFonts w:ascii="Arial" w:cs="Arial" w:eastAsia="Arial" w:hAnsi="Arial"/>
                <w:sz w:val="18"/>
                <w:szCs w:val="18"/>
                <w:color w:val="auto"/>
              </w:rPr>
              <w:t>6</w:t>
            </w:r>
          </w:p>
        </w:tc>
      </w:tr>
      <w:tr>
        <w:trPr>
          <w:trHeight w:val="132"/>
        </w:trPr>
        <w:tc>
          <w:tcPr>
            <w:tcW w:w="126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7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whether the provisions of Section 12.3 of the Equity Definitions or Section 8(k)</w:t>
            </w:r>
          </w:p>
        </w:tc>
      </w:tr>
      <w:tr>
        <w:trPr>
          <w:trHeight w:val="230"/>
        </w:trPr>
        <w:tc>
          <w:tcPr>
            <w:tcW w:w="438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(iii) will apply.</w:t>
            </w:r>
          </w:p>
        </w:tc>
      </w:tr>
      <w:tr>
        <w:trPr>
          <w:trHeight w:val="432"/>
        </w:trPr>
        <w:tc>
          <w:tcPr>
            <w:tcW w:w="4380" w:type="dxa"/>
            <w:vAlign w:val="bottom"/>
          </w:tcPr>
          <w:p>
            <w:pPr>
              <w:ind w:left="660"/>
              <w:spacing w:after="0"/>
              <w:rPr>
                <w:sz w:val="20"/>
                <w:szCs w:val="20"/>
                <w:color w:val="auto"/>
              </w:rPr>
            </w:pPr>
            <w:r>
              <w:rPr>
                <w:rFonts w:ascii="Arial" w:cs="Arial" w:eastAsia="Arial" w:hAnsi="Arial"/>
                <w:sz w:val="18"/>
                <w:szCs w:val="18"/>
                <w:color w:val="auto"/>
              </w:rPr>
              <w:t>Consequences of Tender Offers:</w:t>
            </w:r>
          </w:p>
        </w:tc>
        <w:tc>
          <w:tcPr>
            <w:tcW w:w="7080" w:type="dxa"/>
            <w:vAlign w:val="bottom"/>
          </w:tcPr>
          <w:p>
            <w:pPr>
              <w:spacing w:after="0"/>
              <w:rPr>
                <w:sz w:val="24"/>
                <w:szCs w:val="24"/>
                <w:color w:val="auto"/>
              </w:rPr>
            </w:pPr>
          </w:p>
        </w:tc>
      </w:tr>
      <w:tr>
        <w:trPr>
          <w:trHeight w:val="432"/>
        </w:trPr>
        <w:tc>
          <w:tcPr>
            <w:tcW w:w="4380" w:type="dxa"/>
            <w:vAlign w:val="bottom"/>
          </w:tcPr>
          <w:p>
            <w:pPr>
              <w:ind w:left="980"/>
              <w:spacing w:after="0"/>
              <w:rPr>
                <w:sz w:val="20"/>
                <w:szCs w:val="20"/>
                <w:color w:val="auto"/>
              </w:rPr>
            </w:pPr>
            <w:r>
              <w:rPr>
                <w:rFonts w:ascii="Arial" w:cs="Arial" w:eastAsia="Arial" w:hAnsi="Arial"/>
                <w:sz w:val="18"/>
                <w:szCs w:val="18"/>
                <w:color w:val="auto"/>
              </w:rPr>
              <w:t>(a)  Share-for-Share:</w:t>
            </w:r>
          </w:p>
        </w:tc>
        <w:tc>
          <w:tcPr>
            <w:tcW w:w="7080" w:type="dxa"/>
            <w:vAlign w:val="bottom"/>
          </w:tcPr>
          <w:p>
            <w:pPr>
              <w:ind w:left="78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4380" w:type="dxa"/>
            <w:vAlign w:val="bottom"/>
          </w:tcPr>
          <w:p>
            <w:pPr>
              <w:ind w:left="980"/>
              <w:spacing w:after="0"/>
              <w:rPr>
                <w:sz w:val="20"/>
                <w:szCs w:val="20"/>
                <w:color w:val="auto"/>
              </w:rPr>
            </w:pPr>
            <w:r>
              <w:rPr>
                <w:rFonts w:ascii="Arial" w:cs="Arial" w:eastAsia="Arial" w:hAnsi="Arial"/>
                <w:sz w:val="18"/>
                <w:szCs w:val="18"/>
                <w:color w:val="auto"/>
              </w:rPr>
              <w:t>(b)  Share-for-Other:</w:t>
            </w:r>
          </w:p>
        </w:tc>
        <w:tc>
          <w:tcPr>
            <w:tcW w:w="7080" w:type="dxa"/>
            <w:vAlign w:val="bottom"/>
          </w:tcPr>
          <w:p>
            <w:pPr>
              <w:ind w:left="78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4380" w:type="dxa"/>
            <w:vAlign w:val="bottom"/>
          </w:tcPr>
          <w:p>
            <w:pPr>
              <w:ind w:left="980"/>
              <w:spacing w:after="0"/>
              <w:rPr>
                <w:sz w:val="20"/>
                <w:szCs w:val="20"/>
                <w:color w:val="auto"/>
              </w:rPr>
            </w:pPr>
            <w:r>
              <w:rPr>
                <w:rFonts w:ascii="Arial" w:cs="Arial" w:eastAsia="Arial" w:hAnsi="Arial"/>
                <w:sz w:val="18"/>
                <w:szCs w:val="18"/>
                <w:color w:val="auto"/>
              </w:rPr>
              <w:t>(c)  Share-for-Combined:</w:t>
            </w:r>
          </w:p>
        </w:tc>
        <w:tc>
          <w:tcPr>
            <w:tcW w:w="7080" w:type="dxa"/>
            <w:vAlign w:val="bottom"/>
          </w:tcPr>
          <w:p>
            <w:pPr>
              <w:ind w:left="78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4380" w:type="dxa"/>
            <w:vAlign w:val="bottom"/>
          </w:tcPr>
          <w:p>
            <w:pPr>
              <w:ind w:left="660"/>
              <w:spacing w:after="0"/>
              <w:rPr>
                <w:sz w:val="20"/>
                <w:szCs w:val="20"/>
                <w:color w:val="auto"/>
              </w:rPr>
            </w:pPr>
            <w:r>
              <w:rPr>
                <w:rFonts w:ascii="Arial" w:cs="Arial" w:eastAsia="Arial" w:hAnsi="Arial"/>
                <w:sz w:val="18"/>
                <w:szCs w:val="18"/>
                <w:color w:val="auto"/>
              </w:rPr>
              <w:t>Consequences of Announcement Events:</w:t>
            </w: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Modified Calculation Agent Adjustment as set forth in Section 12.3(d) of the Equity</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 xml:space="preserve">Definitions;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in respect of an Announcement Event, (x) references to</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“Tender Offer” shall be replaced by references to “Announcement Event” and</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references to “Tender Offer Date” shall be replaced by references to “date of such</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Announcement Event”, (y) the word “shall” in the second line shall be replaced with</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9"/>
              </w:rPr>
              <w:t>“may”, and (z) for the avoidance of doubt, the Calculation Agent may determine</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whether the relevant Announcement Event has had an economic effect on any</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Component (and, if so, adjust the terms of such Component accordingly) on one or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2"/>
              </w:rPr>
              <w:t>more occasions on or after the date of the Announcement Event up to, and including,</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2"/>
              </w:rPr>
              <w:t>the Expiration Date, any Early Termination Date and/or any other date of cancellation</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thereof, it being understood that any adjustment in respect of an Announcement Event</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shall take into account any earlier adjustment relating to the same Announcement</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2"/>
              </w:rPr>
              <w:t>Event. An Announcement Event shall be an “Extraordinary Event” for purposes of the</w:t>
            </w:r>
          </w:p>
        </w:tc>
      </w:tr>
      <w:tr>
        <w:trPr>
          <w:trHeight w:val="230"/>
        </w:trPr>
        <w:tc>
          <w:tcPr>
            <w:tcW w:w="438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Equity Definitions, to which Article 12 of the Equity Definitions is applicable.</w:t>
            </w:r>
          </w:p>
        </w:tc>
      </w:tr>
      <w:tr>
        <w:trPr>
          <w:trHeight w:val="418"/>
        </w:trPr>
        <w:tc>
          <w:tcPr>
            <w:tcW w:w="4380" w:type="dxa"/>
            <w:vAlign w:val="bottom"/>
          </w:tcPr>
          <w:p>
            <w:pPr>
              <w:ind w:left="660"/>
              <w:spacing w:after="0"/>
              <w:rPr>
                <w:sz w:val="20"/>
                <w:szCs w:val="20"/>
                <w:color w:val="auto"/>
              </w:rPr>
            </w:pPr>
            <w:r>
              <w:rPr>
                <w:rFonts w:ascii="Arial" w:cs="Arial" w:eastAsia="Arial" w:hAnsi="Arial"/>
                <w:sz w:val="18"/>
                <w:szCs w:val="18"/>
                <w:color w:val="auto"/>
              </w:rPr>
              <w:t>Announcement Event:</w:t>
            </w:r>
          </w:p>
        </w:tc>
        <w:tc>
          <w:tcPr>
            <w:tcW w:w="7080" w:type="dxa"/>
            <w:vAlign w:val="bottom"/>
          </w:tcPr>
          <w:p>
            <w:pPr>
              <w:ind w:left="780"/>
              <w:spacing w:after="0"/>
              <w:rPr>
                <w:sz w:val="20"/>
                <w:szCs w:val="20"/>
                <w:color w:val="auto"/>
              </w:rPr>
            </w:pPr>
            <w:r>
              <w:rPr>
                <w:rFonts w:ascii="Arial" w:cs="Arial" w:eastAsia="Arial" w:hAnsi="Arial"/>
                <w:sz w:val="18"/>
                <w:szCs w:val="18"/>
                <w:color w:val="auto"/>
                <w:w w:val="99"/>
              </w:rPr>
              <w:t>(i) The public announcement by any entity of (x) any transaction or event that, if</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completed, would constitute a Merger Event or Tender Offer, (y) any potential</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acquisition or disposition by Issuer and/or its subsidiaries where the aggregate</w:t>
            </w:r>
          </w:p>
        </w:tc>
      </w:tr>
      <w:tr>
        <w:trPr>
          <w:trHeight w:val="212"/>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consideration paid and/or delivered exceeds 15% of the market capitalization of Issuer</w:t>
            </w:r>
          </w:p>
        </w:tc>
      </w:tr>
      <w:tr>
        <w:trPr>
          <w:trHeight w:val="220"/>
        </w:trPr>
        <w:tc>
          <w:tcPr>
            <w:tcW w:w="4380" w:type="dxa"/>
            <w:vAlign w:val="bottom"/>
          </w:tcPr>
          <w:p>
            <w:pPr>
              <w:spacing w:after="0"/>
              <w:rPr>
                <w:sz w:val="19"/>
                <w:szCs w:val="19"/>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4"/>
              </w:rPr>
              <w:t>as of the date of such announcement (an “</w:t>
            </w:r>
            <w:r>
              <w:rPr>
                <w:rFonts w:ascii="Arial" w:cs="Arial" w:eastAsia="Arial" w:hAnsi="Arial"/>
                <w:sz w:val="18"/>
                <w:szCs w:val="18"/>
                <w:b w:val="1"/>
                <w:bCs w:val="1"/>
                <w:color w:val="auto"/>
                <w:w w:val="94"/>
              </w:rPr>
              <w:t>Transformative Transaction</w:t>
            </w:r>
            <w:r>
              <w:rPr>
                <w:rFonts w:ascii="Arial" w:cs="Arial" w:eastAsia="Arial" w:hAnsi="Arial"/>
                <w:sz w:val="18"/>
                <w:szCs w:val="18"/>
                <w:color w:val="auto"/>
                <w:w w:val="94"/>
              </w:rPr>
              <w:t>”) or (z) the</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intention to enter into a Merger Event or Tender Offer or an Transformative</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4"/>
              </w:rPr>
              <w:t>Transaction, (ii) the public announcement by Issuer of an intention to solicit or enter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into, or to explore strategic alternatives or other similar undertaking that may include,</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a Merger Event or Tender Offer or an Transformative Transaction or (iii) any</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subsequent public announcement by any entity of a change to a transaction or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intention that is the subject of an announcement of the type described in clause (i) or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(ii) of this sentence (including, without limitation, a new announcement, whether or</w:t>
            </w:r>
          </w:p>
        </w:tc>
      </w:tr>
      <w:tr>
        <w:trPr>
          <w:trHeight w:val="230"/>
        </w:trPr>
        <w:tc>
          <w:tcPr>
            <w:tcW w:w="438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not by the same party, relating to such a</w:t>
            </w:r>
          </w:p>
        </w:tc>
      </w:tr>
      <w:tr>
        <w:trPr>
          <w:trHeight w:val="432"/>
        </w:trPr>
        <w:tc>
          <w:tcPr>
            <w:tcW w:w="438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7</w:t>
            </w:r>
          </w:p>
        </w:tc>
      </w:tr>
      <w:tr>
        <w:trPr>
          <w:trHeight w:val="132"/>
        </w:trPr>
        <w:tc>
          <w:tcPr>
            <w:tcW w:w="438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transaction or intention or the announcement of a withdrawal from, or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abandonment or discontinuation of, such a transaction or intention), as determined by</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the Calculation Agent. For the avoidance of doubt, the occurrence of an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Announcement Event with respect to any transaction or intention shall not preclude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the occurrence of a later Announcement Event with respect to such transaction or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4"/>
              </w:rPr>
              <w:t>intention. For purposes of this definition of “Announcement Event,” the remainder of</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the definition of “Merger Event” in Section 12.1(b) of the Equity Definitions</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following the definition of “Reverse Merger” therein shall be disregarded.</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Modified Calculation Agent Adjustment:</w:t>
            </w: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If, in respect of a Merger Event, the Counterparty under the Transaction following</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3"/>
              </w:rPr>
              <w:t>such Merger Event will not be the issuer of the New Shares, the Dealer may elect (in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its sole discretion) for Cancellation and Payment (Calculation Agent Determination) to</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apply. In addition, if, in respect of any Merger Event to which Modified Calculation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Agent Adjustment applies, the adjustments to be made in accordance with</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Section 12.2(e)(i) of the Equity Definitions would result in Counterparty being</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4"/>
              </w:rPr>
              <w:t>different from the issuer of the Shares, then with respect to such Merger Event, as a</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8"/>
              </w:rPr>
              <w:t>condition precedent to the adjustments contemplated in Section 12.2(e)(i) of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Equity Definitions, Counterparty and the issuer of the Shares shall, prior to the Merger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0"/>
              </w:rPr>
              <w:t>Date, have entered into such documentation containing representations, warranties and</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agreements relating to securities law and other issues as requested by Dealer that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Dealer has determined, in its reasonable discretion, to be reasonably necessary or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0"/>
              </w:rPr>
              <w:t>appropriate to allow Dealer to continue as a party to the Transaction, as adjusted under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8"/>
              </w:rPr>
              <w:t>Section 12.2(e)(i) of the Equity Definitions, and to preserve its hedging or hedge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unwind activities in connection with the Transaction in a manner compliant with</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applicable legal, regulatory or self-regulatory requirements, or with related policies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and procedures applicable to Dealer (whether or not such requirements or related</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8"/>
              </w:rPr>
              <w:t>policies and procedures are imposed by law or have been voluntarily adopted by</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Dealer), and if such conditions are not met or if the Calculation Agent determines that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no adjustment that it could make under Section 12.2(e)(i) of the Equity Definitions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will produce a commercially reasonable result, then the consequences set forth in</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Section 12.2(e)(ii) of the Equity Definitions shall apply.</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Composition of Combined Consideration:</w:t>
            </w:r>
          </w:p>
        </w:tc>
        <w:tc>
          <w:tcPr>
            <w:tcW w:w="7040" w:type="dxa"/>
            <w:vAlign w:val="bottom"/>
          </w:tcPr>
          <w:p>
            <w:pPr>
              <w:ind w:left="740"/>
              <w:spacing w:after="0"/>
              <w:rPr>
                <w:sz w:val="20"/>
                <w:szCs w:val="20"/>
                <w:color w:val="auto"/>
              </w:rPr>
            </w:pPr>
            <w:r>
              <w:rPr>
                <w:rFonts w:ascii="Arial" w:cs="Arial" w:eastAsia="Arial" w:hAnsi="Arial"/>
                <w:sz w:val="18"/>
                <w:szCs w:val="18"/>
                <w:color w:val="auto"/>
                <w:w w:val="94"/>
              </w:rPr>
              <w:t>Notwithstanding anything to the contrary in the Equity Definitions, if the composition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of Combined Consideration in respect of any Share-for-Combined Merger Event could</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be determined by a holder of Shares, Dealer shall determine the composition of such</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Combined Consideration assumed for purposes</w:t>
            </w:r>
          </w:p>
        </w:tc>
      </w:tr>
      <w:tr>
        <w:trPr>
          <w:trHeight w:val="432"/>
        </w:trPr>
        <w:tc>
          <w:tcPr>
            <w:tcW w:w="4420" w:type="dxa"/>
            <w:vAlign w:val="bottom"/>
          </w:tcPr>
          <w:p>
            <w:pPr>
              <w:spacing w:after="0"/>
              <w:rPr>
                <w:sz w:val="24"/>
                <w:szCs w:val="24"/>
                <w:color w:val="auto"/>
              </w:rPr>
            </w:pPr>
          </w:p>
        </w:tc>
        <w:tc>
          <w:tcPr>
            <w:tcW w:w="7040" w:type="dxa"/>
            <w:vAlign w:val="bottom"/>
          </w:tcPr>
          <w:p>
            <w:pPr>
              <w:ind w:left="1240"/>
              <w:spacing w:after="0"/>
              <w:rPr>
                <w:sz w:val="20"/>
                <w:szCs w:val="20"/>
                <w:color w:val="auto"/>
              </w:rPr>
            </w:pPr>
            <w:r>
              <w:rPr>
                <w:rFonts w:ascii="Arial" w:cs="Arial" w:eastAsia="Arial" w:hAnsi="Arial"/>
                <w:sz w:val="18"/>
                <w:szCs w:val="18"/>
                <w:color w:val="auto"/>
              </w:rPr>
              <w:t>8</w:t>
            </w:r>
          </w:p>
        </w:tc>
      </w:tr>
      <w:tr>
        <w:trPr>
          <w:trHeight w:val="132"/>
        </w:trPr>
        <w:tc>
          <w:tcPr>
            <w:tcW w:w="442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of adjustments and deliveries hereunder in its sole discretion.</w:t>
            </w:r>
          </w:p>
        </w:tc>
      </w:tr>
      <w:tr>
        <w:trPr>
          <w:trHeight w:val="418"/>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Nationalization, Insolvency or Delisting:</w:t>
            </w:r>
          </w:p>
        </w:tc>
        <w:tc>
          <w:tcPr>
            <w:tcW w:w="7080" w:type="dxa"/>
            <w:vAlign w:val="bottom"/>
          </w:tcPr>
          <w:p>
            <w:pPr>
              <w:ind w:left="78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addition to the provisions of Section 12.6(a)(iii) of the Equity Definitions, it will also</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constitute a Delisting if the Shares are not immediately re-listed, re-traded or re-quoted</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on any of the New York Stock Exchange, The NASDAQ Global Select Market or The</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NASDAQ Global Market (or their respective successors); if the Shares are</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8"/>
              </w:rPr>
              <w:t>immediately re-listed, re-traded or re-quoted on any such exchange or quotation</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7"/>
              </w:rPr>
              <w:t>system, such exchange or quotation system shall thereafter be deemed to be the</w:t>
            </w:r>
          </w:p>
        </w:tc>
      </w:tr>
      <w:tr>
        <w:trPr>
          <w:trHeight w:val="230"/>
        </w:trPr>
        <w:tc>
          <w:tcPr>
            <w:tcW w:w="12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Exchange.</w:t>
            </w:r>
          </w:p>
        </w:tc>
      </w:tr>
      <w:tr>
        <w:trPr>
          <w:trHeight w:val="418"/>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Additional Termination Event(s):</w:t>
            </w: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Notwithstanding anything to the contrary in the Equity Definitions, if, as a result of an</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Extraordinary Event, the Transaction would be cancelled or terminated (whether in</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whole or in part) pursuant to Article 12 of the Equity Definitions, an Additional</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Termination Event (with the Transaction (or the cancelled or terminated portion</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7"/>
              </w:rPr>
              <w:t>thereof) being the Affected Transaction and Counterparty being the sole Affected</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Party) shall be deemed to occur, and, in lieu of Sections 12.7, 12.8 and 12.9 of the</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Equity Definitions, Section 6 of the Agreement shall apply to such Affected</w:t>
            </w:r>
          </w:p>
        </w:tc>
      </w:tr>
      <w:tr>
        <w:trPr>
          <w:trHeight w:val="230"/>
        </w:trPr>
        <w:tc>
          <w:tcPr>
            <w:tcW w:w="12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Transaction.</w:t>
            </w:r>
          </w:p>
        </w:tc>
      </w:tr>
      <w:tr>
        <w:trPr>
          <w:trHeight w:val="432"/>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Additional Disruption Events:</w:t>
            </w:r>
          </w:p>
        </w:tc>
        <w:tc>
          <w:tcPr>
            <w:tcW w:w="7080" w:type="dxa"/>
            <w:vAlign w:val="bottom"/>
          </w:tcPr>
          <w:p>
            <w:pPr>
              <w:spacing w:after="0"/>
              <w:rPr>
                <w:sz w:val="24"/>
                <w:szCs w:val="24"/>
                <w:color w:val="auto"/>
              </w:rPr>
            </w:pPr>
          </w:p>
        </w:tc>
      </w:tr>
      <w:tr>
        <w:trPr>
          <w:trHeight w:val="418"/>
        </w:trPr>
        <w:tc>
          <w:tcPr>
            <w:tcW w:w="1260" w:type="dxa"/>
            <w:vAlign w:val="bottom"/>
          </w:tcPr>
          <w:p>
            <w:pPr>
              <w:ind w:left="980"/>
              <w:spacing w:after="0"/>
              <w:rPr>
                <w:sz w:val="20"/>
                <w:szCs w:val="20"/>
                <w:color w:val="auto"/>
              </w:rPr>
            </w:pPr>
            <w:r>
              <w:rPr>
                <w:rFonts w:ascii="Arial" w:cs="Arial" w:eastAsia="Arial" w:hAnsi="Arial"/>
                <w:sz w:val="18"/>
                <w:szCs w:val="18"/>
                <w:color w:val="auto"/>
              </w:rPr>
              <w:t>(a)</w:t>
            </w:r>
          </w:p>
        </w:tc>
        <w:tc>
          <w:tcPr>
            <w:tcW w:w="3120" w:type="dxa"/>
            <w:vAlign w:val="bottom"/>
          </w:tcPr>
          <w:p>
            <w:pPr>
              <w:ind w:left="60"/>
              <w:spacing w:after="0"/>
              <w:rPr>
                <w:sz w:val="20"/>
                <w:szCs w:val="20"/>
                <w:color w:val="auto"/>
              </w:rPr>
            </w:pPr>
            <w:r>
              <w:rPr>
                <w:rFonts w:ascii="Arial" w:cs="Arial" w:eastAsia="Arial" w:hAnsi="Arial"/>
                <w:sz w:val="18"/>
                <w:szCs w:val="18"/>
                <w:color w:val="auto"/>
              </w:rPr>
              <w:t>Change in Law:</w:t>
            </w:r>
          </w:p>
        </w:tc>
        <w:tc>
          <w:tcPr>
            <w:tcW w:w="7080" w:type="dxa"/>
            <w:vAlign w:val="bottom"/>
          </w:tcPr>
          <w:p>
            <w:pPr>
              <w:ind w:left="780"/>
              <w:spacing w:after="0"/>
              <w:rPr>
                <w:sz w:val="20"/>
                <w:szCs w:val="20"/>
                <w:color w:val="auto"/>
              </w:rPr>
            </w:pPr>
            <w:r>
              <w:rPr>
                <w:rFonts w:ascii="Arial" w:cs="Arial" w:eastAsia="Arial" w:hAnsi="Arial"/>
                <w:sz w:val="18"/>
                <w:szCs w:val="18"/>
                <w:color w:val="auto"/>
              </w:rPr>
              <w:t>Applicable; provided that Section 12.9(a)(ii) of the Equity Definitions is hereby</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amended by (i) replacing the phrase “the interpretation” in the third line thereof with</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the phrase “, or public announcement of, the formal or informal interpretation”, (ii) by</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adding the phrase “and/or Hedge Position” after the word “Shares” in clause</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(X) thereof and (iii) by immediately following the word “Transaction” in clause</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(X) thereof, adding the phrase “in the manner contemplated by the Hedging Party on</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the Trade Date”; and provided further that Section 12.9(a)(ii) of the Equity Definitions</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is hereby amended by (i) replacing the parenthetical beginning after the word</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“regulation” in the second line thereof with the phrase “(including, for the avoidance</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8"/>
              </w:rPr>
              <w:t>of doubt and without limitation, (x) any tax law or (y) adoption or promulgation of</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new regulations authorized or mandated by existing statute)” and (ii) adding the words</w:t>
            </w:r>
          </w:p>
        </w:tc>
      </w:tr>
      <w:tr>
        <w:trPr>
          <w:trHeight w:val="216"/>
        </w:trPr>
        <w:tc>
          <w:tcPr>
            <w:tcW w:w="1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 or holding, acquiring or disposing of Shares or any Hedge Positions relating to,”</w:t>
            </w:r>
          </w:p>
        </w:tc>
      </w:tr>
      <w:tr>
        <w:trPr>
          <w:trHeight w:val="230"/>
        </w:trPr>
        <w:tc>
          <w:tcPr>
            <w:tcW w:w="12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after the words “obligations under” in clause (Y) thereof.</w:t>
            </w:r>
          </w:p>
        </w:tc>
      </w:tr>
      <w:tr>
        <w:trPr>
          <w:trHeight w:val="432"/>
        </w:trPr>
        <w:tc>
          <w:tcPr>
            <w:tcW w:w="1260" w:type="dxa"/>
            <w:vAlign w:val="bottom"/>
          </w:tcPr>
          <w:p>
            <w:pPr>
              <w:ind w:left="980"/>
              <w:spacing w:after="0"/>
              <w:rPr>
                <w:sz w:val="20"/>
                <w:szCs w:val="20"/>
                <w:color w:val="auto"/>
              </w:rPr>
            </w:pPr>
            <w:r>
              <w:rPr>
                <w:rFonts w:ascii="Arial" w:cs="Arial" w:eastAsia="Arial" w:hAnsi="Arial"/>
                <w:sz w:val="18"/>
                <w:szCs w:val="18"/>
                <w:color w:val="auto"/>
              </w:rPr>
              <w:t>(b)</w:t>
            </w:r>
          </w:p>
        </w:tc>
        <w:tc>
          <w:tcPr>
            <w:tcW w:w="3120" w:type="dxa"/>
            <w:vAlign w:val="bottom"/>
          </w:tcPr>
          <w:p>
            <w:pPr>
              <w:ind w:left="60"/>
              <w:spacing w:after="0"/>
              <w:rPr>
                <w:sz w:val="20"/>
                <w:szCs w:val="20"/>
                <w:color w:val="auto"/>
              </w:rPr>
            </w:pPr>
            <w:r>
              <w:rPr>
                <w:rFonts w:ascii="Arial" w:cs="Arial" w:eastAsia="Arial" w:hAnsi="Arial"/>
                <w:sz w:val="18"/>
                <w:szCs w:val="18"/>
                <w:color w:val="auto"/>
              </w:rPr>
              <w:t>Failure to Deliver:</w:t>
            </w:r>
          </w:p>
        </w:tc>
        <w:tc>
          <w:tcPr>
            <w:tcW w:w="7080" w:type="dxa"/>
            <w:vAlign w:val="bottom"/>
          </w:tcPr>
          <w:p>
            <w:pPr>
              <w:ind w:left="780"/>
              <w:spacing w:after="0"/>
              <w:rPr>
                <w:sz w:val="20"/>
                <w:szCs w:val="20"/>
                <w:color w:val="auto"/>
              </w:rPr>
            </w:pPr>
            <w:r>
              <w:rPr>
                <w:rFonts w:ascii="Arial" w:cs="Arial" w:eastAsia="Arial" w:hAnsi="Arial"/>
                <w:sz w:val="18"/>
                <w:szCs w:val="18"/>
                <w:color w:val="auto"/>
              </w:rPr>
              <w:t>Not Applicable</w:t>
            </w:r>
          </w:p>
        </w:tc>
      </w:tr>
      <w:tr>
        <w:trPr>
          <w:trHeight w:val="432"/>
        </w:trPr>
        <w:tc>
          <w:tcPr>
            <w:tcW w:w="1260" w:type="dxa"/>
            <w:vAlign w:val="bottom"/>
          </w:tcPr>
          <w:p>
            <w:pPr>
              <w:ind w:left="980"/>
              <w:spacing w:after="0"/>
              <w:rPr>
                <w:sz w:val="20"/>
                <w:szCs w:val="20"/>
                <w:color w:val="auto"/>
              </w:rPr>
            </w:pPr>
            <w:r>
              <w:rPr>
                <w:rFonts w:ascii="Arial" w:cs="Arial" w:eastAsia="Arial" w:hAnsi="Arial"/>
                <w:sz w:val="18"/>
                <w:szCs w:val="18"/>
                <w:color w:val="auto"/>
              </w:rPr>
              <w:t>(c)</w:t>
            </w:r>
          </w:p>
        </w:tc>
        <w:tc>
          <w:tcPr>
            <w:tcW w:w="3120" w:type="dxa"/>
            <w:vAlign w:val="bottom"/>
          </w:tcPr>
          <w:p>
            <w:pPr>
              <w:ind w:left="60"/>
              <w:spacing w:after="0"/>
              <w:rPr>
                <w:sz w:val="20"/>
                <w:szCs w:val="20"/>
                <w:color w:val="auto"/>
              </w:rPr>
            </w:pPr>
            <w:r>
              <w:rPr>
                <w:rFonts w:ascii="Arial" w:cs="Arial" w:eastAsia="Arial" w:hAnsi="Arial"/>
                <w:sz w:val="18"/>
                <w:szCs w:val="18"/>
                <w:color w:val="auto"/>
              </w:rPr>
              <w:t>Insolvency Filing:</w:t>
            </w:r>
          </w:p>
        </w:tc>
        <w:tc>
          <w:tcPr>
            <w:tcW w:w="7080" w:type="dxa"/>
            <w:vAlign w:val="bottom"/>
          </w:tcPr>
          <w:p>
            <w:pPr>
              <w:ind w:left="780"/>
              <w:spacing w:after="0"/>
              <w:rPr>
                <w:sz w:val="20"/>
                <w:szCs w:val="20"/>
                <w:color w:val="auto"/>
              </w:rPr>
            </w:pPr>
            <w:r>
              <w:rPr>
                <w:rFonts w:ascii="Arial" w:cs="Arial" w:eastAsia="Arial" w:hAnsi="Arial"/>
                <w:sz w:val="18"/>
                <w:szCs w:val="18"/>
                <w:color w:val="auto"/>
              </w:rPr>
              <w:t>Applicable</w:t>
            </w:r>
          </w:p>
        </w:tc>
      </w:tr>
      <w:tr>
        <w:trPr>
          <w:trHeight w:val="432"/>
        </w:trPr>
        <w:tc>
          <w:tcPr>
            <w:tcW w:w="1260" w:type="dxa"/>
            <w:vAlign w:val="bottom"/>
          </w:tcPr>
          <w:p>
            <w:pPr>
              <w:ind w:left="980"/>
              <w:spacing w:after="0"/>
              <w:rPr>
                <w:sz w:val="20"/>
                <w:szCs w:val="20"/>
                <w:color w:val="auto"/>
              </w:rPr>
            </w:pPr>
            <w:r>
              <w:rPr>
                <w:rFonts w:ascii="Arial" w:cs="Arial" w:eastAsia="Arial" w:hAnsi="Arial"/>
                <w:sz w:val="18"/>
                <w:szCs w:val="18"/>
                <w:color w:val="auto"/>
              </w:rPr>
              <w:t>(d)</w:t>
            </w:r>
          </w:p>
        </w:tc>
        <w:tc>
          <w:tcPr>
            <w:tcW w:w="3120" w:type="dxa"/>
            <w:vAlign w:val="bottom"/>
          </w:tcPr>
          <w:p>
            <w:pPr>
              <w:ind w:left="60"/>
              <w:spacing w:after="0"/>
              <w:rPr>
                <w:sz w:val="20"/>
                <w:szCs w:val="20"/>
                <w:color w:val="auto"/>
              </w:rPr>
            </w:pPr>
            <w:r>
              <w:rPr>
                <w:rFonts w:ascii="Arial" w:cs="Arial" w:eastAsia="Arial" w:hAnsi="Arial"/>
                <w:sz w:val="18"/>
                <w:szCs w:val="18"/>
                <w:color w:val="auto"/>
              </w:rPr>
              <w:t>Hedging Disruption:</w:t>
            </w:r>
          </w:p>
        </w:tc>
        <w:tc>
          <w:tcPr>
            <w:tcW w:w="7080" w:type="dxa"/>
            <w:vAlign w:val="bottom"/>
          </w:tcPr>
          <w:p>
            <w:pPr>
              <w:ind w:left="7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32"/>
        </w:trPr>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9</w:t>
            </w:r>
          </w:p>
        </w:tc>
      </w:tr>
      <w:tr>
        <w:trPr>
          <w:trHeight w:val="132"/>
        </w:trPr>
        <w:tc>
          <w:tcPr>
            <w:tcW w:w="126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(i)  Section 12.9(a)(v) of the Equity Definitions is hereby amended by</w:t>
            </w:r>
          </w:p>
        </w:tc>
      </w:tr>
      <w:tr>
        <w:trPr>
          <w:trHeight w:val="418"/>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w w:val="93"/>
              </w:rPr>
              <w:t>(a)  inserting the following words at the end of clause (A) thereof: “in the manner</w:t>
            </w:r>
          </w:p>
        </w:tc>
      </w:t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40" w:type="dxa"/>
            <w:vAlign w:val="bottom"/>
          </w:tcPr>
          <w:p>
            <w:pPr>
              <w:ind w:left="1380"/>
              <w:spacing w:after="0"/>
              <w:rPr>
                <w:sz w:val="20"/>
                <w:szCs w:val="20"/>
                <w:color w:val="auto"/>
              </w:rPr>
            </w:pPr>
            <w:r>
              <w:rPr>
                <w:rFonts w:ascii="Arial" w:cs="Arial" w:eastAsia="Arial" w:hAnsi="Arial"/>
                <w:sz w:val="18"/>
                <w:szCs w:val="18"/>
                <w:color w:val="auto"/>
              </w:rPr>
              <w:t>contemplated by the Hedging Party on the Trade Date” and</w:t>
            </w:r>
          </w:p>
        </w:tc>
      </w:tr>
      <w:tr>
        <w:trPr>
          <w:trHeight w:val="432"/>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rPr>
              <w:t>(b)  inserting the following sentence at the end of such Section:</w:t>
            </w:r>
          </w:p>
        </w:tc>
      </w:tr>
      <w:tr>
        <w:trPr>
          <w:trHeight w:val="418"/>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40" w:type="dxa"/>
            <w:vAlign w:val="bottom"/>
          </w:tcPr>
          <w:p>
            <w:pPr>
              <w:ind w:left="1380"/>
              <w:spacing w:after="0"/>
              <w:rPr>
                <w:sz w:val="20"/>
                <w:szCs w:val="20"/>
                <w:color w:val="auto"/>
              </w:rPr>
            </w:pPr>
            <w:r>
              <w:rPr>
                <w:rFonts w:ascii="Arial" w:cs="Arial" w:eastAsia="Arial" w:hAnsi="Arial"/>
                <w:sz w:val="18"/>
                <w:szCs w:val="18"/>
                <w:color w:val="auto"/>
                <w:w w:val="94"/>
              </w:rPr>
              <w:t>“For the avoidance of doubt, (i) the term “equity price risk” shall be deemed</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40" w:type="dxa"/>
            <w:vAlign w:val="bottom"/>
          </w:tcPr>
          <w:p>
            <w:pPr>
              <w:ind w:left="1380"/>
              <w:spacing w:after="0"/>
              <w:rPr>
                <w:sz w:val="20"/>
                <w:szCs w:val="20"/>
                <w:color w:val="auto"/>
              </w:rPr>
            </w:pPr>
            <w:r>
              <w:rPr>
                <w:rFonts w:ascii="Arial" w:cs="Arial" w:eastAsia="Arial" w:hAnsi="Arial"/>
                <w:sz w:val="18"/>
                <w:szCs w:val="18"/>
                <w:color w:val="auto"/>
              </w:rPr>
              <w:t>to include, but shall not be limited to, stock price and volatility risk, and</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40" w:type="dxa"/>
            <w:vAlign w:val="bottom"/>
          </w:tcPr>
          <w:p>
            <w:pPr>
              <w:ind w:left="1380"/>
              <w:spacing w:after="0"/>
              <w:rPr>
                <w:sz w:val="20"/>
                <w:szCs w:val="20"/>
                <w:color w:val="auto"/>
              </w:rPr>
            </w:pPr>
            <w:r>
              <w:rPr>
                <w:rFonts w:ascii="Arial" w:cs="Arial" w:eastAsia="Arial" w:hAnsi="Arial"/>
                <w:sz w:val="18"/>
                <w:szCs w:val="18"/>
                <w:color w:val="auto"/>
                <w:w w:val="92"/>
              </w:rPr>
              <w:t>(ii) the transactions or assets referred to in phrases (A) or (B) above must be</w:t>
            </w:r>
          </w:p>
        </w:tc>
      </w:t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40" w:type="dxa"/>
            <w:vAlign w:val="bottom"/>
          </w:tcPr>
          <w:p>
            <w:pPr>
              <w:ind w:left="1380"/>
              <w:spacing w:after="0"/>
              <w:rPr>
                <w:sz w:val="20"/>
                <w:szCs w:val="20"/>
                <w:color w:val="auto"/>
              </w:rPr>
            </w:pPr>
            <w:r>
              <w:rPr>
                <w:rFonts w:ascii="Arial" w:cs="Arial" w:eastAsia="Arial" w:hAnsi="Arial"/>
                <w:sz w:val="18"/>
                <w:szCs w:val="18"/>
                <w:color w:val="auto"/>
              </w:rPr>
              <w:t>available on commercially reasonable pricing and other terms.”; and</w:t>
            </w:r>
          </w:p>
        </w:tc>
      </w:tr>
      <w:tr>
        <w:trPr>
          <w:trHeight w:val="418"/>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(ii)  Section 12.9(b)(iii) of the Equity Definitions is hereby amended by inserting in</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w w:val="92"/>
              </w:rPr>
              <w:t>the third line thereof, after the words “to terminate the Transaction”, the words “or</w:t>
            </w:r>
          </w:p>
        </w:tc>
      </w:t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rPr>
              <w:t>a portion of the Transaction affected by such Hedging Disruption”.</w:t>
            </w:r>
          </w:p>
        </w:tc>
      </w:tr>
      <w:tr>
        <w:trPr>
          <w:trHeight w:val="418"/>
        </w:trPr>
        <w:tc>
          <w:tcPr>
            <w:tcW w:w="9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(e)  Increased Cost of Hedging:</w:t>
            </w: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 xml:space="preserve">Applicable;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the following parenthetical shall be inserted immediately</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9"/>
              </w:rPr>
              <w:t>following the word “expense” in the third line of Section 12.9(a)(vi) of the Equity</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Definitions: “(including, for the avoidance of doubt, the incurrence of any stock</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borrow expense in excess of Hedging Party’s expectation as of the Trade Date, other</w:t>
            </w:r>
          </w:p>
        </w:tc>
      </w:t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than to the extent resulting from an Increased Cost of Stock Borrow)”.</w:t>
            </w:r>
          </w:p>
        </w:tc>
      </w:tr>
      <w:tr>
        <w:trPr>
          <w:trHeight w:val="432"/>
        </w:trPr>
        <w:tc>
          <w:tcPr>
            <w:tcW w:w="9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(f)  Loss of Stock Borrow:</w:t>
            </w:r>
          </w:p>
        </w:tc>
        <w:tc>
          <w:tcPr>
            <w:tcW w:w="7040" w:type="dxa"/>
            <w:vAlign w:val="bottom"/>
          </w:tcPr>
          <w:p>
            <w:pPr>
              <w:ind w:left="740"/>
              <w:spacing w:after="0"/>
              <w:rPr>
                <w:sz w:val="20"/>
                <w:szCs w:val="20"/>
                <w:color w:val="auto"/>
              </w:rPr>
            </w:pPr>
            <w:r>
              <w:rPr>
                <w:rFonts w:ascii="Arial" w:cs="Arial" w:eastAsia="Arial" w:hAnsi="Arial"/>
                <w:sz w:val="18"/>
                <w:szCs w:val="18"/>
                <w:color w:val="auto"/>
              </w:rPr>
              <w:t>Applicable</w:t>
            </w:r>
          </w:p>
        </w:tc>
      </w:tr>
      <w:tr>
        <w:trPr>
          <w:trHeight w:val="432"/>
        </w:trPr>
        <w:tc>
          <w:tcPr>
            <w:tcW w:w="980" w:type="dxa"/>
            <w:vAlign w:val="bottom"/>
          </w:tcPr>
          <w:p>
            <w:pPr>
              <w:spacing w:after="0"/>
              <w:rPr>
                <w:sz w:val="24"/>
                <w:szCs w:val="24"/>
                <w:color w:val="auto"/>
              </w:rPr>
            </w:pPr>
          </w:p>
        </w:tc>
        <w:tc>
          <w:tcPr>
            <w:tcW w:w="3440" w:type="dxa"/>
            <w:vAlign w:val="bottom"/>
            <w:gridSpan w:val="3"/>
          </w:tcPr>
          <w:p>
            <w:pPr>
              <w:ind w:left="320"/>
              <w:spacing w:after="0"/>
              <w:rPr>
                <w:sz w:val="20"/>
                <w:szCs w:val="20"/>
                <w:color w:val="auto"/>
              </w:rPr>
            </w:pPr>
            <w:r>
              <w:rPr>
                <w:rFonts w:ascii="Arial" w:cs="Arial" w:eastAsia="Arial" w:hAnsi="Arial"/>
                <w:sz w:val="18"/>
                <w:szCs w:val="18"/>
                <w:color w:val="auto"/>
              </w:rPr>
              <w:t>Maximum Stock Loan Rate:</w:t>
            </w:r>
          </w:p>
        </w:tc>
        <w:tc>
          <w:tcPr>
            <w:tcW w:w="7040" w:type="dxa"/>
            <w:vAlign w:val="bottom"/>
          </w:tcPr>
          <w:p>
            <w:pPr>
              <w:ind w:left="740"/>
              <w:spacing w:after="0"/>
              <w:rPr>
                <w:sz w:val="20"/>
                <w:szCs w:val="20"/>
                <w:color w:val="auto"/>
              </w:rPr>
            </w:pPr>
            <w:r>
              <w:rPr>
                <w:rFonts w:ascii="Arial" w:cs="Arial" w:eastAsia="Arial" w:hAnsi="Arial"/>
                <w:sz w:val="18"/>
                <w:szCs w:val="18"/>
                <w:color w:val="auto"/>
              </w:rPr>
              <w:t>2.00% per annum</w:t>
            </w:r>
          </w:p>
        </w:tc>
      </w:tr>
      <w:tr>
        <w:trPr>
          <w:trHeight w:val="432"/>
        </w:trPr>
        <w:tc>
          <w:tcPr>
            <w:tcW w:w="9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(g)  Increased Cost of Stock Borrow:</w:t>
            </w:r>
          </w:p>
        </w:tc>
        <w:tc>
          <w:tcPr>
            <w:tcW w:w="7040" w:type="dxa"/>
            <w:vAlign w:val="bottom"/>
          </w:tcPr>
          <w:p>
            <w:pPr>
              <w:ind w:left="740"/>
              <w:spacing w:after="0"/>
              <w:rPr>
                <w:sz w:val="20"/>
                <w:szCs w:val="20"/>
                <w:color w:val="auto"/>
              </w:rPr>
            </w:pPr>
            <w:r>
              <w:rPr>
                <w:rFonts w:ascii="Arial" w:cs="Arial" w:eastAsia="Arial" w:hAnsi="Arial"/>
                <w:sz w:val="18"/>
                <w:szCs w:val="18"/>
                <w:color w:val="auto"/>
              </w:rPr>
              <w:t>Applicable</w:t>
            </w:r>
          </w:p>
        </w:tc>
      </w:tr>
      <w:tr>
        <w:trPr>
          <w:trHeight w:val="432"/>
        </w:trPr>
        <w:tc>
          <w:tcPr>
            <w:tcW w:w="980" w:type="dxa"/>
            <w:vAlign w:val="bottom"/>
          </w:tcPr>
          <w:p>
            <w:pPr>
              <w:spacing w:after="0"/>
              <w:rPr>
                <w:sz w:val="24"/>
                <w:szCs w:val="24"/>
                <w:color w:val="auto"/>
              </w:rPr>
            </w:pPr>
          </w:p>
        </w:tc>
        <w:tc>
          <w:tcPr>
            <w:tcW w:w="3440" w:type="dxa"/>
            <w:vAlign w:val="bottom"/>
            <w:gridSpan w:val="3"/>
          </w:tcPr>
          <w:p>
            <w:pPr>
              <w:ind w:left="320"/>
              <w:spacing w:after="0"/>
              <w:rPr>
                <w:sz w:val="20"/>
                <w:szCs w:val="20"/>
                <w:color w:val="auto"/>
              </w:rPr>
            </w:pPr>
            <w:r>
              <w:rPr>
                <w:rFonts w:ascii="Arial" w:cs="Arial" w:eastAsia="Arial" w:hAnsi="Arial"/>
                <w:sz w:val="18"/>
                <w:szCs w:val="18"/>
                <w:color w:val="auto"/>
              </w:rPr>
              <w:t>Initial Stock Loan Rate:</w:t>
            </w:r>
          </w:p>
        </w:tc>
        <w:tc>
          <w:tcPr>
            <w:tcW w:w="7040" w:type="dxa"/>
            <w:vAlign w:val="bottom"/>
          </w:tcPr>
          <w:p>
            <w:pPr>
              <w:ind w:left="740"/>
              <w:spacing w:after="0"/>
              <w:rPr>
                <w:sz w:val="20"/>
                <w:szCs w:val="20"/>
                <w:color w:val="auto"/>
              </w:rPr>
            </w:pPr>
            <w:r>
              <w:rPr>
                <w:rFonts w:ascii="Arial" w:cs="Arial" w:eastAsia="Arial" w:hAnsi="Arial"/>
                <w:sz w:val="18"/>
                <w:szCs w:val="18"/>
                <w:color w:val="auto"/>
              </w:rPr>
              <w:t>Prior to April 2, 2025, 0% per annum, and thereafter, 0.25% per annum.</w:t>
            </w:r>
          </w:p>
        </w:tc>
      </w:tr>
      <w:tr>
        <w:trPr>
          <w:trHeight w:val="432"/>
        </w:trPr>
        <w:tc>
          <w:tcPr>
            <w:tcW w:w="4420" w:type="dxa"/>
            <w:vAlign w:val="bottom"/>
            <w:gridSpan w:val="4"/>
          </w:tcPr>
          <w:p>
            <w:pPr>
              <w:ind w:left="660"/>
              <w:spacing w:after="0"/>
              <w:rPr>
                <w:sz w:val="20"/>
                <w:szCs w:val="20"/>
                <w:color w:val="auto"/>
              </w:rPr>
            </w:pPr>
            <w:r>
              <w:rPr>
                <w:rFonts w:ascii="Arial" w:cs="Arial" w:eastAsia="Arial" w:hAnsi="Arial"/>
                <w:sz w:val="18"/>
                <w:szCs w:val="18"/>
                <w:color w:val="auto"/>
              </w:rPr>
              <w:t>Hedging Party:</w:t>
            </w:r>
          </w:p>
        </w:tc>
        <w:tc>
          <w:tcPr>
            <w:tcW w:w="7040" w:type="dxa"/>
            <w:vAlign w:val="bottom"/>
          </w:tcPr>
          <w:p>
            <w:pPr>
              <w:ind w:left="74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432"/>
        </w:trPr>
        <w:tc>
          <w:tcPr>
            <w:tcW w:w="4420" w:type="dxa"/>
            <w:vAlign w:val="bottom"/>
            <w:gridSpan w:val="4"/>
          </w:tcPr>
          <w:p>
            <w:pPr>
              <w:ind w:left="660"/>
              <w:spacing w:after="0"/>
              <w:rPr>
                <w:sz w:val="20"/>
                <w:szCs w:val="20"/>
                <w:color w:val="auto"/>
              </w:rPr>
            </w:pPr>
            <w:r>
              <w:rPr>
                <w:rFonts w:ascii="Arial" w:cs="Arial" w:eastAsia="Arial" w:hAnsi="Arial"/>
                <w:sz w:val="18"/>
                <w:szCs w:val="18"/>
                <w:color w:val="auto"/>
              </w:rPr>
              <w:t>Determining Party:</w:t>
            </w:r>
          </w:p>
        </w:tc>
        <w:tc>
          <w:tcPr>
            <w:tcW w:w="7040" w:type="dxa"/>
            <w:vAlign w:val="bottom"/>
          </w:tcPr>
          <w:p>
            <w:pPr>
              <w:ind w:left="74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432"/>
        </w:trPr>
        <w:tc>
          <w:tcPr>
            <w:tcW w:w="4420" w:type="dxa"/>
            <w:vAlign w:val="bottom"/>
            <w:gridSpan w:val="4"/>
          </w:tcPr>
          <w:p>
            <w:pPr>
              <w:ind w:left="660"/>
              <w:spacing w:after="0"/>
              <w:rPr>
                <w:sz w:val="20"/>
                <w:szCs w:val="20"/>
                <w:color w:val="auto"/>
              </w:rPr>
            </w:pPr>
            <w:r>
              <w:rPr>
                <w:rFonts w:ascii="Arial" w:cs="Arial" w:eastAsia="Arial" w:hAnsi="Arial"/>
                <w:sz w:val="18"/>
                <w:szCs w:val="18"/>
                <w:color w:val="auto"/>
              </w:rPr>
              <w:t>Non-Reliance:</w:t>
            </w:r>
          </w:p>
        </w:tc>
        <w:tc>
          <w:tcPr>
            <w:tcW w:w="7040" w:type="dxa"/>
            <w:vAlign w:val="bottom"/>
          </w:tcPr>
          <w:p>
            <w:pPr>
              <w:ind w:left="740"/>
              <w:spacing w:after="0"/>
              <w:rPr>
                <w:sz w:val="20"/>
                <w:szCs w:val="20"/>
                <w:color w:val="auto"/>
              </w:rPr>
            </w:pPr>
            <w:r>
              <w:rPr>
                <w:rFonts w:ascii="Arial" w:cs="Arial" w:eastAsia="Arial" w:hAnsi="Arial"/>
                <w:sz w:val="18"/>
                <w:szCs w:val="18"/>
                <w:color w:val="auto"/>
              </w:rPr>
              <w:t>Applicable</w:t>
            </w:r>
          </w:p>
        </w:tc>
      </w:tr>
      <w:tr>
        <w:trPr>
          <w:trHeight w:val="432"/>
        </w:trPr>
        <w:tc>
          <w:tcPr>
            <w:tcW w:w="4420" w:type="dxa"/>
            <w:vAlign w:val="bottom"/>
            <w:gridSpan w:val="4"/>
          </w:tcPr>
          <w:p>
            <w:pPr>
              <w:ind w:left="660"/>
              <w:spacing w:after="0"/>
              <w:rPr>
                <w:sz w:val="20"/>
                <w:szCs w:val="20"/>
                <w:color w:val="auto"/>
              </w:rPr>
            </w:pPr>
            <w:r>
              <w:rPr>
                <w:rFonts w:ascii="Arial" w:cs="Arial" w:eastAsia="Arial" w:hAnsi="Arial"/>
                <w:sz w:val="18"/>
                <w:szCs w:val="18"/>
                <w:color w:val="auto"/>
              </w:rPr>
              <w:t>Agreements and Acknowledgments</w:t>
            </w:r>
          </w:p>
        </w:tc>
        <w:tc>
          <w:tcPr>
            <w:tcW w:w="7040" w:type="dxa"/>
            <w:vAlign w:val="bottom"/>
          </w:tcPr>
          <w:p>
            <w:pPr>
              <w:spacing w:after="0"/>
              <w:rPr>
                <w:sz w:val="24"/>
                <w:szCs w:val="24"/>
                <w:color w:val="auto"/>
              </w:rPr>
            </w:pPr>
          </w:p>
        </w:tc>
      </w:tr>
      <w:tr>
        <w:trPr>
          <w:trHeight w:val="432"/>
        </w:trPr>
        <w:tc>
          <w:tcPr>
            <w:tcW w:w="4420" w:type="dxa"/>
            <w:vAlign w:val="bottom"/>
            <w:gridSpan w:val="4"/>
          </w:tcPr>
          <w:p>
            <w:pPr>
              <w:ind w:left="660"/>
              <w:spacing w:after="0"/>
              <w:rPr>
                <w:sz w:val="20"/>
                <w:szCs w:val="20"/>
                <w:color w:val="auto"/>
              </w:rPr>
            </w:pPr>
            <w:r>
              <w:rPr>
                <w:rFonts w:ascii="Arial" w:cs="Arial" w:eastAsia="Arial" w:hAnsi="Arial"/>
                <w:sz w:val="18"/>
                <w:szCs w:val="18"/>
                <w:color w:val="auto"/>
              </w:rPr>
              <w:t>Regarding Hedging Activities:</w:t>
            </w:r>
          </w:p>
        </w:tc>
        <w:tc>
          <w:tcPr>
            <w:tcW w:w="7040" w:type="dxa"/>
            <w:vAlign w:val="bottom"/>
          </w:tcPr>
          <w:p>
            <w:pPr>
              <w:ind w:left="740"/>
              <w:spacing w:after="0"/>
              <w:rPr>
                <w:sz w:val="20"/>
                <w:szCs w:val="20"/>
                <w:color w:val="auto"/>
              </w:rPr>
            </w:pPr>
            <w:r>
              <w:rPr>
                <w:rFonts w:ascii="Arial" w:cs="Arial" w:eastAsia="Arial" w:hAnsi="Arial"/>
                <w:sz w:val="18"/>
                <w:szCs w:val="18"/>
                <w:color w:val="auto"/>
              </w:rPr>
              <w:t>Applicable</w:t>
            </w:r>
          </w:p>
        </w:tc>
      </w:tr>
      <w:tr>
        <w:trPr>
          <w:trHeight w:val="432"/>
        </w:trPr>
        <w:tc>
          <w:tcPr>
            <w:tcW w:w="4420" w:type="dxa"/>
            <w:vAlign w:val="bottom"/>
            <w:gridSpan w:val="4"/>
          </w:tcPr>
          <w:p>
            <w:pPr>
              <w:ind w:left="660"/>
              <w:spacing w:after="0"/>
              <w:rPr>
                <w:sz w:val="20"/>
                <w:szCs w:val="20"/>
                <w:color w:val="auto"/>
              </w:rPr>
            </w:pPr>
            <w:r>
              <w:rPr>
                <w:rFonts w:ascii="Arial" w:cs="Arial" w:eastAsia="Arial" w:hAnsi="Arial"/>
                <w:sz w:val="18"/>
                <w:szCs w:val="18"/>
                <w:color w:val="auto"/>
              </w:rPr>
              <w:t>Additional Acknowledgments:</w:t>
            </w:r>
          </w:p>
        </w:tc>
        <w:tc>
          <w:tcPr>
            <w:tcW w:w="7040" w:type="dxa"/>
            <w:vAlign w:val="bottom"/>
          </w:tcPr>
          <w:p>
            <w:pPr>
              <w:ind w:left="740"/>
              <w:spacing w:after="0"/>
              <w:rPr>
                <w:sz w:val="20"/>
                <w:szCs w:val="20"/>
                <w:color w:val="auto"/>
              </w:rPr>
            </w:pPr>
            <w:r>
              <w:rPr>
                <w:rFonts w:ascii="Arial" w:cs="Arial" w:eastAsia="Arial" w:hAnsi="Arial"/>
                <w:sz w:val="18"/>
                <w:szCs w:val="18"/>
                <w:color w:val="auto"/>
              </w:rPr>
              <w:t>Applicable</w:t>
            </w:r>
          </w:p>
        </w:tc>
      </w:tr>
      <w:tr>
        <w:trPr>
          <w:trHeight w:val="392"/>
        </w:trPr>
        <w:tc>
          <w:tcPr>
            <w:tcW w:w="980" w:type="dxa"/>
            <w:vAlign w:val="bottom"/>
          </w:tcPr>
          <w:p>
            <w:pPr>
              <w:ind w:left="660"/>
              <w:spacing w:after="0"/>
              <w:rPr>
                <w:sz w:val="20"/>
                <w:szCs w:val="20"/>
                <w:color w:val="auto"/>
              </w:rPr>
            </w:pPr>
            <w:r>
              <w:rPr>
                <w:rFonts w:ascii="Arial" w:cs="Arial" w:eastAsia="Arial" w:hAnsi="Arial"/>
                <w:sz w:val="18"/>
                <w:szCs w:val="18"/>
                <w:color w:val="auto"/>
              </w:rPr>
              <w:t>3.</w:t>
            </w:r>
          </w:p>
        </w:tc>
        <w:tc>
          <w:tcPr>
            <w:tcW w:w="3440" w:type="dxa"/>
            <w:vAlign w:val="bottom"/>
            <w:gridSpan w:val="3"/>
          </w:tcPr>
          <w:p>
            <w:pPr>
              <w:spacing w:after="0"/>
              <w:rPr>
                <w:sz w:val="20"/>
                <w:szCs w:val="20"/>
                <w:color w:val="auto"/>
              </w:rPr>
            </w:pPr>
            <w:r>
              <w:rPr>
                <w:rFonts w:ascii="Arial" w:cs="Arial" w:eastAsia="Arial" w:hAnsi="Arial"/>
                <w:sz w:val="18"/>
                <w:szCs w:val="18"/>
                <w:color w:val="auto"/>
              </w:rPr>
              <w:t>Calculation Agent:</w:t>
            </w:r>
          </w:p>
        </w:tc>
        <w:tc>
          <w:tcPr>
            <w:tcW w:w="7040" w:type="dxa"/>
            <w:vAlign w:val="bottom"/>
          </w:tcPr>
          <w:p>
            <w:pPr>
              <w:ind w:left="740"/>
              <w:spacing w:after="0"/>
              <w:rPr>
                <w:sz w:val="20"/>
                <w:szCs w:val="20"/>
                <w:color w:val="auto"/>
              </w:rPr>
            </w:pPr>
            <w:r>
              <w:rPr>
                <w:rFonts w:ascii="Arial" w:cs="Arial" w:eastAsia="Arial" w:hAnsi="Arial"/>
                <w:sz w:val="18"/>
                <w:szCs w:val="18"/>
                <w:color w:val="auto"/>
              </w:rPr>
              <w:t>Dealer.</w:t>
            </w:r>
          </w:p>
        </w:tc>
      </w:tr>
      <w:tr>
        <w:trPr>
          <w:trHeight w:val="412"/>
        </w:trPr>
        <w:tc>
          <w:tcPr>
            <w:tcW w:w="980" w:type="dxa"/>
            <w:vAlign w:val="bottom"/>
          </w:tcPr>
          <w:p>
            <w:pPr>
              <w:ind w:left="660"/>
              <w:spacing w:after="0"/>
              <w:rPr>
                <w:sz w:val="20"/>
                <w:szCs w:val="20"/>
                <w:color w:val="auto"/>
              </w:rPr>
            </w:pPr>
            <w:r>
              <w:rPr>
                <w:rFonts w:ascii="Arial" w:cs="Arial" w:eastAsia="Arial" w:hAnsi="Arial"/>
                <w:sz w:val="18"/>
                <w:szCs w:val="18"/>
                <w:color w:val="auto"/>
              </w:rPr>
              <w:t>4.</w:t>
            </w: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Account Details:</w:t>
            </w:r>
          </w:p>
        </w:tc>
        <w:tc>
          <w:tcPr>
            <w:tcW w:w="214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Dealer Payment Instructions:</w:t>
            </w:r>
          </w:p>
        </w:tc>
        <w:tc>
          <w:tcPr>
            <w:tcW w:w="704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40" w:type="dxa"/>
            <w:vAlign w:val="bottom"/>
          </w:tcPr>
          <w:p>
            <w:pPr>
              <w:ind w:left="1200"/>
              <w:spacing w:after="0"/>
              <w:rPr>
                <w:sz w:val="20"/>
                <w:szCs w:val="20"/>
                <w:color w:val="auto"/>
              </w:rPr>
            </w:pPr>
            <w:r>
              <w:rPr>
                <w:rFonts w:ascii="Arial" w:cs="Arial" w:eastAsia="Arial" w:hAnsi="Arial"/>
                <w:sz w:val="18"/>
                <w:szCs w:val="18"/>
                <w:color w:val="auto"/>
              </w:rPr>
              <w:t>10</w:t>
            </w:r>
          </w:p>
        </w:tc>
      </w:tr>
      <w:tr>
        <w:trPr>
          <w:trHeight w:val="132"/>
        </w:trPr>
        <w:tc>
          <w:tcPr>
            <w:tcW w:w="9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7" w:name="page268"/>
    <w:bookmarkEnd w:id="267"/>
    <w:p>
      <w:pPr>
        <w:ind w:left="644"/>
        <w:spacing w:after="0"/>
        <w:rPr>
          <w:sz w:val="20"/>
          <w:szCs w:val="20"/>
          <w:color w:val="auto"/>
        </w:rPr>
      </w:pPr>
      <w:r>
        <w:rPr>
          <w:rFonts w:ascii="Arial" w:cs="Arial" w:eastAsia="Arial" w:hAnsi="Arial"/>
          <w:sz w:val="18"/>
          <w:szCs w:val="18"/>
          <w:color w:val="auto"/>
        </w:rPr>
        <w:t>Chase Manhattan Bank New York</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For A/C Goldman Sachs &amp; Co. LLC</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A/C #930-1-011483</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ABA: 021-000021</w:t>
      </w:r>
    </w:p>
    <w:p>
      <w:pPr>
        <w:spacing w:after="0" w:line="211" w:lineRule="exact"/>
        <w:rPr>
          <w:sz w:val="20"/>
          <w:szCs w:val="20"/>
          <w:color w:val="auto"/>
        </w:rPr>
      </w:pPr>
    </w:p>
    <w:p>
      <w:pPr>
        <w:ind w:left="324"/>
        <w:spacing w:after="0"/>
        <w:rPr>
          <w:sz w:val="20"/>
          <w:szCs w:val="20"/>
          <w:color w:val="auto"/>
        </w:rPr>
      </w:pPr>
      <w:r>
        <w:rPr>
          <w:rFonts w:ascii="Arial" w:cs="Arial" w:eastAsia="Arial" w:hAnsi="Arial"/>
          <w:sz w:val="18"/>
          <w:szCs w:val="18"/>
          <w:color w:val="auto"/>
        </w:rPr>
        <w:t>Account for delivery of Shares to Dealer: To be provided by Dealer</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8"/>
          <w:szCs w:val="18"/>
          <w:color w:val="auto"/>
        </w:rPr>
        <w:t>Counterparty Payment Instructions: To be provided by Counterparty.</w:t>
      </w:r>
    </w:p>
    <w:p>
      <w:pPr>
        <w:spacing w:after="0" w:line="225" w:lineRule="exact"/>
        <w:rPr>
          <w:sz w:val="20"/>
          <w:szCs w:val="20"/>
          <w:color w:val="auto"/>
        </w:rPr>
      </w:pPr>
    </w:p>
    <w:p>
      <w:pPr>
        <w:ind w:left="224" w:hanging="224"/>
        <w:spacing w:after="0"/>
        <w:tabs>
          <w:tab w:leader="none" w:pos="224"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8"/>
          <w:szCs w:val="18"/>
          <w:color w:val="auto"/>
        </w:rPr>
        <w:t>The Office of Dealer for the Transaction is: 200 West Street, New York, New York 10282-2198</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6"/>
          <w:szCs w:val="16"/>
          <w:color w:val="auto"/>
        </w:rPr>
        <w:t>The Office of Counterparty for the Transaction is: Inapplicable, Counterparty is not a Multibranch Party.</w:t>
      </w:r>
    </w:p>
    <w:p>
      <w:pPr>
        <w:spacing w:after="0" w:line="248" w:lineRule="exact"/>
        <w:rPr>
          <w:sz w:val="20"/>
          <w:szCs w:val="20"/>
          <w:color w:val="auto"/>
        </w:rPr>
      </w:pPr>
    </w:p>
    <w:p>
      <w:pPr>
        <w:ind w:left="224" w:hanging="224"/>
        <w:spacing w:after="0"/>
        <w:tabs>
          <w:tab w:leader="none" w:pos="224"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rFonts w:ascii="Arial" w:cs="Arial" w:eastAsia="Arial" w:hAnsi="Arial"/>
          <w:sz w:val="18"/>
          <w:szCs w:val="18"/>
          <w:color w:val="auto"/>
        </w:rPr>
      </w:pPr>
    </w:p>
    <w:p>
      <w:pPr>
        <w:ind w:left="984" w:hanging="335"/>
        <w:spacing w:after="0"/>
        <w:tabs>
          <w:tab w:leader="none" w:pos="98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13200 Pioneer Trail, Suite 150</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Eden Prarie, MN 55347</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Bert Jameson, Treasurer</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(b)  Address for notices or communications to Dealer:</w:t>
      </w:r>
    </w:p>
    <w:p>
      <w:pPr>
        <w:sectPr>
          <w:pgSz w:w="11900" w:h="16838" w:orient="portrait"/>
          <w:cols w:equalWidth="0" w:num="1">
            <w:col w:w="9563"/>
          </w:cols>
          <w:pgMar w:left="896" w:top="341" w:right="1440" w:bottom="1440" w:gutter="0" w:footer="0" w:header="0"/>
        </w:sectPr>
      </w:pP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644"/>
        <w:spacing w:after="0"/>
        <w:rPr>
          <w:sz w:val="20"/>
          <w:szCs w:val="20"/>
          <w:color w:val="auto"/>
        </w:rPr>
      </w:pPr>
      <w:r>
        <w:rPr>
          <w:rFonts w:ascii="Arial" w:cs="Arial" w:eastAsia="Arial" w:hAnsi="Arial"/>
          <w:sz w:val="17"/>
          <w:szCs w:val="17"/>
          <w:color w:val="auto"/>
        </w:rPr>
        <w:t>Facsimile:</w:t>
      </w:r>
    </w:p>
    <w:p>
      <w:pPr>
        <w:spacing w:after="0" w:line="2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10282-2198</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Voris,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212-902-4895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212-291-5027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michael.voris@gs.com</w:t>
      </w:r>
    </w:p>
    <w:p>
      <w:pPr>
        <w:spacing w:after="0" w:line="200" w:lineRule="exact"/>
        <w:rPr>
          <w:sz w:val="20"/>
          <w:szCs w:val="20"/>
          <w:color w:val="auto"/>
        </w:rPr>
      </w:pPr>
    </w:p>
    <w:p>
      <w:pPr>
        <w:sectPr>
          <w:pgSz w:w="11900" w:h="16838" w:orient="portrait"/>
          <w:cols w:equalWidth="0" w:num="2">
            <w:col w:w="1444" w:space="480"/>
            <w:col w:w="7639"/>
          </w:cols>
          <w:pgMar w:left="896" w:top="341" w:right="1440" w:bottom="1440" w:gutter="0" w:footer="0" w:header="0"/>
          <w:type w:val="continuous"/>
        </w:sectPr>
      </w:pPr>
    </w:p>
    <w:p>
      <w:pPr>
        <w:spacing w:after="0" w:line="11"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9563"/>
          </w:cols>
          <w:pgMar w:left="896" w:top="341" w:right="1440" w:bottom="1440" w:gutter="0" w:footer="0" w:header="0"/>
          <w:type w:val="continuous"/>
        </w:sectPr>
      </w:pP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Adam Bilali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212-357-2021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adam.bilali@gs.com</w:t>
      </w:r>
    </w:p>
    <w:p>
      <w:pPr>
        <w:spacing w:after="0" w:line="222" w:lineRule="exact"/>
        <w:rPr>
          <w:sz w:val="20"/>
          <w:szCs w:val="20"/>
          <w:color w:val="auto"/>
        </w:rPr>
      </w:pPr>
    </w:p>
    <w:p>
      <w:pPr>
        <w:sectPr>
          <w:pgSz w:w="11900" w:h="16838" w:orient="portrait"/>
          <w:cols w:equalWidth="0" w:num="2">
            <w:col w:w="1444" w:space="480"/>
            <w:col w:w="7639"/>
          </w:cols>
          <w:pgMar w:left="896" w:top="341" w:right="1440" w:bottom="1440" w:gutter="0" w:footer="0" w:header="0"/>
          <w:type w:val="continuous"/>
        </w:sectPr>
      </w:pPr>
    </w:p>
    <w:p>
      <w:pPr>
        <w:spacing w:after="0" w:line="7" w:lineRule="exact"/>
        <w:rPr>
          <w:sz w:val="20"/>
          <w:szCs w:val="20"/>
          <w:color w:val="auto"/>
        </w:rPr>
      </w:pPr>
    </w:p>
    <w:p>
      <w:pPr>
        <w:ind w:left="644"/>
        <w:spacing w:after="0"/>
        <w:rPr>
          <w:sz w:val="20"/>
          <w:szCs w:val="20"/>
          <w:color w:val="auto"/>
        </w:rPr>
      </w:pPr>
      <w:r>
        <w:rPr>
          <w:rFonts w:ascii="Arial" w:cs="Arial" w:eastAsia="Arial" w:hAnsi="Arial"/>
          <w:sz w:val="18"/>
          <w:szCs w:val="18"/>
          <w:b w:val="1"/>
          <w:bCs w:val="1"/>
          <w:color w:val="auto"/>
        </w:rPr>
        <w:t>And email notification to the following address:</w:t>
      </w:r>
    </w:p>
    <w:p>
      <w:pPr>
        <w:spacing w:after="0" w:line="27" w:lineRule="exact"/>
        <w:rPr>
          <w:sz w:val="20"/>
          <w:szCs w:val="20"/>
          <w:color w:val="auto"/>
        </w:rPr>
      </w:pPr>
    </w:p>
    <w:p>
      <w:pPr>
        <w:ind w:left="644"/>
        <w:spacing w:after="0"/>
        <w:rPr>
          <w:sz w:val="20"/>
          <w:szCs w:val="20"/>
          <w:color w:val="auto"/>
        </w:rPr>
      </w:pPr>
      <w:r>
        <w:rPr>
          <w:rFonts w:ascii="Arial" w:cs="Arial" w:eastAsia="Arial" w:hAnsi="Arial"/>
          <w:sz w:val="18"/>
          <w:szCs w:val="18"/>
          <w:b w:val="1"/>
          <w:bCs w:val="1"/>
          <w:color w:val="auto"/>
        </w:rPr>
        <w:t>Eq-derivs-notifications@am.ibd.gs.com</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95885</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63"/>
          </w:cols>
          <w:pgMar w:left="896" w:top="341" w:right="1440" w:bottom="1440" w:gutter="0" w:footer="0" w:header="0"/>
          <w:type w:val="continuous"/>
        </w:sectPr>
      </w:pPr>
    </w:p>
    <w:bookmarkStart w:id="268" w:name="page269"/>
    <w:bookmarkEnd w:id="268"/>
    <w:p>
      <w:pPr>
        <w:ind w:left="712" w:hanging="712"/>
        <w:spacing w:after="0"/>
        <w:tabs>
          <w:tab w:leader="none" w:pos="712"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460" w:firstLine="656"/>
        <w:spacing w:after="0" w:line="277" w:lineRule="auto"/>
        <w:tabs>
          <w:tab w:leader="none" w:pos="133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52" w:right="20" w:firstLine="645"/>
        <w:spacing w:after="0" w:line="255" w:lineRule="auto"/>
        <w:tabs>
          <w:tab w:leader="none" w:pos="201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ind w:left="652" w:right="120" w:firstLine="645"/>
        <w:spacing w:after="0" w:line="257" w:lineRule="auto"/>
        <w:tabs>
          <w:tab w:leader="none" w:pos="2015" w:val="left"/>
        </w:tabs>
        <w:numPr>
          <w:ilvl w:val="2"/>
          <w:numId w:val="29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188" w:lineRule="exact"/>
        <w:rPr>
          <w:rFonts w:ascii="Arial" w:cs="Arial" w:eastAsia="Arial" w:hAnsi="Arial"/>
          <w:sz w:val="18"/>
          <w:szCs w:val="18"/>
          <w:color w:val="auto"/>
        </w:rPr>
      </w:pPr>
    </w:p>
    <w:p>
      <w:pPr>
        <w:ind w:left="652" w:right="240" w:firstLine="645"/>
        <w:spacing w:after="0" w:line="297" w:lineRule="auto"/>
        <w:tabs>
          <w:tab w:leader="none" w:pos="2020" w:val="left"/>
        </w:tabs>
        <w:numPr>
          <w:ilvl w:val="2"/>
          <w:numId w:val="290"/>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490.1110 of the Iowa Business Corporation Act as an “interested stockholder”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spacing w:after="0" w:line="158" w:lineRule="exact"/>
        <w:rPr>
          <w:rFonts w:ascii="Arial" w:cs="Arial" w:eastAsia="Arial" w:hAnsi="Arial"/>
          <w:sz w:val="16"/>
          <w:szCs w:val="16"/>
          <w:color w:val="auto"/>
        </w:rPr>
      </w:pPr>
    </w:p>
    <w:p>
      <w:pPr>
        <w:ind w:left="652" w:right="40" w:firstLine="645"/>
        <w:spacing w:after="0" w:line="264" w:lineRule="auto"/>
        <w:tabs>
          <w:tab w:leader="none" w:pos="201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52" w:right="760" w:firstLine="645"/>
        <w:spacing w:after="0" w:line="277" w:lineRule="auto"/>
        <w:tabs>
          <w:tab w:leader="none" w:pos="2005" w:val="left"/>
        </w:tabs>
        <w:numPr>
          <w:ilvl w:val="2"/>
          <w:numId w:val="290"/>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52" w:right="240" w:firstLine="645"/>
        <w:spacing w:after="0" w:line="291" w:lineRule="auto"/>
        <w:tabs>
          <w:tab w:leader="none" w:pos="2010" w:val="left"/>
        </w:tabs>
        <w:numPr>
          <w:ilvl w:val="2"/>
          <w:numId w:val="290"/>
        </w:numPr>
        <w:rPr>
          <w:rFonts w:ascii="Arial" w:cs="Arial" w:eastAsia="Arial" w:hAnsi="Arial"/>
          <w:sz w:val="16"/>
          <w:szCs w:val="16"/>
          <w:color w:val="auto"/>
        </w:rPr>
      </w:pPr>
      <w:r>
        <w:rPr>
          <w:rFonts w:ascii="Arial" w:cs="Arial" w:eastAsia="Arial" w:hAnsi="Arial"/>
          <w:sz w:val="16"/>
          <w:szCs w:val="16"/>
          <w:color w:val="auto"/>
        </w:rPr>
        <w:t>On the Trade Date and the Premium Payment Date (A) the assets of Counterparty at their fair valuation exceed the liabilities of Counterparty, including contingent liabilities, (B) the capital of Counterparty is adequate to conduct the business of Counterparty and</w:t>
      </w:r>
    </w:p>
    <w:p>
      <w:pPr>
        <w:ind w:left="652" w:right="320"/>
        <w:spacing w:after="0" w:line="261" w:lineRule="auto"/>
        <w:rPr>
          <w:rFonts w:ascii="Arial" w:cs="Arial" w:eastAsia="Arial" w:hAnsi="Arial"/>
          <w:sz w:val="16"/>
          <w:szCs w:val="16"/>
          <w:color w:val="auto"/>
        </w:rPr>
      </w:pPr>
      <w:r>
        <w:rPr>
          <w:rFonts w:ascii="Arial" w:cs="Arial" w:eastAsia="Arial" w:hAnsi="Arial"/>
          <w:sz w:val="18"/>
          <w:szCs w:val="18"/>
          <w:color w:val="auto"/>
        </w:rPr>
        <w:t>(C) Counterparty has the ability to pay its debts and obligations as such debts mature and does not intend to, or does not believe that it will, incur debt beyond its ability to pay as such debts mature.</w:t>
      </w:r>
    </w:p>
    <w:p>
      <w:pPr>
        <w:spacing w:after="0" w:line="183" w:lineRule="exact"/>
        <w:rPr>
          <w:rFonts w:ascii="Arial" w:cs="Arial" w:eastAsia="Arial" w:hAnsi="Arial"/>
          <w:sz w:val="16"/>
          <w:szCs w:val="16"/>
          <w:color w:val="auto"/>
        </w:rPr>
      </w:pPr>
    </w:p>
    <w:p>
      <w:pPr>
        <w:ind w:left="652" w:firstLine="645"/>
        <w:spacing w:after="0" w:line="264" w:lineRule="auto"/>
        <w:tabs>
          <w:tab w:leader="none" w:pos="2015" w:val="left"/>
        </w:tabs>
        <w:numPr>
          <w:ilvl w:val="2"/>
          <w:numId w:val="290"/>
        </w:numPr>
        <w:rPr>
          <w:rFonts w:ascii="Arial" w:cs="Arial" w:eastAsia="Arial" w:hAnsi="Arial"/>
          <w:sz w:val="18"/>
          <w:szCs w:val="18"/>
          <w:color w:val="auto"/>
        </w:rPr>
      </w:pPr>
      <w:r>
        <w:rPr>
          <w:rFonts w:ascii="Arial" w:cs="Arial" w:eastAsia="Arial" w:hAnsi="Arial"/>
          <w:sz w:val="18"/>
          <w:szCs w:val="18"/>
          <w:color w:val="auto"/>
        </w:rPr>
        <w:t xml:space="preserve">Counterparty shall not take any action to decrease the number of Available Shares below the Capped Number (each as defined below, but without giving effect to the limitation on adjustments to the Capped Number set forth in the proviso in the first sentence of Section </w:t>
      </w:r>
      <w:r>
        <w:rPr>
          <w:rFonts w:ascii="Arial" w:cs="Arial" w:eastAsia="Arial" w:hAnsi="Arial"/>
          <w:sz w:val="18"/>
          <w:szCs w:val="18"/>
          <w:b w:val="1"/>
          <w:bCs w:val="1"/>
          <w:color w:val="auto"/>
        </w:rPr>
        <w:t>Error!</w:t>
      </w:r>
      <w:r>
        <w:rPr>
          <w:rFonts w:ascii="Arial" w:cs="Arial" w:eastAsia="Arial" w:hAnsi="Arial"/>
          <w:sz w:val="18"/>
          <w:szCs w:val="18"/>
          <w:color w:val="auto"/>
        </w:rPr>
        <w:t xml:space="preserve"> </w:t>
      </w:r>
      <w:r>
        <w:rPr>
          <w:rFonts w:ascii="Arial" w:cs="Arial" w:eastAsia="Arial" w:hAnsi="Arial"/>
          <w:sz w:val="18"/>
          <w:szCs w:val="18"/>
          <w:b w:val="1"/>
          <w:bCs w:val="1"/>
          <w:color w:val="auto"/>
        </w:rPr>
        <w:t>Reference source not found.</w:t>
      </w:r>
      <w:r>
        <w:rPr>
          <w:rFonts w:ascii="Arial" w:cs="Arial" w:eastAsia="Arial" w:hAnsi="Arial"/>
          <w:sz w:val="18"/>
          <w:szCs w:val="18"/>
          <w:color w:val="auto"/>
        </w:rPr>
        <w:t>8(f)).</w:t>
      </w:r>
    </w:p>
    <w:p>
      <w:pPr>
        <w:spacing w:after="0" w:line="181" w:lineRule="exact"/>
        <w:rPr>
          <w:rFonts w:ascii="Arial" w:cs="Arial" w:eastAsia="Arial" w:hAnsi="Arial"/>
          <w:sz w:val="18"/>
          <w:szCs w:val="18"/>
          <w:color w:val="auto"/>
        </w:rPr>
      </w:pPr>
    </w:p>
    <w:p>
      <w:pPr>
        <w:ind w:left="652" w:right="580" w:firstLine="645"/>
        <w:spacing w:after="0" w:line="259" w:lineRule="auto"/>
        <w:tabs>
          <w:tab w:leader="none" w:pos="20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representations and warranties of Counterparty set forth in Section 3 of the Agreement and Section 1 of the Purchase Agreement dated as of the Trade Date between Goldman Sachs &amp; Co. LLC and BMO Capital Markets Corp. as the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Initial Purchasers and Counterparty (the “</w:t>
      </w:r>
      <w:r>
        <w:rPr>
          <w:rFonts w:ascii="Arial" w:cs="Arial" w:eastAsia="Arial" w:hAnsi="Arial"/>
          <w:sz w:val="18"/>
          <w:szCs w:val="18"/>
          <w:b w:val="1"/>
          <w:bCs w:val="1"/>
          <w:color w:val="auto"/>
        </w:rPr>
        <w:t>Purchase Agreement</w:t>
      </w:r>
      <w:r>
        <w:rPr>
          <w:rFonts w:ascii="Arial" w:cs="Arial" w:eastAsia="Arial" w:hAnsi="Arial"/>
          <w:sz w:val="18"/>
          <w:szCs w:val="18"/>
          <w:color w:val="auto"/>
        </w:rPr>
        <w:t>”) are true and correct as of the Trade Date and the Effective Date and are hereby deemed to be repeated to Dealer as if set forth herein.</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2" w:right="239" w:bottom="1440" w:gutter="0" w:footer="0" w:header="0"/>
        </w:sectPr>
      </w:pPr>
    </w:p>
    <w:bookmarkStart w:id="269" w:name="page270"/>
    <w:bookmarkEnd w:id="269"/>
    <w:p>
      <w:pPr>
        <w:ind w:left="4" w:right="300" w:firstLine="645"/>
        <w:spacing w:after="0" w:line="291" w:lineRule="auto"/>
        <w:tabs>
          <w:tab w:leader="none" w:pos="1362" w:val="left"/>
        </w:tabs>
        <w:numPr>
          <w:ilvl w:val="1"/>
          <w:numId w:val="291"/>
        </w:numPr>
        <w:rPr>
          <w:rFonts w:ascii="Arial" w:cs="Arial" w:eastAsia="Arial" w:hAnsi="Arial"/>
          <w:sz w:val="16"/>
          <w:szCs w:val="16"/>
          <w:color w:val="auto"/>
        </w:rPr>
      </w:pPr>
      <w:r>
        <w:rPr>
          <w:rFonts w:ascii="Arial" w:cs="Arial" w:eastAsia="Arial" w:hAnsi="Arial"/>
          <w:sz w:val="16"/>
          <w:szCs w:val="16"/>
          <w:color w:val="auto"/>
        </w:rPr>
        <w:t>(x) (A) On the Trade Date,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and</w:t>
      </w:r>
    </w:p>
    <w:p>
      <w:pPr>
        <w:ind w:left="4" w:right="20" w:hanging="4"/>
        <w:spacing w:after="0" w:line="270" w:lineRule="auto"/>
        <w:tabs>
          <w:tab w:leader="none" w:pos="289" w:val="left"/>
        </w:tabs>
        <w:numPr>
          <w:ilvl w:val="0"/>
          <w:numId w:val="292"/>
        </w:numPr>
        <w:rPr>
          <w:rFonts w:ascii="Arial" w:cs="Arial" w:eastAsia="Arial" w:hAnsi="Arial"/>
          <w:sz w:val="17"/>
          <w:szCs w:val="17"/>
          <w:color w:val="auto"/>
        </w:rPr>
      </w:pPr>
      <w:r>
        <w:rPr>
          <w:rFonts w:ascii="Arial" w:cs="Arial" w:eastAsia="Arial" w:hAnsi="Arial"/>
          <w:sz w:val="17"/>
          <w:szCs w:val="17"/>
          <w:color w:val="auto"/>
        </w:rPr>
        <w:t>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Arial" w:cs="Arial" w:eastAsia="Arial" w:hAnsi="Arial"/>
          <w:sz w:val="17"/>
          <w:szCs w:val="17"/>
          <w:b w:val="1"/>
          <w:bCs w:val="1"/>
          <w:color w:val="auto"/>
        </w:rPr>
        <w:t>Settlement Period</w:t>
      </w:r>
      <w:r>
        <w:rPr>
          <w:rFonts w:ascii="Arial" w:cs="Arial" w:eastAsia="Arial" w:hAnsi="Arial"/>
          <w:sz w:val="17"/>
          <w:szCs w:val="17"/>
          <w:color w:val="auto"/>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spacing w:after="0" w:line="178" w:lineRule="exact"/>
        <w:rPr>
          <w:rFonts w:ascii="Arial" w:cs="Arial" w:eastAsia="Arial" w:hAnsi="Arial"/>
          <w:sz w:val="17"/>
          <w:szCs w:val="17"/>
          <w:color w:val="auto"/>
        </w:rPr>
      </w:pPr>
    </w:p>
    <w:p>
      <w:pPr>
        <w:ind w:left="4" w:right="180" w:firstLine="645"/>
        <w:spacing w:after="0" w:line="297" w:lineRule="auto"/>
        <w:tabs>
          <w:tab w:leader="none" w:pos="1357" w:val="left"/>
        </w:tabs>
        <w:numPr>
          <w:ilvl w:val="1"/>
          <w:numId w:val="292"/>
        </w:numPr>
        <w:rPr>
          <w:rFonts w:ascii="Arial" w:cs="Arial" w:eastAsia="Arial" w:hAnsi="Arial"/>
          <w:sz w:val="16"/>
          <w:szCs w:val="16"/>
          <w:color w:val="auto"/>
        </w:rPr>
      </w:pPr>
      <w:r>
        <w:rPr>
          <w:rFonts w:ascii="Arial" w:cs="Arial" w:eastAsia="Arial" w:hAnsi="Arial"/>
          <w:sz w:val="16"/>
          <w:szCs w:val="16"/>
          <w:color w:val="auto"/>
        </w:rPr>
        <w:t>(x) On the Trade Date, (y) during the Settlement Period and (z) on any other Exercise Date, neither Counterparty nor any “affiliate” or “affiliated purchaser” (each as defined in Rule 10b-18 of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158" w:lineRule="exact"/>
        <w:rPr>
          <w:rFonts w:ascii="Arial" w:cs="Arial" w:eastAsia="Arial" w:hAnsi="Arial"/>
          <w:sz w:val="16"/>
          <w:szCs w:val="16"/>
          <w:color w:val="auto"/>
        </w:rPr>
      </w:pPr>
    </w:p>
    <w:p>
      <w:pPr>
        <w:ind w:left="4" w:right="160" w:firstLine="645"/>
        <w:spacing w:after="0" w:line="269" w:lineRule="auto"/>
        <w:tabs>
          <w:tab w:leader="none" w:pos="136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Arial" w:cs="Arial" w:eastAsia="Arial" w:hAnsi="Arial"/>
          <w:sz w:val="17"/>
          <w:szCs w:val="17"/>
          <w:b w:val="1"/>
          <w:bCs w:val="1"/>
          <w:color w:val="auto"/>
        </w:rPr>
        <w:t>Merger Transaction</w:t>
      </w:r>
      <w:r>
        <w:rPr>
          <w:rFonts w:ascii="Arial" w:cs="Arial" w:eastAsia="Arial" w:hAnsi="Arial"/>
          <w:sz w:val="17"/>
          <w:szCs w:val="17"/>
          <w:color w:val="auto"/>
        </w:rPr>
        <w:t>” means any merger, acquisition or similar transaction involving a recapitalization as contemplated by Rule 10b-18(a)(13) (iv) under the Exchange Act.</w:t>
      </w:r>
    </w:p>
    <w:p>
      <w:pPr>
        <w:spacing w:after="0" w:line="179" w:lineRule="exact"/>
        <w:rPr>
          <w:rFonts w:ascii="Arial" w:cs="Arial" w:eastAsia="Arial" w:hAnsi="Arial"/>
          <w:sz w:val="17"/>
          <w:szCs w:val="17"/>
          <w:color w:val="auto"/>
        </w:rPr>
      </w:pPr>
    </w:p>
    <w:p>
      <w:pPr>
        <w:ind w:left="4" w:firstLine="645"/>
        <w:spacing w:after="0" w:line="255" w:lineRule="auto"/>
        <w:tabs>
          <w:tab w:leader="none" w:pos="1367"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spacing w:after="0" w:line="189" w:lineRule="exact"/>
        <w:rPr>
          <w:rFonts w:ascii="Arial" w:cs="Arial" w:eastAsia="Arial" w:hAnsi="Arial"/>
          <w:sz w:val="18"/>
          <w:szCs w:val="18"/>
          <w:color w:val="auto"/>
        </w:rPr>
      </w:pPr>
    </w:p>
    <w:p>
      <w:pPr>
        <w:ind w:left="4" w:right="100" w:firstLine="645"/>
        <w:spacing w:after="0" w:line="286" w:lineRule="auto"/>
        <w:tabs>
          <w:tab w:leader="none" w:pos="137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holding (however defined) or having a right to acquire Shares.</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270" w:name="page271"/>
    <w:bookmarkEnd w:id="270"/>
    <w:p>
      <w:pPr>
        <w:jc w:val="both"/>
        <w:ind w:left="652" w:right="180" w:firstLine="645"/>
        <w:spacing w:after="0" w:line="286" w:lineRule="auto"/>
        <w:tabs>
          <w:tab w:leader="none" w:pos="201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w:t>
      </w:r>
    </w:p>
    <w:p>
      <w:pPr>
        <w:spacing w:after="0" w:line="1" w:lineRule="exact"/>
        <w:rPr>
          <w:rFonts w:ascii="Arial" w:cs="Arial" w:eastAsia="Arial" w:hAnsi="Arial"/>
          <w:sz w:val="16"/>
          <w:szCs w:val="16"/>
          <w:color w:val="auto"/>
        </w:rPr>
      </w:pPr>
    </w:p>
    <w:p>
      <w:pPr>
        <w:ind w:left="652" w:right="420" w:hanging="4"/>
        <w:spacing w:after="0" w:line="261" w:lineRule="auto"/>
        <w:tabs>
          <w:tab w:leader="none" w:pos="93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has total assets of at least $50 million. Counterparty will notify Dealer if the immediately preceding statement contained in this Section 7(a) (xiv) ceases to be true.</w:t>
      </w:r>
    </w:p>
    <w:p>
      <w:pPr>
        <w:spacing w:after="0" w:line="183" w:lineRule="exact"/>
        <w:rPr>
          <w:rFonts w:ascii="Arial" w:cs="Arial" w:eastAsia="Arial" w:hAnsi="Arial"/>
          <w:sz w:val="18"/>
          <w:szCs w:val="18"/>
          <w:color w:val="auto"/>
        </w:rPr>
      </w:pPr>
    </w:p>
    <w:p>
      <w:pPr>
        <w:ind w:left="652" w:right="40" w:firstLine="645"/>
        <w:spacing w:after="0" w:line="272" w:lineRule="auto"/>
        <w:tabs>
          <w:tab w:leader="none" w:pos="2005" w:val="left"/>
        </w:tabs>
        <w:numPr>
          <w:ilvl w:val="1"/>
          <w:numId w:val="294"/>
        </w:numPr>
        <w:rPr>
          <w:rFonts w:ascii="Arial" w:cs="Arial" w:eastAsia="Arial" w:hAnsi="Arial"/>
          <w:sz w:val="17"/>
          <w:szCs w:val="17"/>
          <w:color w:val="auto"/>
        </w:rPr>
      </w:pPr>
      <w:r>
        <w:rPr>
          <w:rFonts w:ascii="Arial" w:cs="Arial" w:eastAsia="Arial" w:hAnsi="Arial"/>
          <w:sz w:val="17"/>
          <w:szCs w:val="17"/>
          <w:color w:val="auto"/>
        </w:rPr>
        <w:t>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31, 2019,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78" w:lineRule="exact"/>
        <w:rPr>
          <w:sz w:val="20"/>
          <w:szCs w:val="20"/>
          <w:color w:val="auto"/>
        </w:rPr>
      </w:pPr>
    </w:p>
    <w:p>
      <w:pPr>
        <w:ind w:left="-8" w:firstLine="656"/>
        <w:spacing w:after="0" w:line="264" w:lineRule="auto"/>
        <w:tabs>
          <w:tab w:leader="none" w:pos="1345" w:val="left"/>
        </w:tabs>
        <w:numPr>
          <w:ilvl w:val="2"/>
          <w:numId w:val="295"/>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left="-8" w:right="40" w:firstLine="656"/>
        <w:spacing w:after="0" w:line="284" w:lineRule="auto"/>
        <w:tabs>
          <w:tab w:leader="none" w:pos="1335" w:val="left"/>
        </w:tabs>
        <w:numPr>
          <w:ilvl w:val="2"/>
          <w:numId w:val="295"/>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w:t>
      </w:r>
    </w:p>
    <w:p>
      <w:pPr>
        <w:spacing w:after="0" w:line="4" w:lineRule="exact"/>
        <w:rPr>
          <w:rFonts w:ascii="Arial" w:cs="Arial" w:eastAsia="Arial" w:hAnsi="Arial"/>
          <w:sz w:val="16"/>
          <w:szCs w:val="16"/>
          <w:color w:val="auto"/>
        </w:rPr>
      </w:pPr>
    </w:p>
    <w:p>
      <w:pPr>
        <w:ind w:left="-8" w:right="60" w:firstLine="8"/>
        <w:spacing w:after="0" w:line="253" w:lineRule="auto"/>
        <w:tabs>
          <w:tab w:leader="none" w:pos="29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Arial" w:cs="Arial" w:eastAsia="Arial" w:hAnsi="Arial"/>
          <w:sz w:val="18"/>
          <w:szCs w:val="18"/>
          <w:color w:val="auto"/>
        </w:rPr>
      </w:pPr>
    </w:p>
    <w:p>
      <w:pPr>
        <w:ind w:left="-8" w:right="20" w:firstLine="579"/>
        <w:spacing w:after="0" w:line="293" w:lineRule="auto"/>
        <w:tabs>
          <w:tab w:leader="none" w:pos="135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and “financial participant” within the meaning of Sections 101(22)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164" w:lineRule="exact"/>
        <w:rPr>
          <w:rFonts w:ascii="Arial" w:cs="Arial" w:eastAsia="Arial" w:hAnsi="Arial"/>
          <w:sz w:val="16"/>
          <w:szCs w:val="16"/>
          <w:color w:val="auto"/>
        </w:rPr>
      </w:pPr>
    </w:p>
    <w:p>
      <w:pPr>
        <w:ind w:left="1352" w:hanging="781"/>
        <w:spacing w:after="0"/>
        <w:tabs>
          <w:tab w:leader="none" w:pos="1352" w:val="left"/>
        </w:tabs>
        <w:numPr>
          <w:ilvl w:val="1"/>
          <w:numId w:val="296"/>
        </w:numPr>
        <w:rPr>
          <w:rFonts w:ascii="Arial" w:cs="Arial" w:eastAsia="Arial" w:hAnsi="Arial"/>
          <w:sz w:val="17"/>
          <w:szCs w:val="17"/>
          <w:color w:val="auto"/>
        </w:rPr>
      </w:pPr>
      <w:r>
        <w:rPr>
          <w:rFonts w:ascii="Arial" w:cs="Arial" w:eastAsia="Arial" w:hAnsi="Arial"/>
          <w:sz w:val="17"/>
          <w:szCs w:val="17"/>
          <w:color w:val="auto"/>
        </w:rPr>
        <w:t>Counterparty shall deliver to Dealer (i) an incumbency certificate, dated as of the Trade Date, of Counterparty in customary form and</w:t>
      </w:r>
    </w:p>
    <w:p>
      <w:pPr>
        <w:spacing w:after="0" w:line="35" w:lineRule="exact"/>
        <w:rPr>
          <w:sz w:val="20"/>
          <w:szCs w:val="20"/>
          <w:color w:val="auto"/>
        </w:rPr>
      </w:pPr>
    </w:p>
    <w:p>
      <w:pPr>
        <w:ind w:left="-8" w:right="140" w:firstLine="8"/>
        <w:spacing w:after="0" w:line="281" w:lineRule="auto"/>
        <w:tabs>
          <w:tab w:leader="none" w:pos="25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an opinion of counsel, dated as of the Trade Date and reasonably acceptable to Dealer in form and substance, with respect to the matters set forth in Section 3(a) of the Agreement and Sections 7(a)(v), 7(a)(xii) and 7(a)(xv) of this Confirmation and such other matters as Dealer may reasonably request and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evidence that the listing of the Shares issuable upon exercise or</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t>termination of the Warrants on the Exchange has been approved by the Exchange, subject only to official notice of issuance.</w:t>
      </w:r>
    </w:p>
    <w:p>
      <w:pPr>
        <w:spacing w:after="0" w:line="225" w:lineRule="exact"/>
        <w:rPr>
          <w:sz w:val="20"/>
          <w:szCs w:val="20"/>
          <w:color w:val="auto"/>
        </w:rPr>
      </w:pPr>
    </w:p>
    <w:p>
      <w:pPr>
        <w:ind w:right="220" w:firstLine="579"/>
        <w:spacing w:after="0" w:line="312" w:lineRule="auto"/>
        <w:tabs>
          <w:tab w:leader="none" w:pos="138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spacing w:after="0" w:line="142" w:lineRule="exact"/>
        <w:rPr>
          <w:rFonts w:ascii="Arial" w:cs="Arial" w:eastAsia="Arial" w:hAnsi="Arial"/>
          <w:sz w:val="16"/>
          <w:szCs w:val="16"/>
          <w:color w:val="auto"/>
        </w:rPr>
      </w:pPr>
    </w:p>
    <w:p>
      <w:pPr>
        <w:ind w:right="140" w:firstLine="579"/>
        <w:spacing w:after="0" w:line="347" w:lineRule="auto"/>
        <w:tabs>
          <w:tab w:leader="none" w:pos="136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Counterparty represents and warrants that 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220" w:firstLine="579"/>
        <w:spacing w:after="0" w:line="277" w:lineRule="auto"/>
        <w:tabs>
          <w:tab w:leader="none" w:pos="136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sz w:val="20"/>
          <w:szCs w:val="20"/>
          <w:color w:val="auto"/>
        </w:rPr>
      </w:pPr>
    </w:p>
    <w:p>
      <w:pPr>
        <w:ind w:left="1020" w:hanging="441"/>
        <w:spacing w:after="0"/>
        <w:tabs>
          <w:tab w:leader="none" w:pos="102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right="60" w:firstLine="579"/>
        <w:spacing w:after="0" w:line="290" w:lineRule="auto"/>
        <w:tabs>
          <w:tab w:leader="none" w:pos="1355" w:val="left"/>
        </w:tabs>
        <w:numPr>
          <w:ilvl w:val="0"/>
          <w:numId w:val="300"/>
        </w:numPr>
        <w:rPr>
          <w:rFonts w:ascii="Arial" w:cs="Arial" w:eastAsia="Arial" w:hAnsi="Arial"/>
          <w:sz w:val="16"/>
          <w:szCs w:val="16"/>
          <w:color w:val="auto"/>
        </w:rPr>
      </w:pPr>
      <w:r>
        <w:rPr>
          <w:rFonts w:ascii="Arial" w:cs="Arial" w:eastAsia="Arial" w:hAnsi="Arial"/>
          <w:sz w:val="16"/>
          <w:szCs w:val="16"/>
          <w:i w:val="1"/>
          <w:iCs w:val="1"/>
          <w:color w:val="auto"/>
        </w:rPr>
        <w:t>Right to Extend</w:t>
      </w:r>
      <w:r>
        <w:rPr>
          <w:rFonts w:ascii="Arial" w:cs="Arial" w:eastAsia="Arial" w:hAnsi="Arial"/>
          <w:sz w:val="16"/>
          <w:szCs w:val="16"/>
          <w:color w:val="auto"/>
        </w:rPr>
        <w:t>. Dealer may postpone or add, in whole or in part, any Expiration Date or Settlement Date or any other date of valuation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w:t>
      </w:r>
    </w:p>
    <w:p>
      <w:pPr>
        <w:spacing w:after="0" w:line="166" w:lineRule="exact"/>
        <w:rPr>
          <w:rFonts w:ascii="Arial" w:cs="Arial" w:eastAsia="Arial" w:hAnsi="Arial"/>
          <w:sz w:val="16"/>
          <w:szCs w:val="16"/>
          <w:color w:val="auto"/>
        </w:rPr>
      </w:pPr>
    </w:p>
    <w:p>
      <w:pPr>
        <w:ind w:right="40" w:firstLine="656"/>
        <w:spacing w:after="0" w:line="286" w:lineRule="auto"/>
        <w:tabs>
          <w:tab w:leader="none" w:pos="1353" w:val="left"/>
        </w:tabs>
        <w:numPr>
          <w:ilvl w:val="1"/>
          <w:numId w:val="300"/>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Counterparty shall owe Dealer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pursuant to Section 6(d)(ii) of the Agreement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Merger Date, Tender Offer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8900" w:type="dxa"/>
            <w:vAlign w:val="bottom"/>
          </w:tcPr>
          <w:p>
            <w:pPr>
              <w:ind w:left="320"/>
              <w:spacing w:after="0"/>
              <w:rPr>
                <w:sz w:val="20"/>
                <w:szCs w:val="20"/>
                <w:color w:val="auto"/>
              </w:rPr>
            </w:pPr>
            <w:r>
              <w:rPr>
                <w:rFonts w:ascii="Arial" w:cs="Arial" w:eastAsia="Arial" w:hAnsi="Arial"/>
                <w:sz w:val="18"/>
                <w:szCs w:val="18"/>
                <w:color w:val="auto"/>
                <w:w w:val="92"/>
              </w:rPr>
              <w:t>If applicable, means that Counterparty shall deliver to Dealer the Share Termination Delivery Property on the date on</w:t>
            </w:r>
          </w:p>
        </w:tc>
      </w:tr>
      <w:tr>
        <w:trPr>
          <w:trHeight w:val="212"/>
        </w:trPr>
        <w:tc>
          <w:tcPr>
            <w:tcW w:w="256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w w:val="94"/>
              </w:rPr>
              <w:t>which the Payment Obligation would otherwise be due pursuant to Section 6(d)(ii) of the Agreement, or such later</w:t>
            </w:r>
          </w:p>
        </w:tc>
      </w:tr>
      <w:tr>
        <w:trPr>
          <w:trHeight w:val="234"/>
        </w:trPr>
        <w:tc>
          <w:tcPr>
            <w:tcW w:w="2560" w:type="dxa"/>
            <w:vAlign w:val="bottom"/>
          </w:tcPr>
          <w:p>
            <w:pPr>
              <w:spacing w:after="0"/>
              <w:rPr>
                <w:sz w:val="20"/>
                <w:szCs w:val="20"/>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w w:val="96"/>
              </w:rPr>
              <w:t>date or dates as the Calculation Agent may reasonably determine (the “</w:t>
            </w:r>
            <w:r>
              <w:rPr>
                <w:rFonts w:ascii="Arial" w:cs="Arial" w:eastAsia="Arial" w:hAnsi="Arial"/>
                <w:sz w:val="18"/>
                <w:szCs w:val="18"/>
                <w:b w:val="1"/>
                <w:bCs w:val="1"/>
                <w:color w:val="auto"/>
                <w:w w:val="96"/>
              </w:rPr>
              <w:t>Share Termination Payment Date</w:t>
            </w:r>
            <w:r>
              <w:rPr>
                <w:rFonts w:ascii="Arial" w:cs="Arial" w:eastAsia="Arial" w:hAnsi="Arial"/>
                <w:sz w:val="18"/>
                <w:szCs w:val="18"/>
                <w:color w:val="auto"/>
                <w:w w:val="96"/>
              </w:rPr>
              <w:t>”), in</w:t>
            </w:r>
          </w:p>
        </w:tc>
      </w:tr>
      <w:tr>
        <w:trPr>
          <w:trHeight w:val="432"/>
        </w:trPr>
        <w:tc>
          <w:tcPr>
            <w:tcW w:w="2560" w:type="dxa"/>
            <w:vAlign w:val="bottom"/>
          </w:tcPr>
          <w:p>
            <w:pPr>
              <w:spacing w:after="0"/>
              <w:rPr>
                <w:sz w:val="24"/>
                <w:szCs w:val="24"/>
                <w:color w:val="auto"/>
              </w:rPr>
            </w:pPr>
          </w:p>
        </w:tc>
        <w:tc>
          <w:tcPr>
            <w:tcW w:w="8900" w:type="dxa"/>
            <w:vAlign w:val="bottom"/>
          </w:tcPr>
          <w:p>
            <w:pPr>
              <w:jc w:val="right"/>
              <w:ind w:right="5570"/>
              <w:spacing w:after="0"/>
              <w:rPr>
                <w:sz w:val="20"/>
                <w:szCs w:val="20"/>
                <w:color w:val="auto"/>
              </w:rPr>
            </w:pPr>
            <w:r>
              <w:rPr>
                <w:rFonts w:ascii="Arial" w:cs="Arial" w:eastAsia="Arial" w:hAnsi="Arial"/>
                <w:sz w:val="18"/>
                <w:szCs w:val="18"/>
                <w:color w:val="auto"/>
              </w:rPr>
              <w:t>15</w:t>
            </w:r>
          </w:p>
        </w:tc>
      </w:tr>
      <w:tr>
        <w:trPr>
          <w:trHeight w:val="132"/>
        </w:trPr>
        <w:tc>
          <w:tcPr>
            <w:tcW w:w="2560" w:type="dxa"/>
            <w:vAlign w:val="bottom"/>
            <w:tcBorders>
              <w:bottom w:val="single" w:sz="8" w:color="808080"/>
            </w:tcBorders>
          </w:tcPr>
          <w:p>
            <w:pPr>
              <w:spacing w:after="0"/>
              <w:rPr>
                <w:sz w:val="11"/>
                <w:szCs w:val="11"/>
                <w:color w:val="auto"/>
              </w:rPr>
            </w:pPr>
          </w:p>
        </w:tc>
        <w:tc>
          <w:tcPr>
            <w:tcW w:w="8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72" w:name="page273"/>
    <w:bookmarkEnd w:id="272"/>
    <w:p>
      <w:pPr>
        <w:ind w:left="2880"/>
        <w:spacing w:after="0"/>
        <w:rPr>
          <w:sz w:val="20"/>
          <w:szCs w:val="20"/>
          <w:color w:val="auto"/>
        </w:rPr>
      </w:pPr>
      <w:r>
        <w:rPr>
          <w:rFonts w:ascii="Arial" w:cs="Arial" w:eastAsia="Arial" w:hAnsi="Arial"/>
          <w:sz w:val="16"/>
          <w:szCs w:val="16"/>
          <w:color w:val="auto"/>
        </w:rPr>
        <w:t>satisfaction of the Payment Obligation.</w:t>
      </w:r>
    </w:p>
    <w:p>
      <w:pPr>
        <w:sectPr>
          <w:pgSz w:w="11900" w:h="16838" w:orient="portrait"/>
          <w:cols w:equalWidth="0" w:num="1">
            <w:col w:w="11400"/>
          </w:cols>
          <w:pgMar w:left="240" w:top="342" w:right="259" w:bottom="1440" w:gutter="0" w:footer="0" w:header="0"/>
        </w:sectPr>
      </w:pP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Share Termination Delivery Property: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p>
      <w:pPr>
        <w:spacing w:after="0" w:line="188" w:lineRule="exact"/>
        <w:rPr>
          <w:sz w:val="20"/>
          <w:szCs w:val="20"/>
          <w:color w:val="auto"/>
        </w:rPr>
      </w:pPr>
    </w:p>
    <w:p>
      <w:pPr>
        <w:sectPr>
          <w:pgSz w:w="11900" w:h="16838" w:orient="portrait"/>
          <w:cols w:equalWidth="0" w:num="2">
            <w:col w:w="2160" w:space="720"/>
            <w:col w:w="8520"/>
          </w:cols>
          <w:pgMar w:left="240" w:top="342"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p>
      <w:pPr>
        <w:spacing w:after="0" w:line="166" w:lineRule="exact"/>
        <w:rPr>
          <w:sz w:val="20"/>
          <w:szCs w:val="20"/>
          <w:color w:val="auto"/>
        </w:rPr>
      </w:pPr>
    </w:p>
    <w:p>
      <w:pPr>
        <w:sectPr>
          <w:pgSz w:w="11900" w:h="16838" w:orient="portrait"/>
          <w:cols w:equalWidth="0" w:num="2">
            <w:col w:w="2180" w:space="700"/>
            <w:col w:w="8520"/>
          </w:cols>
          <w:pgMar w:left="240" w:top="342"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p>
      <w:pPr>
        <w:spacing w:after="0" w:line="178" w:lineRule="exact"/>
        <w:rPr>
          <w:sz w:val="20"/>
          <w:szCs w:val="20"/>
          <w:color w:val="auto"/>
        </w:rPr>
      </w:pPr>
    </w:p>
    <w:p>
      <w:pPr>
        <w:sectPr>
          <w:pgSz w:w="11900" w:h="16838" w:orient="portrait"/>
          <w:cols w:equalWidth="0" w:num="2">
            <w:col w:w="2420" w:space="460"/>
            <w:col w:w="8520"/>
          </w:cols>
          <w:pgMar w:left="240" w:top="342" w:right="259" w:bottom="1440" w:gutter="0" w:footer="0" w:header="0"/>
          <w:type w:val="continuous"/>
        </w:sect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2160" w:space="720"/>
            <w:col w:w="8520"/>
          </w:cols>
          <w:pgMar w:left="240" w:top="342"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p>
      <w:pPr>
        <w:spacing w:after="0" w:line="193" w:lineRule="exact"/>
        <w:rPr>
          <w:sz w:val="20"/>
          <w:szCs w:val="20"/>
          <w:color w:val="auto"/>
        </w:rPr>
      </w:pPr>
    </w:p>
    <w:p>
      <w:pPr>
        <w:sectPr>
          <w:pgSz w:w="11900" w:h="16838" w:orient="portrait"/>
          <w:cols w:equalWidth="0" w:num="2">
            <w:col w:w="2160" w:space="720"/>
            <w:col w:w="8520"/>
          </w:cols>
          <w:pgMar w:left="240" w:top="342" w:right="259" w:bottom="1440" w:gutter="0" w:footer="0" w:header="0"/>
          <w:type w:val="continuous"/>
        </w:sectPr>
      </w:pPr>
    </w:p>
    <w:p>
      <w:pPr>
        <w:ind w:right="60" w:firstLine="656"/>
        <w:spacing w:after="0" w:line="255" w:lineRule="auto"/>
        <w:tabs>
          <w:tab w:leader="none" w:pos="1433"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Registration/Private Placement Procedures</w:t>
      </w:r>
      <w:r>
        <w:rPr>
          <w:rFonts w:ascii="Arial" w:cs="Arial" w:eastAsia="Arial" w:hAnsi="Arial"/>
          <w:sz w:val="18"/>
          <w:szCs w:val="18"/>
          <w:color w:val="auto"/>
        </w:rPr>
        <w:t>. (i) With respect to the Transaction, the following provisions shall apply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type w:val="continuous"/>
        </w:sectPr>
      </w:pPr>
    </w:p>
    <w:bookmarkStart w:id="273" w:name="page274"/>
    <w:bookmarkEnd w:id="273"/>
    <w:p>
      <w:pPr>
        <w:ind w:right="40"/>
        <w:spacing w:after="0" w:line="271" w:lineRule="auto"/>
        <w:rPr>
          <w:sz w:val="20"/>
          <w:szCs w:val="20"/>
          <w:color w:val="auto"/>
        </w:rPr>
      </w:pPr>
      <w:r>
        <w:rPr>
          <w:rFonts w:ascii="Arial" w:cs="Arial" w:eastAsia="Arial" w:hAnsi="Arial"/>
          <w:sz w:val="17"/>
          <w:szCs w:val="17"/>
          <w:color w:val="auto"/>
        </w:rPr>
        <w:t>corresponding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Arial" w:cs="Arial" w:eastAsia="Arial" w:hAnsi="Arial"/>
          <w:sz w:val="17"/>
          <w:szCs w:val="17"/>
          <w:b w:val="1"/>
          <w:bCs w:val="1"/>
          <w:color w:val="auto"/>
        </w:rPr>
        <w:t>Freely Tradeable 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spacing w:after="0" w:line="178" w:lineRule="exact"/>
        <w:rPr>
          <w:sz w:val="20"/>
          <w:szCs w:val="20"/>
          <w:color w:val="auto"/>
        </w:rPr>
      </w:pPr>
    </w:p>
    <w:p>
      <w:pPr>
        <w:ind w:left="1380" w:hanging="724"/>
        <w:spacing w:after="0"/>
        <w:tabs>
          <w:tab w:leader="none" w:pos="13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It shall be a condition to Counterparty’s right to make the election described in clause (c)(i)(A) that:</w:t>
      </w:r>
    </w:p>
    <w:p>
      <w:pPr>
        <w:spacing w:after="0" w:line="225" w:lineRule="exact"/>
        <w:rPr>
          <w:rFonts w:ascii="Arial" w:cs="Arial" w:eastAsia="Arial" w:hAnsi="Arial"/>
          <w:sz w:val="18"/>
          <w:szCs w:val="18"/>
          <w:color w:val="auto"/>
        </w:rPr>
      </w:pPr>
    </w:p>
    <w:p>
      <w:pPr>
        <w:ind w:left="660" w:right="300" w:firstLine="645"/>
        <w:spacing w:after="0" w:line="264" w:lineRule="auto"/>
        <w:tabs>
          <w:tab w:leader="none" w:pos="200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spacing w:after="0" w:line="177" w:lineRule="exact"/>
        <w:rPr>
          <w:rFonts w:ascii="Arial" w:cs="Arial" w:eastAsia="Arial" w:hAnsi="Arial"/>
          <w:sz w:val="18"/>
          <w:szCs w:val="18"/>
          <w:color w:val="auto"/>
        </w:rPr>
      </w:pPr>
    </w:p>
    <w:p>
      <w:pPr>
        <w:ind w:left="660" w:firstLine="645"/>
        <w:spacing w:after="0" w:line="271" w:lineRule="auto"/>
        <w:tabs>
          <w:tab w:leader="none" w:pos="1998" w:val="left"/>
        </w:tabs>
        <w:numPr>
          <w:ilvl w:val="1"/>
          <w:numId w:val="302"/>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Counterparty shall enter into an agreement (a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commercially reasonable terms in connection with the public resale of such Shares or Share Termination Delivery Units, as the case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spacing w:after="0" w:line="178" w:lineRule="exact"/>
        <w:rPr>
          <w:rFonts w:ascii="Arial" w:cs="Arial" w:eastAsia="Arial" w:hAnsi="Arial"/>
          <w:sz w:val="17"/>
          <w:szCs w:val="17"/>
          <w:color w:val="auto"/>
        </w:rPr>
      </w:pPr>
    </w:p>
    <w:p>
      <w:pPr>
        <w:ind w:left="1380" w:hanging="724"/>
        <w:spacing w:after="0"/>
        <w:tabs>
          <w:tab w:leader="none" w:pos="13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Counterparty makes the election described in clause (c)(i)(B) above:</w:t>
      </w:r>
    </w:p>
    <w:p>
      <w:pPr>
        <w:spacing w:after="0" w:line="225" w:lineRule="exact"/>
        <w:rPr>
          <w:rFonts w:ascii="Arial" w:cs="Arial" w:eastAsia="Arial" w:hAnsi="Arial"/>
          <w:sz w:val="18"/>
          <w:szCs w:val="18"/>
          <w:color w:val="auto"/>
        </w:rPr>
      </w:pPr>
    </w:p>
    <w:p>
      <w:pPr>
        <w:ind w:left="660" w:right="100" w:firstLine="645"/>
        <w:spacing w:after="0" w:line="273" w:lineRule="auto"/>
        <w:tabs>
          <w:tab w:leader="none" w:pos="2008" w:val="left"/>
        </w:tabs>
        <w:numPr>
          <w:ilvl w:val="1"/>
          <w:numId w:val="302"/>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spacing w:after="0" w:line="174" w:lineRule="exact"/>
        <w:rPr>
          <w:rFonts w:ascii="Arial" w:cs="Arial" w:eastAsia="Arial" w:hAnsi="Arial"/>
          <w:sz w:val="17"/>
          <w:szCs w:val="17"/>
          <w:color w:val="auto"/>
        </w:rPr>
      </w:pPr>
    </w:p>
    <w:p>
      <w:pPr>
        <w:ind w:left="660" w:firstLine="645"/>
        <w:spacing w:after="0" w:line="272" w:lineRule="auto"/>
        <w:tabs>
          <w:tab w:leader="none" w:pos="1998" w:val="left"/>
        </w:tabs>
        <w:numPr>
          <w:ilvl w:val="1"/>
          <w:numId w:val="302"/>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Counterparty shall enter into an agreement (a “</w:t>
      </w:r>
      <w:r>
        <w:rPr>
          <w:rFonts w:ascii="Arial" w:cs="Arial" w:eastAsia="Arial" w:hAnsi="Arial"/>
          <w:sz w:val="17"/>
          <w:szCs w:val="17"/>
          <w:b w:val="1"/>
          <w:bCs w:val="1"/>
          <w:color w:val="auto"/>
        </w:rPr>
        <w:t>Private Placement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commercially reasonable terms in connection with the private placement of such Shares or Share Termination Delivery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4" w:name="page275"/>
    <w:bookmarkEnd w:id="274"/>
    <w:p>
      <w:pPr>
        <w:ind w:left="620" w:right="380"/>
        <w:spacing w:after="0" w:line="302" w:lineRule="auto"/>
        <w:rPr>
          <w:sz w:val="20"/>
          <w:szCs w:val="20"/>
          <w:color w:val="auto"/>
        </w:rPr>
      </w:pPr>
      <w:r>
        <w:rPr>
          <w:rFonts w:ascii="Arial" w:cs="Arial" w:eastAsia="Arial" w:hAnsi="Arial"/>
          <w:sz w:val="16"/>
          <w:szCs w:val="16"/>
          <w:color w:val="auto"/>
        </w:rPr>
        <w:t>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spacing w:after="0" w:line="154" w:lineRule="exact"/>
        <w:rPr>
          <w:sz w:val="20"/>
          <w:szCs w:val="20"/>
          <w:color w:val="auto"/>
        </w:rPr>
      </w:pPr>
    </w:p>
    <w:p>
      <w:pPr>
        <w:ind w:left="620" w:right="80" w:firstLine="645"/>
        <w:spacing w:after="0" w:line="272" w:lineRule="auto"/>
        <w:tabs>
          <w:tab w:leader="none" w:pos="1958" w:val="left"/>
        </w:tabs>
        <w:numPr>
          <w:ilvl w:val="1"/>
          <w:numId w:val="303"/>
        </w:numPr>
        <w:rPr>
          <w:rFonts w:ascii="Arial" w:cs="Arial" w:eastAsia="Arial" w:hAnsi="Arial"/>
          <w:sz w:val="17"/>
          <w:szCs w:val="17"/>
          <w:color w:val="auto"/>
        </w:rPr>
      </w:pPr>
      <w:r>
        <w:rPr>
          <w:rFonts w:ascii="Arial" w:cs="Arial" w:eastAsia="Arial" w:hAnsi="Arial"/>
          <w:sz w:val="17"/>
          <w:szCs w:val="17"/>
          <w:color w:val="auto"/>
        </w:rPr>
        <w:t>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spacing w:after="0" w:line="177" w:lineRule="exact"/>
        <w:rPr>
          <w:rFonts w:ascii="Arial" w:cs="Arial" w:eastAsia="Arial" w:hAnsi="Arial"/>
          <w:sz w:val="17"/>
          <w:szCs w:val="17"/>
          <w:color w:val="auto"/>
        </w:rPr>
      </w:pPr>
    </w:p>
    <w:p>
      <w:pPr>
        <w:ind w:left="620" w:right="20" w:firstLine="645"/>
        <w:spacing w:after="0" w:line="279" w:lineRule="auto"/>
        <w:tabs>
          <w:tab w:leader="none" w:pos="1968" w:val="left"/>
        </w:tabs>
        <w:numPr>
          <w:ilvl w:val="1"/>
          <w:numId w:val="303"/>
        </w:numPr>
        <w:rPr>
          <w:rFonts w:ascii="Arial" w:cs="Arial" w:eastAsia="Arial" w:hAnsi="Arial"/>
          <w:sz w:val="17"/>
          <w:szCs w:val="17"/>
          <w:color w:val="auto"/>
        </w:rPr>
      </w:pPr>
      <w:r>
        <w:rPr>
          <w:rFonts w:ascii="Arial" w:cs="Arial" w:eastAsia="Arial" w:hAnsi="Arial"/>
          <w:sz w:val="17"/>
          <w:szCs w:val="17"/>
          <w:color w:val="auto"/>
        </w:rPr>
        <w:t>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spacing w:after="0" w:line="171" w:lineRule="exact"/>
        <w:rPr>
          <w:rFonts w:ascii="Arial" w:cs="Arial" w:eastAsia="Arial" w:hAnsi="Arial"/>
          <w:sz w:val="17"/>
          <w:szCs w:val="17"/>
          <w:color w:val="auto"/>
        </w:rPr>
      </w:pPr>
    </w:p>
    <w:p>
      <w:pPr>
        <w:ind w:left="-40" w:firstLine="656"/>
        <w:spacing w:after="0" w:line="286" w:lineRule="auto"/>
        <w:tabs>
          <w:tab w:leader="none" w:pos="1403" w:val="left"/>
        </w:tabs>
        <w:numPr>
          <w:ilvl w:val="0"/>
          <w:numId w:val="304"/>
        </w:numPr>
        <w:rPr>
          <w:rFonts w:ascii="Arial" w:cs="Arial" w:eastAsia="Arial" w:hAnsi="Arial"/>
          <w:sz w:val="16"/>
          <w:szCs w:val="16"/>
          <w:color w:val="auto"/>
        </w:rPr>
      </w:pPr>
      <w:r>
        <w:rPr>
          <w:rFonts w:ascii="Arial" w:cs="Arial" w:eastAsia="Arial" w:hAnsi="Arial"/>
          <w:sz w:val="16"/>
          <w:szCs w:val="16"/>
          <w:i w:val="1"/>
          <w:iCs w:val="1"/>
          <w:color w:val="auto"/>
        </w:rPr>
        <w:t>Make-whole Shares</w:t>
      </w:r>
      <w:r>
        <w:rPr>
          <w:rFonts w:ascii="Arial" w:cs="Arial" w:eastAsia="Arial" w:hAnsi="Arial"/>
          <w:sz w:val="16"/>
          <w:szCs w:val="16"/>
          <w:color w:val="auto"/>
        </w:rPr>
        <w:t>. If Counterparty makes the election described in clause (i)(B) of paragraph (c) of this Section 8, then Dealer or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may sell (which sale shall be made in a commercially reasonable manner) such Shares or Share Termination Delivery Units, as the case may be,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 (without giving effect to any extension thereof pursuant to the immediately succeeding sentence), the amount of such excess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in cash or in a number of additional Shares or Share Termination Delivery Units, as the case may be, (“</w:t>
      </w:r>
      <w:r>
        <w:rPr>
          <w:rFonts w:ascii="Arial" w:cs="Arial" w:eastAsia="Arial" w:hAnsi="Arial"/>
          <w:sz w:val="16"/>
          <w:szCs w:val="16"/>
          <w:b w:val="1"/>
          <w:bCs w:val="1"/>
          <w:color w:val="auto"/>
        </w:rPr>
        <w:t>Make-whole Shares</w:t>
      </w:r>
      <w:r>
        <w:rPr>
          <w:rFonts w:ascii="Arial" w:cs="Arial" w:eastAsia="Arial" w:hAnsi="Arial"/>
          <w:sz w:val="16"/>
          <w:szCs w:val="16"/>
          <w:color w:val="auto"/>
        </w:rPr>
        <w:t>”) in an amount that,</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spacing w:after="0" w:line="174" w:lineRule="exact"/>
        <w:rPr>
          <w:rFonts w:ascii="Arial" w:cs="Arial" w:eastAsia="Arial" w:hAnsi="Arial"/>
          <w:sz w:val="16"/>
          <w:szCs w:val="16"/>
          <w:color w:val="auto"/>
        </w:rPr>
      </w:pPr>
    </w:p>
    <w:p>
      <w:pPr>
        <w:ind w:left="-40" w:right="100" w:firstLine="656"/>
        <w:spacing w:after="0" w:line="270" w:lineRule="auto"/>
        <w:tabs>
          <w:tab w:leader="none" w:pos="1393" w:val="left"/>
        </w:tabs>
        <w:numPr>
          <w:ilvl w:val="0"/>
          <w:numId w:val="304"/>
        </w:numPr>
        <w:rPr>
          <w:rFonts w:ascii="Arial" w:cs="Arial" w:eastAsia="Arial" w:hAnsi="Arial"/>
          <w:sz w:val="17"/>
          <w:szCs w:val="17"/>
          <w:color w:val="auto"/>
        </w:rPr>
      </w:pPr>
      <w:r>
        <w:rPr>
          <w:rFonts w:ascii="Arial" w:cs="Arial" w:eastAsia="Arial" w:hAnsi="Arial"/>
          <w:sz w:val="17"/>
          <w:szCs w:val="17"/>
          <w:i w:val="1"/>
          <w:iCs w:val="1"/>
          <w:color w:val="auto"/>
        </w:rPr>
        <w:t>Beneficial Ownership</w:t>
      </w:r>
      <w:r>
        <w:rPr>
          <w:rFonts w:ascii="Arial" w:cs="Arial" w:eastAsia="Arial" w:hAnsi="Arial"/>
          <w:sz w:val="17"/>
          <w:szCs w:val="17"/>
          <w:color w:val="auto"/>
        </w:rPr>
        <w:t>. Notwithstanding anything to the contrary in the Agreement or this Confirmation, in no event shall Dealer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Arial" w:cs="Arial" w:eastAsia="Arial" w:hAnsi="Arial"/>
          <w:sz w:val="17"/>
          <w:szCs w:val="17"/>
          <w:b w:val="1"/>
          <w:bCs w:val="1"/>
          <w:color w:val="auto"/>
        </w:rPr>
        <w:t>Dealer Group</w:t>
      </w:r>
      <w:r>
        <w:rPr>
          <w:rFonts w:ascii="Arial" w:cs="Arial" w:eastAsia="Arial" w:hAnsi="Arial"/>
          <w:sz w:val="17"/>
          <w:szCs w:val="17"/>
          <w:color w:val="auto"/>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275" w:name="page276"/>
    <w:bookmarkEnd w:id="275"/>
    <w:p>
      <w:pPr>
        <w:ind w:right="120"/>
        <w:spacing w:after="0" w:line="269" w:lineRule="auto"/>
        <w:rPr>
          <w:sz w:val="20"/>
          <w:szCs w:val="20"/>
          <w:color w:val="auto"/>
        </w:rPr>
      </w:pPr>
      <w:r>
        <w:rPr>
          <w:rFonts w:ascii="Arial" w:cs="Arial" w:eastAsia="Arial" w:hAnsi="Arial"/>
          <w:sz w:val="17"/>
          <w:szCs w:val="17"/>
          <w:color w:val="auto"/>
        </w:rPr>
        <w:t>ownership position would be aggregated with that of Dealer or Dealer Group (Dealer, Dealer Group or any such person, a “</w:t>
      </w:r>
      <w:r>
        <w:rPr>
          <w:rFonts w:ascii="Arial" w:cs="Arial" w:eastAsia="Arial" w:hAnsi="Arial"/>
          <w:sz w:val="17"/>
          <w:szCs w:val="17"/>
          <w:b w:val="1"/>
          <w:bCs w:val="1"/>
          <w:color w:val="auto"/>
        </w:rPr>
        <w:t>Dealer Person</w:t>
      </w:r>
      <w:r>
        <w:rPr>
          <w:rFonts w:ascii="Arial" w:cs="Arial" w:eastAsia="Arial" w:hAnsi="Arial"/>
          <w:sz w:val="17"/>
          <w:szCs w:val="17"/>
          <w:color w:val="auto"/>
        </w:rPr>
        <w:t>”) under the Iowa Business Corporation Act or other federal, state or local law, rule, regulation or regulatory order or organizational documents or contracts of Counterparty applicable to ownership of Shares (“</w:t>
      </w:r>
      <w:r>
        <w:rPr>
          <w:rFonts w:ascii="Arial" w:cs="Arial" w:eastAsia="Arial" w:hAnsi="Arial"/>
          <w:sz w:val="17"/>
          <w:szCs w:val="17"/>
          <w:b w:val="1"/>
          <w:bCs w:val="1"/>
          <w:color w:val="auto"/>
        </w:rPr>
        <w:t>Applicable Restrictions</w:t>
      </w:r>
      <w:r>
        <w:rPr>
          <w:rFonts w:ascii="Arial" w:cs="Arial" w:eastAsia="Arial" w:hAnsi="Arial"/>
          <w:sz w:val="17"/>
          <w:szCs w:val="17"/>
          <w:color w:val="auto"/>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1.0% of the number of Shares outstanding on the date of determination (either such condition described in clause (i) or (ii), an “</w:t>
      </w:r>
      <w:r>
        <w:rPr>
          <w:rFonts w:ascii="Arial" w:cs="Arial" w:eastAsia="Arial" w:hAnsi="Arial"/>
          <w:sz w:val="17"/>
          <w:szCs w:val="17"/>
          <w:b w:val="1"/>
          <w:bCs w:val="1"/>
          <w:color w:val="auto"/>
        </w:rPr>
        <w:t>Excess Ownership Position</w:t>
      </w:r>
      <w:r>
        <w:rPr>
          <w:rFonts w:ascii="Arial" w:cs="Arial" w:eastAsia="Arial" w:hAnsi="Arial"/>
          <w:sz w:val="17"/>
          <w:szCs w:val="17"/>
          <w:color w:val="auto"/>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spacing w:after="0" w:line="184" w:lineRule="exact"/>
        <w:rPr>
          <w:sz w:val="20"/>
          <w:szCs w:val="20"/>
          <w:color w:val="auto"/>
        </w:rPr>
      </w:pPr>
    </w:p>
    <w:p>
      <w:pPr>
        <w:ind w:firstLine="656"/>
        <w:spacing w:after="0" w:line="284" w:lineRule="auto"/>
        <w:tabs>
          <w:tab w:leader="none" w:pos="1368" w:val="left"/>
        </w:tabs>
        <w:numPr>
          <w:ilvl w:val="0"/>
          <w:numId w:val="305"/>
        </w:numPr>
        <w:rPr>
          <w:rFonts w:ascii="Arial" w:cs="Arial" w:eastAsia="Arial" w:hAnsi="Arial"/>
          <w:sz w:val="16"/>
          <w:szCs w:val="16"/>
          <w:color w:val="auto"/>
        </w:rPr>
      </w:pPr>
      <w:r>
        <w:rPr>
          <w:rFonts w:ascii="Arial" w:cs="Arial" w:eastAsia="Arial" w:hAnsi="Arial"/>
          <w:sz w:val="16"/>
          <w:szCs w:val="16"/>
          <w:i w:val="1"/>
          <w:iCs w:val="1"/>
          <w:color w:val="auto"/>
        </w:rPr>
        <w:t>Limitations on Settlement by Counterparty</w:t>
      </w:r>
      <w:r>
        <w:rPr>
          <w:rFonts w:ascii="Arial" w:cs="Arial" w:eastAsia="Arial" w:hAnsi="Arial"/>
          <w:sz w:val="16"/>
          <w:szCs w:val="16"/>
          <w:color w:val="auto"/>
        </w:rPr>
        <w:t>. Notwithstanding anything herein or in the Agreement to the contrary (except as set forth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8(f)), in no event shall Counterparty be required to deliver Shares in connection with the Transaction in excess of 4,236,462 Shares, as such number may be adjusted from time to time in accordance with the provisions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adjustment shall cause the Capped Number to exceed the Available Shares (as in effect from time to time), other than as a result of actions of Counterparty or events within Counterparty’s control (the “</w:t>
      </w:r>
      <w:r>
        <w:rPr>
          <w:rFonts w:ascii="Arial" w:cs="Arial" w:eastAsia="Arial" w:hAnsi="Arial"/>
          <w:sz w:val="16"/>
          <w:szCs w:val="16"/>
          <w:b w:val="1"/>
          <w:bCs w:val="1"/>
          <w:color w:val="auto"/>
        </w:rPr>
        <w:t>Capped</w:t>
      </w:r>
      <w:r>
        <w:rPr>
          <w:rFonts w:ascii="Arial" w:cs="Arial" w:eastAsia="Arial" w:hAnsi="Arial"/>
          <w:sz w:val="16"/>
          <w:szCs w:val="16"/>
          <w:color w:val="auto"/>
        </w:rPr>
        <w:t xml:space="preserve"> </w:t>
      </w:r>
      <w:r>
        <w:rPr>
          <w:rFonts w:ascii="Arial" w:cs="Arial" w:eastAsia="Arial" w:hAnsi="Arial"/>
          <w:sz w:val="16"/>
          <w:szCs w:val="16"/>
          <w:b w:val="1"/>
          <w:bCs w:val="1"/>
          <w:color w:val="auto"/>
        </w:rPr>
        <w:t>Number</w:t>
      </w:r>
      <w:r>
        <w:rPr>
          <w:rFonts w:ascii="Arial" w:cs="Arial" w:eastAsia="Arial" w:hAnsi="Arial"/>
          <w:sz w:val="16"/>
          <w:szCs w:val="16"/>
          <w:color w:val="auto"/>
        </w:rPr>
        <w:t>”). Notwithstanding anything to the contrary in the Agreement or the Equity Definitions, such limitation shall not affect the calculation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Obligation (as defined in Section </w:t>
      </w:r>
      <w:r>
        <w:rPr>
          <w:rFonts w:ascii="Arial" w:cs="Arial" w:eastAsia="Arial" w:hAnsi="Arial"/>
          <w:sz w:val="16"/>
          <w:szCs w:val="16"/>
          <w:b w:val="1"/>
          <w:bCs w:val="1"/>
          <w:color w:val="auto"/>
        </w:rPr>
        <w:t>Error! Reference source not found.</w:t>
      </w:r>
      <w:r>
        <w:rPr>
          <w:rFonts w:ascii="Arial" w:cs="Arial" w:eastAsia="Arial" w:hAnsi="Arial"/>
          <w:sz w:val="16"/>
          <w:szCs w:val="16"/>
          <w:color w:val="auto"/>
        </w:rPr>
        <w:t>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Arial" w:cs="Arial" w:eastAsia="Arial" w:hAnsi="Arial"/>
          <w:sz w:val="16"/>
          <w:szCs w:val="16"/>
          <w:b w:val="1"/>
          <w:bCs w:val="1"/>
          <w:color w:val="auto"/>
        </w:rPr>
        <w:t>Available Shares</w:t>
      </w:r>
      <w:r>
        <w:rPr>
          <w:rFonts w:ascii="Arial" w:cs="Arial" w:eastAsia="Arial" w:hAnsi="Arial"/>
          <w:sz w:val="16"/>
          <w:szCs w:val="16"/>
          <w:color w:val="auto"/>
        </w:rPr>
        <w:t>”). In the event Counterparty shall not have delivered the full number of Shares otherwise deliverable as a result of this Section 8(f) (the resulting deficit, the “</w:t>
      </w:r>
      <w:r>
        <w:rPr>
          <w:rFonts w:ascii="Arial" w:cs="Arial" w:eastAsia="Arial" w:hAnsi="Arial"/>
          <w:sz w:val="16"/>
          <w:szCs w:val="16"/>
          <w:b w:val="1"/>
          <w:bCs w:val="1"/>
          <w:color w:val="auto"/>
        </w:rPr>
        <w:t>Deficit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Counterparty shall be continually obligated to deliver Shares, from time to time until the full number of Deficit Shares have been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paragraph, when, 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Arial" w:cs="Arial" w:eastAsia="Arial" w:hAnsi="Arial"/>
          <w:sz w:val="16"/>
          <w:szCs w:val="16"/>
          <w:b w:val="1"/>
          <w:bCs w:val="1"/>
          <w:color w:val="auto"/>
        </w:rPr>
        <w:t>Share Issuance Events</w:t>
      </w:r>
      <w:r>
        <w:rPr>
          <w:rFonts w:ascii="Arial" w:cs="Arial" w:eastAsia="Arial" w:hAnsi="Arial"/>
          <w:sz w:val="16"/>
          <w:szCs w:val="16"/>
          <w:color w:val="auto"/>
        </w:rPr>
        <w:t xml:space="preserve">”). In the event that there are any Deficit Shares 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76" w:name="page277"/>
    <w:bookmarkEnd w:id="276"/>
    <w:p>
      <w:pPr>
        <w:ind w:left="-20" w:right="20" w:firstLine="656"/>
        <w:spacing w:after="0" w:line="255" w:lineRule="auto"/>
        <w:tabs>
          <w:tab w:leader="none" w:pos="1423"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Equity Rights</w:t>
      </w:r>
      <w:r>
        <w:rPr>
          <w:rFonts w:ascii="Arial" w:cs="Arial" w:eastAsia="Arial" w:hAnsi="Arial"/>
          <w:sz w:val="18"/>
          <w:szCs w:val="18"/>
          <w:color w:val="auto"/>
        </w:rPr>
        <w:t>. Dealer acknowledges and agrees that this Confirmation is not intended to convey to it rights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93" w:lineRule="exact"/>
        <w:rPr>
          <w:rFonts w:ascii="Arial" w:cs="Arial" w:eastAsia="Arial" w:hAnsi="Arial"/>
          <w:sz w:val="18"/>
          <w:szCs w:val="18"/>
          <w:color w:val="auto"/>
        </w:rPr>
      </w:pPr>
    </w:p>
    <w:p>
      <w:pPr>
        <w:ind w:left="1440" w:hanging="804"/>
        <w:spacing w:after="0"/>
        <w:tabs>
          <w:tab w:leader="none" w:pos="1440"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Amendments to Equity Definitions</w:t>
      </w:r>
      <w:r>
        <w:rPr>
          <w:rFonts w:ascii="Arial" w:cs="Arial" w:eastAsia="Arial" w:hAnsi="Arial"/>
          <w:sz w:val="18"/>
          <w:szCs w:val="18"/>
          <w:color w:val="auto"/>
        </w:rPr>
        <w:t>. The following amendments shall be made to the Equity Definitions:</w:t>
      </w:r>
    </w:p>
    <w:p>
      <w:pPr>
        <w:spacing w:after="0" w:line="225" w:lineRule="exact"/>
        <w:rPr>
          <w:rFonts w:ascii="Arial" w:cs="Arial" w:eastAsia="Arial" w:hAnsi="Arial"/>
          <w:sz w:val="18"/>
          <w:szCs w:val="18"/>
          <w:color w:val="auto"/>
        </w:rPr>
      </w:pPr>
    </w:p>
    <w:p>
      <w:pPr>
        <w:ind w:left="640" w:right="100" w:firstLine="645"/>
        <w:spacing w:after="0" w:line="253" w:lineRule="auto"/>
        <w:tabs>
          <w:tab w:leader="none" w:pos="199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spacing w:after="0" w:line="197" w:lineRule="exact"/>
        <w:rPr>
          <w:rFonts w:ascii="Arial" w:cs="Arial" w:eastAsia="Arial" w:hAnsi="Arial"/>
          <w:sz w:val="18"/>
          <w:szCs w:val="18"/>
          <w:color w:val="auto"/>
        </w:rPr>
      </w:pPr>
    </w:p>
    <w:p>
      <w:pPr>
        <w:jc w:val="both"/>
        <w:ind w:left="640" w:right="40" w:firstLine="645"/>
        <w:spacing w:after="0" w:line="264" w:lineRule="auto"/>
        <w:tabs>
          <w:tab w:leader="none" w:pos="200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spacing w:after="0" w:line="181" w:lineRule="exact"/>
        <w:rPr>
          <w:rFonts w:ascii="Arial" w:cs="Arial" w:eastAsia="Arial" w:hAnsi="Arial"/>
          <w:sz w:val="18"/>
          <w:szCs w:val="18"/>
          <w:color w:val="auto"/>
        </w:rPr>
      </w:pPr>
    </w:p>
    <w:p>
      <w:pPr>
        <w:jc w:val="both"/>
        <w:ind w:left="640" w:right="500" w:firstLine="645"/>
        <w:spacing w:after="0" w:line="342" w:lineRule="auto"/>
        <w:tabs>
          <w:tab w:leader="none" w:pos="2008" w:val="left"/>
        </w:tabs>
        <w:numPr>
          <w:ilvl w:val="1"/>
          <w:numId w:val="306"/>
        </w:numPr>
        <w:rPr>
          <w:rFonts w:ascii="Arial" w:cs="Arial" w:eastAsia="Arial" w:hAnsi="Arial"/>
          <w:sz w:val="16"/>
          <w:szCs w:val="16"/>
          <w:color w:val="auto"/>
        </w:rPr>
      </w:pPr>
      <w:r>
        <w:rPr>
          <w:rFonts w:ascii="Arial" w:cs="Arial" w:eastAsia="Arial" w:hAnsi="Arial"/>
          <w:sz w:val="16"/>
          <w:szCs w:val="16"/>
          <w:color w:val="auto"/>
        </w:rPr>
        <w:t>Section 12.7(b) of the Equity Definitions is hereby amended by deleting the words “(and in any event within five Exchange Business Days) by the parties after” appearing after the words “agreed promptly” and replacing with the words “by the parties on or prior to”;</w:t>
      </w:r>
    </w:p>
    <w:p>
      <w:pPr>
        <w:spacing w:after="0" w:line="123" w:lineRule="exact"/>
        <w:rPr>
          <w:rFonts w:ascii="Arial" w:cs="Arial" w:eastAsia="Arial" w:hAnsi="Arial"/>
          <w:sz w:val="16"/>
          <w:szCs w:val="16"/>
          <w:color w:val="auto"/>
        </w:rPr>
      </w:pPr>
    </w:p>
    <w:p>
      <w:pPr>
        <w:ind w:left="640" w:right="160" w:firstLine="645"/>
        <w:spacing w:after="0" w:line="291" w:lineRule="auto"/>
        <w:tabs>
          <w:tab w:leader="none" w:pos="1998" w:val="left"/>
        </w:tabs>
        <w:numPr>
          <w:ilvl w:val="1"/>
          <w:numId w:val="306"/>
        </w:numPr>
        <w:rPr>
          <w:rFonts w:ascii="Arial" w:cs="Arial" w:eastAsia="Arial" w:hAnsi="Arial"/>
          <w:sz w:val="16"/>
          <w:szCs w:val="16"/>
          <w:color w:val="auto"/>
        </w:rPr>
      </w:pPr>
      <w:r>
        <w:rPr>
          <w:rFonts w:ascii="Arial" w:cs="Arial" w:eastAsia="Arial" w:hAnsi="Arial"/>
          <w:sz w:val="16"/>
          <w:szCs w:val="16"/>
          <w:color w:val="auto"/>
        </w:rPr>
        <w:t>Section 12.9(b)(iv) of the Equity Definitions is hereby amended by (A) deleting (1) subsection (A) in its entirety, (2) the phrase “or (B)” following subsection (A) and (3) the phrase “in each case” in subsection (B); (B) replacing “will lend” with “lends” in subsection (B); and</w:t>
      </w:r>
    </w:p>
    <w:p>
      <w:pPr>
        <w:ind w:left="640"/>
        <w:spacing w:after="0" w:line="270" w:lineRule="auto"/>
        <w:rPr>
          <w:rFonts w:ascii="Arial" w:cs="Arial" w:eastAsia="Arial" w:hAnsi="Arial"/>
          <w:sz w:val="16"/>
          <w:szCs w:val="16"/>
          <w:color w:val="auto"/>
        </w:rPr>
      </w:pPr>
      <w:r>
        <w:rPr>
          <w:rFonts w:ascii="Arial" w:cs="Arial" w:eastAsia="Arial" w:hAnsi="Arial"/>
          <w:sz w:val="17"/>
          <w:szCs w:val="17"/>
          <w:color w:val="auto"/>
        </w:rPr>
        <w:t>(C) deleting the phrase “neither the Non-Hedging Party nor the Lending Party lends Shares in the amount of the Hedging Shares or” in the penultimate sentence; “</w:t>
      </w:r>
      <w:r>
        <w:rPr>
          <w:rFonts w:ascii="Arial" w:cs="Arial" w:eastAsia="Arial" w:hAnsi="Arial"/>
          <w:sz w:val="17"/>
          <w:szCs w:val="17"/>
          <w:b w:val="1"/>
          <w:bCs w:val="1"/>
          <w:color w:val="auto"/>
        </w:rPr>
        <w:t>Lending Party</w:t>
      </w:r>
      <w:r>
        <w:rPr>
          <w:rFonts w:ascii="Arial" w:cs="Arial" w:eastAsia="Arial" w:hAnsi="Arial"/>
          <w:sz w:val="17"/>
          <w:szCs w:val="17"/>
          <w:color w:val="auto"/>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spacing w:after="0" w:line="178" w:lineRule="exact"/>
        <w:rPr>
          <w:rFonts w:ascii="Arial" w:cs="Arial" w:eastAsia="Arial" w:hAnsi="Arial"/>
          <w:sz w:val="16"/>
          <w:szCs w:val="16"/>
          <w:color w:val="auto"/>
        </w:rPr>
      </w:pPr>
    </w:p>
    <w:p>
      <w:pPr>
        <w:ind w:left="640" w:right="60" w:firstLine="645"/>
        <w:spacing w:after="0" w:line="259" w:lineRule="auto"/>
        <w:tabs>
          <w:tab w:leader="none" w:pos="199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spacing w:after="0" w:line="186" w:lineRule="exact"/>
        <w:rPr>
          <w:rFonts w:ascii="Arial" w:cs="Arial" w:eastAsia="Arial" w:hAnsi="Arial"/>
          <w:sz w:val="18"/>
          <w:szCs w:val="18"/>
          <w:color w:val="auto"/>
        </w:rPr>
      </w:pPr>
    </w:p>
    <w:p>
      <w:pPr>
        <w:ind w:left="-20" w:right="280" w:firstLine="656"/>
        <w:spacing w:after="0" w:line="277" w:lineRule="auto"/>
        <w:tabs>
          <w:tab w:leader="none" w:pos="1518"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Transfer and Assignment</w:t>
      </w:r>
      <w:r>
        <w:rPr>
          <w:rFonts w:ascii="Arial" w:cs="Arial" w:eastAsia="Arial" w:hAnsi="Arial"/>
          <w:sz w:val="18"/>
          <w:szCs w:val="18"/>
          <w:color w:val="auto"/>
        </w:rPr>
        <w:t>. Dealer may transfer or assign its rights and obligations hereunder and under the Agreement,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at any time without the consent of Counterparty.</w:t>
      </w:r>
    </w:p>
    <w:p>
      <w:pPr>
        <w:spacing w:after="0" w:line="170" w:lineRule="exact"/>
        <w:rPr>
          <w:rFonts w:ascii="Arial" w:cs="Arial" w:eastAsia="Arial" w:hAnsi="Arial"/>
          <w:sz w:val="18"/>
          <w:szCs w:val="18"/>
          <w:color w:val="auto"/>
        </w:rPr>
      </w:pPr>
    </w:p>
    <w:p>
      <w:pPr>
        <w:ind w:left="-20" w:right="460" w:firstLine="656"/>
        <w:spacing w:after="0" w:line="264" w:lineRule="auto"/>
        <w:tabs>
          <w:tab w:leader="none" w:pos="1518"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77" w:name="page278"/>
    <w:bookmarkEnd w:id="277"/>
    <w:p>
      <w:pPr>
        <w:spacing w:after="0"/>
        <w:rPr>
          <w:sz w:val="20"/>
          <w:szCs w:val="20"/>
          <w:color w:val="auto"/>
        </w:rPr>
      </w:pPr>
      <w:r>
        <w:rPr>
          <w:rFonts w:ascii="Arial" w:cs="Arial" w:eastAsia="Arial" w:hAnsi="Arial"/>
          <w:sz w:val="17"/>
          <w:szCs w:val="17"/>
          <w:color w:val="auto"/>
        </w:rPr>
        <w:t>materials of any kind (including opinions or other tax analyses) that are provided to Counterparty relating to such tax treatment and tax structure.</w:t>
      </w:r>
    </w:p>
    <w:p>
      <w:pPr>
        <w:spacing w:after="0" w:line="237" w:lineRule="exact"/>
        <w:rPr>
          <w:sz w:val="20"/>
          <w:szCs w:val="20"/>
          <w:color w:val="auto"/>
        </w:rPr>
      </w:pPr>
    </w:p>
    <w:p>
      <w:pPr>
        <w:ind w:right="260" w:firstLine="656"/>
        <w:spacing w:after="0" w:line="293" w:lineRule="auto"/>
        <w:tabs>
          <w:tab w:leader="none" w:pos="1353" w:val="left"/>
        </w:tabs>
        <w:numPr>
          <w:ilvl w:val="0"/>
          <w:numId w:val="307"/>
        </w:numPr>
        <w:rPr>
          <w:rFonts w:ascii="Arial" w:cs="Arial" w:eastAsia="Arial" w:hAnsi="Arial"/>
          <w:sz w:val="16"/>
          <w:szCs w:val="16"/>
          <w:color w:val="auto"/>
        </w:rPr>
      </w:pPr>
      <w:r>
        <w:rPr>
          <w:rFonts w:ascii="Arial" w:cs="Arial" w:eastAsia="Arial" w:hAnsi="Arial"/>
          <w:sz w:val="16"/>
          <w:szCs w:val="16"/>
          <w:i w:val="1"/>
          <w:iCs w:val="1"/>
          <w:color w:val="auto"/>
        </w:rPr>
        <w:t>Additional Termination Events</w:t>
      </w:r>
      <w:r>
        <w:rPr>
          <w:rFonts w:ascii="Arial" w:cs="Arial" w:eastAsia="Arial" w:hAnsi="Arial"/>
          <w:sz w:val="16"/>
          <w:szCs w:val="16"/>
          <w:color w:val="auto"/>
        </w:rPr>
        <w:t>. The occurrence of any of the following shall constitute an Additional Termination Event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spacing w:after="0" w:line="164" w:lineRule="exact"/>
        <w:rPr>
          <w:rFonts w:ascii="Arial" w:cs="Arial" w:eastAsia="Arial" w:hAnsi="Arial"/>
          <w:sz w:val="16"/>
          <w:szCs w:val="16"/>
          <w:color w:val="auto"/>
        </w:rPr>
      </w:pPr>
    </w:p>
    <w:p>
      <w:pPr>
        <w:ind w:left="640" w:right="20" w:firstLine="652"/>
        <w:spacing w:after="0" w:line="276" w:lineRule="auto"/>
        <w:tabs>
          <w:tab w:leader="none" w:pos="2043" w:val="left"/>
        </w:tabs>
        <w:numPr>
          <w:ilvl w:val="1"/>
          <w:numId w:val="307"/>
        </w:numPr>
        <w:rPr>
          <w:rFonts w:ascii="Arial" w:cs="Arial" w:eastAsia="Arial" w:hAnsi="Arial"/>
          <w:sz w:val="17"/>
          <w:szCs w:val="17"/>
          <w:color w:val="auto"/>
        </w:rPr>
      </w:pPr>
      <w:r>
        <w:rPr>
          <w:rFonts w:ascii="Arial" w:cs="Arial" w:eastAsia="Arial" w:hAnsi="Arial"/>
          <w:sz w:val="17"/>
          <w:szCs w:val="17"/>
          <w:color w:val="auto"/>
        </w:rPr>
        <w:t>Dealer reasonably determines that it is advisable to terminate a portion of the Transaction so that Dealer’s related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spacing w:after="0" w:line="172" w:lineRule="exact"/>
        <w:rPr>
          <w:rFonts w:ascii="Arial" w:cs="Arial" w:eastAsia="Arial" w:hAnsi="Arial"/>
          <w:sz w:val="17"/>
          <w:szCs w:val="17"/>
          <w:color w:val="auto"/>
        </w:rPr>
      </w:pPr>
    </w:p>
    <w:p>
      <w:pPr>
        <w:ind w:left="640" w:firstLine="652"/>
        <w:spacing w:after="0" w:line="255" w:lineRule="auto"/>
        <w:tabs>
          <w:tab w:leader="none" w:pos="204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spacing w:after="0" w:line="193" w:lineRule="exact"/>
        <w:rPr>
          <w:rFonts w:ascii="Arial" w:cs="Arial" w:eastAsia="Arial" w:hAnsi="Arial"/>
          <w:sz w:val="18"/>
          <w:szCs w:val="18"/>
          <w:color w:val="auto"/>
        </w:rPr>
      </w:pPr>
    </w:p>
    <w:p>
      <w:pPr>
        <w:jc w:val="both"/>
        <w:ind w:left="640" w:right="160" w:firstLine="652"/>
        <w:spacing w:after="0" w:line="264" w:lineRule="auto"/>
        <w:tabs>
          <w:tab w:leader="none" w:pos="205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spacing w:after="0" w:line="181" w:lineRule="exact"/>
        <w:rPr>
          <w:rFonts w:ascii="Arial" w:cs="Arial" w:eastAsia="Arial" w:hAnsi="Arial"/>
          <w:sz w:val="18"/>
          <w:szCs w:val="18"/>
          <w:color w:val="auto"/>
        </w:rPr>
      </w:pPr>
    </w:p>
    <w:p>
      <w:pPr>
        <w:ind w:left="640" w:right="80" w:firstLine="652"/>
        <w:spacing w:after="0" w:line="302" w:lineRule="auto"/>
        <w:tabs>
          <w:tab w:leader="none" w:pos="1998" w:val="left"/>
        </w:tabs>
        <w:numPr>
          <w:ilvl w:val="1"/>
          <w:numId w:val="307"/>
        </w:numPr>
        <w:rPr>
          <w:rFonts w:ascii="Arial" w:cs="Arial" w:eastAsia="Arial" w:hAnsi="Arial"/>
          <w:sz w:val="16"/>
          <w:szCs w:val="16"/>
          <w:color w:val="auto"/>
        </w:rPr>
      </w:pPr>
      <w:r>
        <w:rPr>
          <w:rFonts w:ascii="Arial" w:cs="Arial" w:eastAsia="Arial" w:hAnsi="Arial"/>
          <w:sz w:val="16"/>
          <w:szCs w:val="16"/>
          <w:color w:val="auto"/>
        </w:rPr>
        <w:t>(1) any sale, lease or other transfer, in one transaction or a series of transactions, of all or substantially all of the assets of Counterparty and its subsidiaries, taken as a whole, to any 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spacing w:after="0" w:line="154" w:lineRule="exact"/>
        <w:rPr>
          <w:sz w:val="20"/>
          <w:szCs w:val="20"/>
          <w:color w:val="auto"/>
        </w:rPr>
      </w:pPr>
    </w:p>
    <w:p>
      <w:pPr>
        <w:ind w:left="640" w:firstLine="648"/>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notwithstanding the foregoing, any transaction or event set forth in the immediately preceding clause (iv) shall not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an Additional Termination Event if (x)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(y)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8" w:name="page279"/>
    <w:bookmarkEnd w:id="278"/>
    <w:p>
      <w:pPr>
        <w:ind w:left="1940" w:hanging="708"/>
        <w:spacing w:after="0"/>
        <w:tabs>
          <w:tab w:leader="none" w:pos="194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holders of Shares approve any plan or proposal for Counterparty’s liquidation or dissolution (other than in a transaction described</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in (iv) above).</w:t>
      </w:r>
    </w:p>
    <w:p>
      <w:pPr>
        <w:spacing w:after="0" w:line="210" w:lineRule="exact"/>
        <w:rPr>
          <w:rFonts w:ascii="Arial" w:cs="Arial" w:eastAsia="Arial" w:hAnsi="Arial"/>
          <w:sz w:val="16"/>
          <w:szCs w:val="16"/>
          <w:color w:val="auto"/>
        </w:rPr>
      </w:pPr>
    </w:p>
    <w:p>
      <w:pPr>
        <w:ind w:left="-60" w:firstLine="656"/>
        <w:spacing w:after="0" w:line="287" w:lineRule="auto"/>
        <w:tabs>
          <w:tab w:leader="none" w:pos="1298" w:val="left"/>
        </w:tabs>
        <w:numPr>
          <w:ilvl w:val="0"/>
          <w:numId w:val="309"/>
        </w:numPr>
        <w:rPr>
          <w:rFonts w:ascii="Arial" w:cs="Arial" w:eastAsia="Arial" w:hAnsi="Arial"/>
          <w:sz w:val="16"/>
          <w:szCs w:val="16"/>
          <w:color w:val="auto"/>
        </w:rPr>
      </w:pPr>
      <w:r>
        <w:rPr>
          <w:rFonts w:ascii="Arial" w:cs="Arial" w:eastAsia="Arial" w:hAnsi="Arial"/>
          <w:sz w:val="16"/>
          <w:szCs w:val="16"/>
          <w:i w:val="1"/>
          <w:iCs w:val="1"/>
          <w:color w:val="auto"/>
        </w:rPr>
        <w:t>Early Unwind</w:t>
      </w:r>
      <w:r>
        <w:rPr>
          <w:rFonts w:ascii="Arial" w:cs="Arial" w:eastAsia="Arial" w:hAnsi="Arial"/>
          <w:sz w:val="16"/>
          <w:szCs w:val="16"/>
          <w:color w:val="auto"/>
        </w:rPr>
        <w:t>. In the event the sale by Counterparty of the Firm Securities (defined under the Purchase Agreement) is not consummated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Purchase Agreement for any reason by the close of business in New York on November 1, 2019 (or such later date as agreed upon by the parties) (November 1, 2019 or such later date being the “</w:t>
      </w:r>
      <w:r>
        <w:rPr>
          <w:rFonts w:ascii="Arial" w:cs="Arial" w:eastAsia="Arial" w:hAnsi="Arial"/>
          <w:sz w:val="16"/>
          <w:szCs w:val="16"/>
          <w:b w:val="1"/>
          <w:bCs w:val="1"/>
          <w:color w:val="auto"/>
        </w:rPr>
        <w:t>Early Unwind Date</w:t>
      </w:r>
      <w:r>
        <w:rPr>
          <w:rFonts w:ascii="Arial" w:cs="Arial" w:eastAsia="Arial" w:hAnsi="Arial"/>
          <w:sz w:val="16"/>
          <w:szCs w:val="16"/>
          <w:color w:val="auto"/>
        </w:rPr>
        <w:t>”), the Transaction shall automatically terminate (the “</w:t>
      </w:r>
      <w:r>
        <w:rPr>
          <w:rFonts w:ascii="Arial" w:cs="Arial" w:eastAsia="Arial" w:hAnsi="Arial"/>
          <w:sz w:val="16"/>
          <w:szCs w:val="16"/>
          <w:b w:val="1"/>
          <w:bCs w:val="1"/>
          <w:color w:val="auto"/>
        </w:rPr>
        <w:t>Early Unwind</w:t>
      </w:r>
      <w:r>
        <w:rPr>
          <w:rFonts w:ascii="Arial" w:cs="Arial" w:eastAsia="Arial" w:hAnsi="Arial"/>
          <w:sz w:val="16"/>
          <w:szCs w:val="16"/>
          <w:color w:val="auto"/>
        </w:rPr>
        <w:t>”) on the Early Unwind Date and (i) the Transaction and all of the respective rights and obligations of Dealer and Counterparty thereunder shall be cancelled and terminated and (ii)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spacing w:after="0" w:line="172" w:lineRule="exact"/>
        <w:rPr>
          <w:rFonts w:ascii="Arial" w:cs="Arial" w:eastAsia="Arial" w:hAnsi="Arial"/>
          <w:sz w:val="16"/>
          <w:szCs w:val="16"/>
          <w:color w:val="auto"/>
        </w:rPr>
      </w:pPr>
    </w:p>
    <w:p>
      <w:pPr>
        <w:ind w:left="-60" w:right="20" w:firstLine="656"/>
        <w:spacing w:after="0" w:line="312" w:lineRule="auto"/>
        <w:tabs>
          <w:tab w:leader="none" w:pos="1298" w:val="left"/>
        </w:tabs>
        <w:numPr>
          <w:ilvl w:val="0"/>
          <w:numId w:val="309"/>
        </w:numPr>
        <w:rPr>
          <w:rFonts w:ascii="Arial" w:cs="Arial" w:eastAsia="Arial" w:hAnsi="Arial"/>
          <w:sz w:val="16"/>
          <w:szCs w:val="16"/>
          <w:color w:val="auto"/>
        </w:rPr>
      </w:pPr>
      <w:r>
        <w:rPr>
          <w:rFonts w:ascii="Arial" w:cs="Arial" w:eastAsia="Arial" w:hAnsi="Arial"/>
          <w:sz w:val="16"/>
          <w:szCs w:val="16"/>
          <w:i w:val="1"/>
          <w:iCs w:val="1"/>
          <w:color w:val="auto"/>
        </w:rPr>
        <w:t>No Netting and Set-off</w:t>
      </w:r>
      <w:r>
        <w:rPr>
          <w:rFonts w:ascii="Arial" w:cs="Arial" w:eastAsia="Arial" w:hAnsi="Arial"/>
          <w:sz w:val="16"/>
          <w:szCs w:val="16"/>
          <w:color w:val="auto"/>
        </w:rPr>
        <w:t>. 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6" w:lineRule="exact"/>
        <w:rPr>
          <w:rFonts w:ascii="Arial" w:cs="Arial" w:eastAsia="Arial" w:hAnsi="Arial"/>
          <w:sz w:val="16"/>
          <w:szCs w:val="16"/>
          <w:color w:val="auto"/>
        </w:rPr>
      </w:pPr>
    </w:p>
    <w:p>
      <w:pPr>
        <w:ind w:left="-60" w:firstLine="656"/>
        <w:spacing w:after="0" w:line="257" w:lineRule="auto"/>
        <w:tabs>
          <w:tab w:leader="none" w:pos="1293"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Delivery of Cash</w:t>
      </w:r>
      <w:r>
        <w:rPr>
          <w:rFonts w:ascii="Arial" w:cs="Arial" w:eastAsia="Arial" w:hAnsi="Arial"/>
          <w:sz w:val="18"/>
          <w:szCs w:val="18"/>
          <w:color w:val="auto"/>
        </w:rPr>
        <w:t>. For the avoidance of doubt, nothing in this Confirmation shall be interpreted as requiring the Counterparty to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spacing w:after="0" w:line="188" w:lineRule="exact"/>
        <w:rPr>
          <w:rFonts w:ascii="Arial" w:cs="Arial" w:eastAsia="Arial" w:hAnsi="Arial"/>
          <w:sz w:val="18"/>
          <w:szCs w:val="18"/>
          <w:color w:val="auto"/>
        </w:rPr>
      </w:pPr>
    </w:p>
    <w:p>
      <w:pPr>
        <w:ind w:left="-60" w:right="40" w:firstLine="656"/>
        <w:spacing w:after="0" w:line="289" w:lineRule="auto"/>
        <w:tabs>
          <w:tab w:leader="none" w:pos="1293" w:val="left"/>
        </w:tabs>
        <w:numPr>
          <w:ilvl w:val="0"/>
          <w:numId w:val="309"/>
        </w:numPr>
        <w:rPr>
          <w:rFonts w:ascii="Arial" w:cs="Arial" w:eastAsia="Arial" w:hAnsi="Arial"/>
          <w:sz w:val="16"/>
          <w:szCs w:val="16"/>
          <w:color w:val="auto"/>
        </w:rPr>
      </w:pPr>
      <w:r>
        <w:rPr>
          <w:rFonts w:ascii="Arial" w:cs="Arial" w:eastAsia="Arial" w:hAnsi="Arial"/>
          <w:sz w:val="16"/>
          <w:szCs w:val="16"/>
          <w:i w:val="1"/>
          <w:iCs w:val="1"/>
          <w:color w:val="auto"/>
        </w:rPr>
        <w:t>Agreements and Acknowledgements Regarding Hedging</w:t>
      </w:r>
      <w:r>
        <w:rPr>
          <w:rFonts w:ascii="Arial" w:cs="Arial" w:eastAsia="Arial" w:hAnsi="Arial"/>
          <w:sz w:val="16"/>
          <w:szCs w:val="16"/>
          <w:color w:val="auto"/>
        </w:rPr>
        <w:t>. Counterparty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66" w:lineRule="exact"/>
        <w:rPr>
          <w:rFonts w:ascii="Arial" w:cs="Arial" w:eastAsia="Arial" w:hAnsi="Arial"/>
          <w:sz w:val="16"/>
          <w:szCs w:val="16"/>
          <w:color w:val="auto"/>
        </w:rPr>
      </w:pPr>
    </w:p>
    <w:p>
      <w:pPr>
        <w:ind w:left="-60" w:firstLine="656"/>
        <w:spacing w:after="0" w:line="293" w:lineRule="auto"/>
        <w:tabs>
          <w:tab w:leader="none" w:pos="1293" w:val="left"/>
        </w:tabs>
        <w:numPr>
          <w:ilvl w:val="0"/>
          <w:numId w:val="309"/>
        </w:numPr>
        <w:rPr>
          <w:rFonts w:ascii="Arial" w:cs="Arial" w:eastAsia="Arial" w:hAnsi="Arial"/>
          <w:sz w:val="16"/>
          <w:szCs w:val="16"/>
          <w:color w:val="auto"/>
        </w:rPr>
      </w:pPr>
      <w:r>
        <w:rPr>
          <w:rFonts w:ascii="Arial" w:cs="Arial" w:eastAsia="Arial" w:hAnsi="Arial"/>
          <w:sz w:val="16"/>
          <w:szCs w:val="16"/>
          <w:i w:val="1"/>
          <w:iCs w:val="1"/>
          <w:color w:val="auto"/>
        </w:rPr>
        <w:t>Wall Street Transparency and Accountability Act</w:t>
      </w:r>
      <w:r>
        <w:rPr>
          <w:rFonts w:ascii="Arial" w:cs="Arial" w:eastAsia="Arial" w:hAnsi="Arial"/>
          <w:sz w:val="16"/>
          <w:szCs w:val="16"/>
          <w:color w:val="auto"/>
        </w:rPr>
        <w:t>. In connection with Section 739 of the Wall Street Transparency and Accountability Act</w:t>
      </w:r>
      <w:r>
        <w:rPr>
          <w:rFonts w:ascii="Arial" w:cs="Arial" w:eastAsia="Arial" w:hAnsi="Arial"/>
          <w:sz w:val="16"/>
          <w:szCs w:val="16"/>
          <w:i w:val="1"/>
          <w:iCs w:val="1"/>
          <w:color w:val="auto"/>
        </w:rPr>
        <w:t xml:space="preserve"> </w:t>
      </w:r>
      <w:r>
        <w:rPr>
          <w:rFonts w:ascii="Arial" w:cs="Arial" w:eastAsia="Arial" w:hAnsi="Arial"/>
          <w:sz w:val="16"/>
          <w:szCs w:val="16"/>
          <w:color w:val="auto"/>
        </w:rPr>
        <w:t>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279" w:name="page280"/>
    <w:bookmarkEnd w:id="279"/>
    <w:p>
      <w:pPr>
        <w:ind w:right="200"/>
        <w:spacing w:after="0" w:line="277" w:lineRule="auto"/>
        <w:rPr>
          <w:sz w:val="20"/>
          <w:szCs w:val="20"/>
          <w:color w:val="auto"/>
        </w:rPr>
      </w:pPr>
      <w:r>
        <w:rPr>
          <w:rFonts w:ascii="Arial" w:cs="Arial" w:eastAsia="Arial" w:hAnsi="Arial"/>
          <w:sz w:val="18"/>
          <w:szCs w:val="18"/>
          <w:color w:val="auto"/>
        </w:rPr>
        <w:t>Definitions incorporated herein, or the Agreement (including, but not limited to, rights arising from Change in Law, Hedging Disruption, Increased Cost of Hedging or Illegality).</w:t>
      </w:r>
    </w:p>
    <w:p>
      <w:pPr>
        <w:spacing w:after="0" w:line="170" w:lineRule="exact"/>
        <w:rPr>
          <w:sz w:val="20"/>
          <w:szCs w:val="20"/>
          <w:color w:val="auto"/>
        </w:rPr>
      </w:pPr>
    </w:p>
    <w:p>
      <w:pPr>
        <w:ind w:right="140" w:firstLine="656"/>
        <w:spacing w:after="0" w:line="259" w:lineRule="auto"/>
        <w:tabs>
          <w:tab w:leader="none" w:pos="1353"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AGREEMENT, THIS CONFIRMATION AND ALL MATTERS ARISING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86" w:lineRule="exact"/>
        <w:rPr>
          <w:rFonts w:ascii="Arial" w:cs="Arial" w:eastAsia="Arial" w:hAnsi="Arial"/>
          <w:sz w:val="18"/>
          <w:szCs w:val="18"/>
          <w:color w:val="auto"/>
        </w:rPr>
      </w:pPr>
    </w:p>
    <w:p>
      <w:pPr>
        <w:ind w:firstLine="656"/>
        <w:spacing w:after="0" w:line="277" w:lineRule="auto"/>
        <w:tabs>
          <w:tab w:leader="none" w:pos="1368"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Counterparty and Dealer.</w:t>
      </w:r>
    </w:p>
    <w:p>
      <w:pPr>
        <w:spacing w:after="0" w:line="170" w:lineRule="exact"/>
        <w:rPr>
          <w:rFonts w:ascii="Arial" w:cs="Arial" w:eastAsia="Arial" w:hAnsi="Arial"/>
          <w:sz w:val="18"/>
          <w:szCs w:val="18"/>
          <w:color w:val="auto"/>
        </w:rPr>
      </w:pPr>
    </w:p>
    <w:p>
      <w:pPr>
        <w:ind w:right="380" w:firstLine="656"/>
        <w:spacing w:after="0" w:line="277" w:lineRule="auto"/>
        <w:tabs>
          <w:tab w:leader="none" w:pos="1378"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645"/>
        <w:spacing w:after="0" w:line="272" w:lineRule="auto"/>
        <w:tabs>
          <w:tab w:leader="none" w:pos="2018" w:val="left"/>
        </w:tabs>
        <w:numPr>
          <w:ilvl w:val="1"/>
          <w:numId w:val="310"/>
        </w:numPr>
        <w:rPr>
          <w:rFonts w:ascii="Arial" w:cs="Arial" w:eastAsia="Arial" w:hAnsi="Arial"/>
          <w:sz w:val="17"/>
          <w:szCs w:val="17"/>
          <w:color w:val="auto"/>
        </w:rPr>
      </w:pPr>
      <w:r>
        <w:rPr>
          <w:rFonts w:ascii="Arial" w:cs="Arial" w:eastAsia="Arial" w:hAnsi="Arial"/>
          <w:sz w:val="17"/>
          <w:szCs w:val="17"/>
          <w:color w:val="auto"/>
        </w:rPr>
        <w:t>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7" w:lineRule="exact"/>
        <w:rPr>
          <w:rFonts w:ascii="Arial" w:cs="Arial" w:eastAsia="Arial" w:hAnsi="Arial"/>
          <w:sz w:val="17"/>
          <w:szCs w:val="17"/>
          <w:color w:val="auto"/>
        </w:rPr>
      </w:pPr>
    </w:p>
    <w:p>
      <w:pPr>
        <w:ind w:left="660" w:right="100" w:firstLine="645"/>
        <w:spacing w:after="0" w:line="266" w:lineRule="auto"/>
        <w:tabs>
          <w:tab w:leader="none" w:pos="2023"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HIRE Act. </w:t>
      </w:r>
      <w:r>
        <w:rPr>
          <w:rFonts w:ascii="Arial" w:cs="Arial" w:eastAsia="Arial" w:hAnsi="Arial"/>
          <w:sz w:val="17"/>
          <w:szCs w:val="17"/>
          <w:color w:val="auto"/>
        </w:rPr>
        <w:t>To the extent that either party to the Agreement with respect to this Transaction is not an adhering party to the ISDA</w:t>
      </w:r>
      <w:r>
        <w:rPr>
          <w:rFonts w:ascii="Arial" w:cs="Arial" w:eastAsia="Arial" w:hAnsi="Arial"/>
          <w:sz w:val="18"/>
          <w:szCs w:val="18"/>
          <w:color w:val="auto"/>
        </w:rPr>
        <w:t xml:space="preserve"> </w:t>
      </w:r>
      <w:r>
        <w:rPr>
          <w:rFonts w:ascii="Arial" w:cs="Arial" w:eastAsia="Arial" w:hAnsi="Arial"/>
          <w:sz w:val="17"/>
          <w:szCs w:val="17"/>
          <w:color w:val="auto"/>
        </w:rPr>
        <w:t>2015 Section 871(m) Protocol published by the International Swaps and Derivatives Association, Inc. on November 2, 2015 and available at www.isda.org, as may be amended, supplemented, replaced or superseded from time to time (the “</w:t>
      </w:r>
      <w:r>
        <w:rPr>
          <w:rFonts w:ascii="Arial" w:cs="Arial" w:eastAsia="Arial" w:hAnsi="Arial"/>
          <w:sz w:val="17"/>
          <w:szCs w:val="17"/>
          <w:b w:val="1"/>
          <w:bCs w:val="1"/>
          <w:color w:val="auto"/>
        </w:rPr>
        <w:t>871(m) Protocol</w:t>
      </w:r>
      <w:r>
        <w:rPr>
          <w:rFonts w:ascii="Arial" w:cs="Arial" w:eastAsia="Arial" w:hAnsi="Arial"/>
          <w:sz w:val="17"/>
          <w:szCs w:val="17"/>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86" w:lineRule="exact"/>
        <w:rPr>
          <w:rFonts w:ascii="Arial" w:cs="Arial" w:eastAsia="Arial" w:hAnsi="Arial"/>
          <w:sz w:val="18"/>
          <w:szCs w:val="18"/>
          <w:color w:val="auto"/>
        </w:rPr>
      </w:pPr>
    </w:p>
    <w:p>
      <w:pPr>
        <w:ind w:left="660" w:right="180" w:firstLine="645"/>
        <w:spacing w:after="0" w:line="297" w:lineRule="auto"/>
        <w:tabs>
          <w:tab w:leader="none" w:pos="2028"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spacing w:after="0" w:line="158" w:lineRule="exact"/>
        <w:rPr>
          <w:rFonts w:ascii="Arial" w:cs="Arial" w:eastAsia="Arial" w:hAnsi="Arial"/>
          <w:sz w:val="16"/>
          <w:szCs w:val="16"/>
          <w:color w:val="auto"/>
        </w:rPr>
      </w:pPr>
    </w:p>
    <w:p>
      <w:pPr>
        <w:ind w:left="660" w:firstLine="645"/>
        <w:spacing w:after="0" w:line="273" w:lineRule="auto"/>
        <w:tabs>
          <w:tab w:leader="none" w:pos="2018" w:val="left"/>
        </w:tabs>
        <w:numPr>
          <w:ilvl w:val="1"/>
          <w:numId w:val="310"/>
        </w:numPr>
        <w:rPr>
          <w:rFonts w:ascii="Arial" w:cs="Arial" w:eastAsia="Arial" w:hAnsi="Arial"/>
          <w:sz w:val="17"/>
          <w:szCs w:val="17"/>
          <w:color w:val="auto"/>
        </w:rPr>
      </w:pPr>
      <w:r>
        <w:rPr>
          <w:rFonts w:ascii="Arial" w:cs="Arial" w:eastAsia="Arial" w:hAnsi="Arial"/>
          <w:sz w:val="17"/>
          <w:szCs w:val="17"/>
          <w:color w:val="auto"/>
        </w:rPr>
        <w:t xml:space="preserve">Tax Representations. </w:t>
      </w:r>
      <w:r>
        <w:rPr>
          <w:rFonts w:ascii="Arial" w:cs="Arial" w:eastAsia="Arial" w:hAnsi="Arial"/>
          <w:sz w:val="16"/>
          <w:szCs w:val="16"/>
          <w:color w:val="auto"/>
        </w:rPr>
        <w:t>For the purpose of Section 3(f) of the Agreement, Counterparty is a corporation for U.S. federal income tax</w:t>
      </w:r>
      <w:r>
        <w:rPr>
          <w:rFonts w:ascii="Arial" w:cs="Arial" w:eastAsia="Arial" w:hAnsi="Arial"/>
          <w:sz w:val="17"/>
          <w:szCs w:val="17"/>
          <w:color w:val="auto"/>
        </w:rPr>
        <w:t xml:space="preserve"> </w:t>
      </w:r>
      <w:r>
        <w:rPr>
          <w:rFonts w:ascii="Arial" w:cs="Arial" w:eastAsia="Arial" w:hAnsi="Arial"/>
          <w:sz w:val="16"/>
          <w:szCs w:val="16"/>
          <w:color w:val="auto"/>
        </w:rPr>
        <w:t xml:space="preserve">purposes and is organized under the laws of the State of Iowa. </w:t>
      </w:r>
      <w:r>
        <w:rPr>
          <w:rFonts w:ascii="Arial" w:cs="Arial" w:eastAsia="Arial" w:hAnsi="Arial"/>
          <w:sz w:val="17"/>
          <w:szCs w:val="17"/>
          <w:color w:val="auto"/>
        </w:rPr>
        <w:t>Counterparty represents to Dealer that for U.S. federal income tax purposes it is a “U.S.</w:t>
      </w:r>
      <w:r>
        <w:rPr>
          <w:rFonts w:ascii="Arial" w:cs="Arial" w:eastAsia="Arial" w:hAnsi="Arial"/>
          <w:sz w:val="16"/>
          <w:szCs w:val="16"/>
          <w:color w:val="auto"/>
        </w:rPr>
        <w:t xml:space="preserve"> </w:t>
      </w:r>
      <w:r>
        <w:rPr>
          <w:rFonts w:ascii="Arial" w:cs="Arial" w:eastAsia="Arial" w:hAnsi="Arial"/>
          <w:sz w:val="17"/>
          <w:szCs w:val="17"/>
          <w:color w:val="auto"/>
        </w:rPr>
        <w:t>person” (as that term is used in section 1.1441-4(a)(3)(ii) of the United States Treasury Regulations) and an “exempt recipient” (as that term is used in section 1.6049-4(c)(1) of the United States Treasury Regulations).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80" w:name="page281"/>
    <w:bookmarkEnd w:id="280"/>
    <w:p>
      <w:pPr>
        <w:ind w:left="704" w:hanging="704"/>
        <w:spacing w:after="0"/>
        <w:tabs>
          <w:tab w:leader="none" w:pos="704"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QFC Stay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284" w:lineRule="auto"/>
        <w:tabs>
          <w:tab w:leader="none" w:pos="1362" w:val="left"/>
        </w:tabs>
        <w:numPr>
          <w:ilvl w:val="1"/>
          <w:numId w:val="3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A) In the event that Dealer becomes subject to a proceeding under (i) the Federal Deposit Insurance Act and the regulations</w:t>
      </w:r>
      <w:r>
        <w:rPr>
          <w:rFonts w:ascii="Arial" w:cs="Arial" w:eastAsia="Arial" w:hAnsi="Arial"/>
          <w:sz w:val="17"/>
          <w:szCs w:val="17"/>
          <w:color w:val="auto"/>
        </w:rPr>
        <w:t xml:space="preserve"> </w:t>
      </w:r>
      <w:r>
        <w:rPr>
          <w:rFonts w:ascii="Arial" w:cs="Arial" w:eastAsia="Arial" w:hAnsi="Arial"/>
          <w:sz w:val="16"/>
          <w:szCs w:val="16"/>
          <w:color w:val="auto"/>
        </w:rPr>
        <w:t>promulgated thereunder or (ii) Title II of the Dodd-Frank Wall Street Reform and Consumer Protection Act and the regulations promulgated thereunder (a “</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spacing w:after="0" w:line="180" w:lineRule="exact"/>
        <w:rPr>
          <w:rFonts w:ascii="Arial" w:cs="Arial" w:eastAsia="Arial" w:hAnsi="Arial"/>
          <w:sz w:val="17"/>
          <w:szCs w:val="17"/>
          <w:color w:val="auto"/>
        </w:rPr>
      </w:pPr>
    </w:p>
    <w:p>
      <w:pPr>
        <w:ind w:left="4" w:firstLine="645"/>
        <w:spacing w:after="0" w:line="270" w:lineRule="auto"/>
        <w:tabs>
          <w:tab w:leader="none" w:pos="1367" w:val="left"/>
        </w:tabs>
        <w:numPr>
          <w:ilvl w:val="1"/>
          <w:numId w:val="31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Arial" w:cs="Arial" w:eastAsia="Arial" w:hAnsi="Arial"/>
          <w:sz w:val="17"/>
          <w:szCs w:val="17"/>
          <w:b w:val="1"/>
          <w:bCs w:val="1"/>
          <w:color w:val="auto"/>
        </w:rPr>
        <w:t>Insolvency</w:t>
      </w:r>
      <w:r>
        <w:rPr>
          <w:rFonts w:ascii="Arial" w:cs="Arial" w:eastAsia="Arial" w:hAnsi="Arial"/>
          <w:sz w:val="17"/>
          <w:szCs w:val="17"/>
          <w:color w:val="auto"/>
        </w:rPr>
        <w:t xml:space="preserve"> </w:t>
      </w:r>
      <w:r>
        <w:rPr>
          <w:rFonts w:ascii="Arial" w:cs="Arial" w:eastAsia="Arial" w:hAnsi="Arial"/>
          <w:sz w:val="17"/>
          <w:szCs w:val="17"/>
          <w:b w:val="1"/>
          <w:bCs w:val="1"/>
          <w:color w:val="auto"/>
        </w:rPr>
        <w:t>Proceeding</w:t>
      </w:r>
      <w:r>
        <w:rPr>
          <w:rFonts w:ascii="Arial" w:cs="Arial" w:eastAsia="Arial" w:hAnsi="Arial"/>
          <w:sz w:val="17"/>
          <w:szCs w:val="17"/>
          <w:color w:val="auto"/>
        </w:rPr>
        <w:t>”), except to the extent that the exercise of such Default Right would be permitted under the provisions of 12 C.F.R. 252.84, 12 C.F.R. 47.5</w:t>
      </w:r>
      <w:r>
        <w:rPr>
          <w:rFonts w:ascii="Arial" w:cs="Arial" w:eastAsia="Arial" w:hAnsi="Arial"/>
          <w:sz w:val="17"/>
          <w:szCs w:val="17"/>
          <w:b w:val="1"/>
          <w:bCs w:val="1"/>
          <w:color w:val="auto"/>
        </w:rPr>
        <w:t xml:space="preserve"> </w:t>
      </w:r>
      <w:r>
        <w:rPr>
          <w:rFonts w:ascii="Arial" w:cs="Arial" w:eastAsia="Arial" w:hAnsi="Arial"/>
          <w:sz w:val="17"/>
          <w:szCs w:val="17"/>
          <w:color w:val="auto"/>
        </w:rPr>
        <w:t>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spacing w:after="0" w:line="179" w:lineRule="exact"/>
        <w:rPr>
          <w:rFonts w:ascii="Arial" w:cs="Arial" w:eastAsia="Arial" w:hAnsi="Arial"/>
          <w:sz w:val="17"/>
          <w:szCs w:val="17"/>
          <w:color w:val="auto"/>
        </w:rPr>
      </w:pPr>
    </w:p>
    <w:p>
      <w:pPr>
        <w:ind w:left="4" w:firstLine="645"/>
        <w:spacing w:after="0" w:line="273" w:lineRule="auto"/>
        <w:tabs>
          <w:tab w:leader="none" w:pos="1372" w:val="left"/>
        </w:tabs>
        <w:numPr>
          <w:ilvl w:val="1"/>
          <w:numId w:val="311"/>
        </w:numPr>
        <w:rPr>
          <w:rFonts w:ascii="Arial" w:cs="Arial" w:eastAsia="Arial" w:hAnsi="Arial"/>
          <w:sz w:val="17"/>
          <w:szCs w:val="17"/>
          <w:color w:val="auto"/>
        </w:rPr>
      </w:pPr>
      <w:r>
        <w:rPr>
          <w:rFonts w:ascii="Arial" w:cs="Arial" w:eastAsia="Arial" w:hAnsi="Arial"/>
          <w:sz w:val="17"/>
          <w:szCs w:val="17"/>
          <w:color w:val="auto"/>
        </w:rPr>
        <w:t>If Counterparty has previously adhered to, or subsequently adheres to, the ISDA 2018 U.S. Resolution Stay Protocol as published by the International Swaps and Derivatives Association, Inc. as of July 31, 2018 (the “</w:t>
      </w:r>
      <w:r>
        <w:rPr>
          <w:rFonts w:ascii="Arial" w:cs="Arial" w:eastAsia="Arial" w:hAnsi="Arial"/>
          <w:sz w:val="17"/>
          <w:szCs w:val="17"/>
          <w:b w:val="1"/>
          <w:bCs w:val="1"/>
          <w:color w:val="auto"/>
        </w:rPr>
        <w:t>ISDA U.S. Protocol</w:t>
      </w:r>
      <w:r>
        <w:rPr>
          <w:rFonts w:ascii="Arial" w:cs="Arial" w:eastAsia="Arial" w:hAnsi="Arial"/>
          <w:sz w:val="17"/>
          <w:szCs w:val="17"/>
          <w:color w:val="auto"/>
        </w:rPr>
        <w:t>”), the terms of such protocol shall be incorporated into and form a part of this Confirmation and the terms of the ISDA U.S. Protocol shall supersede and replace the terms of this Section 8(u).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spacing w:after="0" w:line="178" w:lineRule="exact"/>
        <w:rPr>
          <w:rFonts w:ascii="Arial" w:cs="Arial" w:eastAsia="Arial" w:hAnsi="Arial"/>
          <w:sz w:val="17"/>
          <w:szCs w:val="17"/>
          <w:color w:val="auto"/>
        </w:rPr>
      </w:pPr>
    </w:p>
    <w:p>
      <w:pPr>
        <w:ind w:left="4" w:firstLine="645"/>
        <w:spacing w:after="0" w:line="257" w:lineRule="auto"/>
        <w:tabs>
          <w:tab w:leader="none" w:pos="1362" w:val="left"/>
        </w:tabs>
        <w:numPr>
          <w:ilvl w:val="1"/>
          <w:numId w:val="311"/>
        </w:numPr>
        <w:rPr>
          <w:rFonts w:ascii="Arial" w:cs="Arial" w:eastAsia="Arial" w:hAnsi="Arial"/>
          <w:sz w:val="18"/>
          <w:szCs w:val="18"/>
          <w:color w:val="auto"/>
        </w:rPr>
      </w:pPr>
      <w:r>
        <w:rPr>
          <w:rFonts w:ascii="Arial" w:cs="Arial" w:eastAsia="Arial" w:hAnsi="Arial"/>
          <w:sz w:val="18"/>
          <w:szCs w:val="18"/>
          <w:color w:val="auto"/>
        </w:rPr>
        <w:t>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Arial" w:cs="Arial" w:eastAsia="Arial" w:hAnsi="Arial"/>
          <w:sz w:val="18"/>
          <w:szCs w:val="18"/>
          <w:b w:val="1"/>
          <w:bCs w:val="1"/>
          <w:color w:val="auto"/>
        </w:rPr>
        <w:t>Preexisting In-Scope Agreement</w:t>
      </w:r>
      <w:r>
        <w:rPr>
          <w:rFonts w:ascii="Arial" w:cs="Arial" w:eastAsia="Arial" w:hAnsi="Arial"/>
          <w:sz w:val="18"/>
          <w:szCs w:val="18"/>
          <w:color w:val="auto"/>
        </w:rPr>
        <w:t>”), then each such Preexisting In-Scope Agreement is hereby amended to include the foregoing provisions in this Section 8(u), with references to “this Confirmation” being understood to be references to the applicable Preexisting In-Scope Agreement.</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For purposes of this Section 8(u):</w:t>
      </w:r>
    </w:p>
    <w:p>
      <w:pPr>
        <w:spacing w:after="0" w:line="22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defined in, and shall be interpreted in accordance with, 12 U.S.C. § 1841(k).</w:t>
      </w:r>
    </w:p>
    <w:p>
      <w:pPr>
        <w:spacing w:after="0" w:line="225" w:lineRule="exact"/>
        <w:rPr>
          <w:sz w:val="20"/>
          <w:szCs w:val="20"/>
          <w:color w:val="auto"/>
        </w:rPr>
      </w:pPr>
    </w:p>
    <w:p>
      <w:pPr>
        <w:ind w:left="644"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w:t>
      </w:r>
      <w:r>
        <w:rPr>
          <w:rFonts w:ascii="Arial" w:cs="Arial" w:eastAsia="Arial" w:hAnsi="Arial"/>
          <w:sz w:val="18"/>
          <w:szCs w:val="18"/>
          <w:color w:val="auto"/>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4"/>
          </w:cols>
          <w:pgMar w:left="896" w:top="341" w:right="299" w:bottom="1440" w:gutter="0" w:footer="0" w:header="0"/>
        </w:sectPr>
      </w:pPr>
    </w:p>
    <w:bookmarkStart w:id="281" w:name="page282"/>
    <w:bookmarkEnd w:id="281"/>
    <w:p>
      <w:pPr>
        <w:ind w:left="1020" w:hanging="364"/>
        <w:spacing w:after="0"/>
        <w:tabs>
          <w:tab w:leader="none" w:pos="102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225" w:lineRule="exact"/>
        <w:rPr>
          <w:sz w:val="20"/>
          <w:szCs w:val="20"/>
          <w:color w:val="auto"/>
        </w:rPr>
      </w:pPr>
    </w:p>
    <w:p>
      <w:pPr>
        <w:ind w:right="280" w:firstLine="656"/>
        <w:spacing w:after="0" w:line="282" w:lineRule="auto"/>
        <w:tabs>
          <w:tab w:leader="none" w:pos="1353"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Arial" w:cs="Arial" w:eastAsia="Arial" w:hAnsi="Arial"/>
          <w:sz w:val="18"/>
          <w:szCs w:val="18"/>
          <w:b w:val="1"/>
          <w:bCs w:val="1"/>
          <w:color w:val="auto"/>
        </w:rPr>
      </w:pPr>
    </w:p>
    <w:p>
      <w:pPr>
        <w:ind w:left="1380" w:hanging="724"/>
        <w:spacing w:after="0"/>
        <w:tabs>
          <w:tab w:leader="none" w:pos="1380" w:val="left"/>
        </w:tabs>
        <w:numPr>
          <w:ilvl w:val="1"/>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awards are generally final and binding; a party’s ability to have a court reverse or modify an arbitration award is very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limited.</w:t>
      </w:r>
    </w:p>
    <w:p>
      <w:pPr>
        <w:spacing w:after="0" w:line="206" w:lineRule="exact"/>
        <w:rPr>
          <w:rFonts w:ascii="Arial" w:cs="Arial" w:eastAsia="Arial" w:hAnsi="Arial"/>
          <w:sz w:val="16"/>
          <w:szCs w:val="16"/>
          <w:b w:val="1"/>
          <w:bCs w:val="1"/>
          <w:color w:val="auto"/>
        </w:rPr>
      </w:pPr>
    </w:p>
    <w:p>
      <w:pPr>
        <w:ind w:right="60" w:firstLine="656"/>
        <w:spacing w:after="0" w:line="282" w:lineRule="auto"/>
        <w:tabs>
          <w:tab w:leader="none" w:pos="1343"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the parties to obtain documents, witness statements and other discovery is generally more limited in arbitration than in court proceedings.</w:t>
      </w:r>
    </w:p>
    <w:p>
      <w:pPr>
        <w:spacing w:after="0" w:line="161" w:lineRule="exact"/>
        <w:rPr>
          <w:rFonts w:ascii="Arial" w:cs="Arial" w:eastAsia="Arial" w:hAnsi="Arial"/>
          <w:sz w:val="18"/>
          <w:szCs w:val="18"/>
          <w:b w:val="1"/>
          <w:bCs w:val="1"/>
          <w:color w:val="auto"/>
        </w:rPr>
      </w:pPr>
    </w:p>
    <w:p>
      <w:pPr>
        <w:ind w:left="1380" w:hanging="724"/>
        <w:spacing w:after="0"/>
        <w:tabs>
          <w:tab w:leader="none" w:pos="138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do not have to explain the reason(s) for their award.</w:t>
      </w:r>
    </w:p>
    <w:p>
      <w:pPr>
        <w:spacing w:after="0" w:line="225" w:lineRule="exact"/>
        <w:rPr>
          <w:rFonts w:ascii="Arial" w:cs="Arial" w:eastAsia="Arial" w:hAnsi="Arial"/>
          <w:sz w:val="18"/>
          <w:szCs w:val="18"/>
          <w:b w:val="1"/>
          <w:bCs w:val="1"/>
          <w:color w:val="auto"/>
        </w:rPr>
      </w:pPr>
    </w:p>
    <w:p>
      <w:pPr>
        <w:jc w:val="both"/>
        <w:ind w:right="460" w:firstLine="656"/>
        <w:spacing w:after="0" w:line="266" w:lineRule="auto"/>
        <w:tabs>
          <w:tab w:leader="none" w:pos="1343"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6" w:lineRule="exact"/>
        <w:rPr>
          <w:rFonts w:ascii="Arial" w:cs="Arial" w:eastAsia="Arial" w:hAnsi="Arial"/>
          <w:sz w:val="18"/>
          <w:szCs w:val="18"/>
          <w:b w:val="1"/>
          <w:bCs w:val="1"/>
          <w:color w:val="auto"/>
        </w:rPr>
      </w:pPr>
    </w:p>
    <w:p>
      <w:pPr>
        <w:ind w:right="360" w:firstLine="656"/>
        <w:spacing w:after="0" w:line="282" w:lineRule="auto"/>
        <w:tabs>
          <w:tab w:leader="none" w:pos="1368"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The rules of some arbitration forums may impose time limits for bringing a claim in arbitration. In some cases, a claim that is ineligible for arbitration may be brought in court.</w:t>
      </w:r>
    </w:p>
    <w:p>
      <w:pPr>
        <w:spacing w:after="0" w:line="161" w:lineRule="exact"/>
        <w:rPr>
          <w:rFonts w:ascii="Arial" w:cs="Arial" w:eastAsia="Arial" w:hAnsi="Arial"/>
          <w:sz w:val="18"/>
          <w:szCs w:val="18"/>
          <w:b w:val="1"/>
          <w:bCs w:val="1"/>
          <w:color w:val="auto"/>
        </w:rPr>
      </w:pPr>
    </w:p>
    <w:p>
      <w:pPr>
        <w:ind w:left="1360" w:hanging="704"/>
        <w:spacing w:after="0"/>
        <w:tabs>
          <w:tab w:leader="none" w:pos="1360" w:val="left"/>
        </w:tabs>
        <w:numPr>
          <w:ilvl w:val="1"/>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The rules of the arbitration forum in which the claim is filed, and any amendments thereto, shall be incorporated into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Confirmation.</w:t>
      </w:r>
    </w:p>
    <w:p>
      <w:pPr>
        <w:spacing w:after="0" w:line="206" w:lineRule="exact"/>
        <w:rPr>
          <w:rFonts w:ascii="Arial" w:cs="Arial" w:eastAsia="Arial" w:hAnsi="Arial"/>
          <w:sz w:val="17"/>
          <w:szCs w:val="17"/>
          <w:b w:val="1"/>
          <w:bCs w:val="1"/>
          <w:color w:val="auto"/>
        </w:rPr>
      </w:pPr>
    </w:p>
    <w:p>
      <w:pPr>
        <w:ind w:right="20" w:firstLine="656"/>
        <w:spacing w:after="0" w:line="258" w:lineRule="auto"/>
        <w:tabs>
          <w:tab w:leader="none" w:pos="1363"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83" w:lineRule="exact"/>
        <w:rPr>
          <w:rFonts w:ascii="Arial" w:cs="Arial" w:eastAsia="Arial" w:hAnsi="Arial"/>
          <w:sz w:val="18"/>
          <w:szCs w:val="18"/>
          <w:b w:val="1"/>
          <w:bCs w:val="1"/>
          <w:color w:val="auto"/>
        </w:rPr>
      </w:pPr>
    </w:p>
    <w:p>
      <w:pPr>
        <w:ind w:right="140" w:firstLine="656"/>
        <w:spacing w:after="0" w:line="289" w:lineRule="auto"/>
        <w:tabs>
          <w:tab w:leader="none" w:pos="1358" w:val="left"/>
        </w:tabs>
        <w:numPr>
          <w:ilvl w:val="1"/>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is excluded from the class by the court.</w:t>
      </w:r>
    </w:p>
    <w:p>
      <w:pPr>
        <w:spacing w:after="0" w:line="206" w:lineRule="exact"/>
        <w:rPr>
          <w:rFonts w:ascii="Arial" w:cs="Arial" w:eastAsia="Arial" w:hAnsi="Arial"/>
          <w:sz w:val="18"/>
          <w:szCs w:val="18"/>
          <w:b w:val="1"/>
          <w:bCs w:val="1"/>
          <w:color w:val="auto"/>
        </w:rPr>
      </w:pPr>
    </w:p>
    <w:p>
      <w:pPr>
        <w:ind w:firstLine="656"/>
        <w:spacing w:after="0" w:line="282" w:lineRule="auto"/>
        <w:tabs>
          <w:tab w:leader="none" w:pos="1368" w:val="left"/>
        </w:tabs>
        <w:numPr>
          <w:ilvl w:val="1"/>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Such forbearance to enforce an agreement to arbitrate shall not constitute a waiver of any rights under this Confirmation except to the extent stated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2" w:name="page283"/>
    <w:bookmarkEnd w:id="282"/>
    <w:p>
      <w:pPr>
        <w:ind w:firstLine="648"/>
        <w:spacing w:after="0" w:line="257" w:lineRule="auto"/>
        <w:rPr>
          <w:sz w:val="20"/>
          <w:szCs w:val="20"/>
          <w:color w:val="auto"/>
        </w:rPr>
      </w:pPr>
      <w:r>
        <w:rPr>
          <w:rFonts w:ascii="Arial" w:cs="Arial" w:eastAsia="Arial" w:hAnsi="Arial"/>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LLC, Equity Derivatives Documentation Department, Facsimile No. (212) 428-1980/83.</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Jonathan Armstrong</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Jonathan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42" w:right="479" w:bottom="1440" w:gutter="0" w:footer="0" w:header="0"/>
        </w:sectPr>
      </w:pPr>
    </w:p>
    <w:bookmarkStart w:id="283" w:name="page284"/>
    <w:bookmarkEnd w:id="283"/>
    <w:p>
      <w:pPr>
        <w:ind w:left="10740"/>
        <w:spacing w:after="0"/>
        <w:rPr>
          <w:sz w:val="20"/>
          <w:szCs w:val="20"/>
          <w:color w:val="auto"/>
        </w:rPr>
      </w:pPr>
      <w:r>
        <w:rPr>
          <w:rFonts w:ascii="Arial" w:cs="Arial" w:eastAsia="Arial" w:hAnsi="Arial"/>
          <w:sz w:val="17"/>
          <w:szCs w:val="17"/>
          <w:b w:val="1"/>
          <w:bCs w:val="1"/>
          <w:color w:val="auto"/>
        </w:rPr>
        <w:t>Annex 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each Component of the Transaction, the Number of Warrants and Expiration Date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Component Number</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Number of Warrants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40" w:type="dxa"/>
            <w:vAlign w:val="bottom"/>
          </w:tcPr>
          <w:p>
            <w:pPr>
              <w:spacing w:after="0"/>
              <w:rPr>
                <w:sz w:val="14"/>
                <w:szCs w:val="14"/>
                <w:color w:val="auto"/>
              </w:rPr>
            </w:pPr>
          </w:p>
        </w:tc>
      </w:tr>
      <w:tr>
        <w:trPr>
          <w:trHeight w:val="210"/>
        </w:trPr>
        <w:tc>
          <w:tcPr>
            <w:tcW w:w="366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1, 2025</w:t>
            </w:r>
          </w:p>
        </w:tc>
        <w:tc>
          <w:tcPr>
            <w:tcW w:w="40" w:type="dxa"/>
            <w:vAlign w:val="bottom"/>
          </w:tcPr>
          <w:p>
            <w:pPr>
              <w:spacing w:after="0"/>
              <w:rPr>
                <w:sz w:val="18"/>
                <w:szCs w:val="18"/>
                <w:color w:val="auto"/>
              </w:rPr>
            </w:pPr>
          </w:p>
        </w:tc>
      </w:tr>
      <w:tr>
        <w:trPr>
          <w:trHeight w:val="216"/>
        </w:trPr>
        <w:tc>
          <w:tcPr>
            <w:tcW w:w="3660" w:type="dxa"/>
            <w:vAlign w:val="bottom"/>
          </w:tcPr>
          <w:p>
            <w:pPr>
              <w:ind w:left="17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2,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3, 2025</w:t>
            </w:r>
          </w:p>
        </w:tc>
        <w:tc>
          <w:tcPr>
            <w:tcW w:w="40" w:type="dxa"/>
            <w:vAlign w:val="bottom"/>
          </w:tcPr>
          <w:p>
            <w:pPr>
              <w:spacing w:after="0"/>
              <w:rPr>
                <w:sz w:val="18"/>
                <w:szCs w:val="18"/>
                <w:color w:val="auto"/>
              </w:rPr>
            </w:pPr>
          </w:p>
        </w:tc>
      </w:tr>
      <w:tr>
        <w:trPr>
          <w:trHeight w:val="216"/>
        </w:trPr>
        <w:tc>
          <w:tcPr>
            <w:tcW w:w="3660" w:type="dxa"/>
            <w:vAlign w:val="bottom"/>
          </w:tcPr>
          <w:p>
            <w:pPr>
              <w:ind w:left="17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7,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8, 2025</w:t>
            </w:r>
          </w:p>
        </w:tc>
        <w:tc>
          <w:tcPr>
            <w:tcW w:w="40" w:type="dxa"/>
            <w:vAlign w:val="bottom"/>
          </w:tcPr>
          <w:p>
            <w:pPr>
              <w:spacing w:after="0"/>
              <w:rPr>
                <w:sz w:val="18"/>
                <w:szCs w:val="18"/>
                <w:color w:val="auto"/>
              </w:rPr>
            </w:pPr>
          </w:p>
        </w:tc>
      </w:tr>
      <w:tr>
        <w:trPr>
          <w:trHeight w:val="216"/>
        </w:trPr>
        <w:tc>
          <w:tcPr>
            <w:tcW w:w="3660" w:type="dxa"/>
            <w:vAlign w:val="bottom"/>
          </w:tcPr>
          <w:p>
            <w:pPr>
              <w:ind w:left="17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9,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10, 2025</w:t>
            </w:r>
          </w:p>
        </w:tc>
        <w:tc>
          <w:tcPr>
            <w:tcW w:w="40" w:type="dxa"/>
            <w:vAlign w:val="bottom"/>
          </w:tcPr>
          <w:p>
            <w:pPr>
              <w:spacing w:after="0"/>
              <w:rPr>
                <w:sz w:val="18"/>
                <w:szCs w:val="18"/>
                <w:color w:val="auto"/>
              </w:rPr>
            </w:pPr>
          </w:p>
        </w:tc>
      </w:tr>
      <w:tr>
        <w:trPr>
          <w:trHeight w:val="216"/>
        </w:trPr>
        <w:tc>
          <w:tcPr>
            <w:tcW w:w="3660" w:type="dxa"/>
            <w:vAlign w:val="bottom"/>
          </w:tcPr>
          <w:p>
            <w:pPr>
              <w:ind w:left="17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July 11,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14, 2024</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15,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16,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17,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18,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21,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22,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23,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24,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25,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29,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31,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1,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4,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5,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6,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7,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8,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11,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12,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13,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14,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15,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18,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19,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20,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22,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25,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26,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27,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28,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29,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2,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4,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5, 2025</w:t>
            </w:r>
          </w:p>
        </w:tc>
        <w:tc>
          <w:tcPr>
            <w:tcW w:w="40" w:type="dxa"/>
            <w:vAlign w:val="bottom"/>
          </w:tcPr>
          <w:p>
            <w:pPr>
              <w:spacing w:after="0"/>
              <w:rPr>
                <w:sz w:val="18"/>
                <w:szCs w:val="18"/>
                <w:color w:val="auto"/>
              </w:rPr>
            </w:pPr>
          </w:p>
        </w:tc>
      </w:tr>
      <w:tr>
        <w:trPr>
          <w:trHeight w:val="216"/>
        </w:trPr>
        <w:tc>
          <w:tcPr>
            <w:tcW w:w="3660" w:type="dxa"/>
            <w:vAlign w:val="bottom"/>
          </w:tcPr>
          <w:p>
            <w:pPr>
              <w:ind w:left="17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8,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9, 2025</w:t>
            </w:r>
          </w:p>
        </w:tc>
        <w:tc>
          <w:tcPr>
            <w:tcW w:w="40" w:type="dxa"/>
            <w:vAlign w:val="bottom"/>
          </w:tcPr>
          <w:p>
            <w:pPr>
              <w:spacing w:after="0"/>
              <w:rPr>
                <w:sz w:val="18"/>
                <w:szCs w:val="18"/>
                <w:color w:val="auto"/>
              </w:rPr>
            </w:pPr>
          </w:p>
        </w:tc>
      </w:tr>
      <w:tr>
        <w:trPr>
          <w:trHeight w:val="230"/>
        </w:trPr>
        <w:tc>
          <w:tcPr>
            <w:tcW w:w="3660" w:type="dxa"/>
            <w:vAlign w:val="bottom"/>
          </w:tcPr>
          <w:p>
            <w:pPr>
              <w:ind w:left="17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10, 2025</w:t>
            </w:r>
          </w:p>
        </w:tc>
        <w:tc>
          <w:tcPr>
            <w:tcW w:w="40" w:type="dxa"/>
            <w:vAlign w:val="bottom"/>
          </w:tcPr>
          <w:p>
            <w:pPr>
              <w:spacing w:after="0"/>
              <w:rPr>
                <w:sz w:val="20"/>
                <w:szCs w:val="20"/>
                <w:color w:val="auto"/>
              </w:rPr>
            </w:pPr>
          </w:p>
        </w:tc>
      </w:tr>
      <w:tr>
        <w:trPr>
          <w:trHeight w:val="334"/>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11,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52.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12,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15,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54.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16,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17,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56.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18,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19,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58.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22,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23,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24,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25,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26,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29,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30,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October 1,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9"/>
              </w:rPr>
              <w:t>October 2,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October 3,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9"/>
              </w:rPr>
              <w:t>October 6,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October 7,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9"/>
              </w:rPr>
              <w:t>October 8,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October 9,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10,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13,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14,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15,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16,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17,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20,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21,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22,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23,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24,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27,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28,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29,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30,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31,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November 3,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November 4,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November 5,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November 6,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November 7,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November 10,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1"/>
              </w:rPr>
              <w:t>November 11,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November 12,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1"/>
              </w:rPr>
              <w:t>November 13,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November 14,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1"/>
              </w:rPr>
              <w:t>November 17,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November 18, 2025</w:t>
            </w:r>
          </w:p>
        </w:tc>
        <w:tc>
          <w:tcPr>
            <w:tcW w:w="40" w:type="dxa"/>
            <w:vAlign w:val="bottom"/>
          </w:tcPr>
          <w:p>
            <w:pPr>
              <w:spacing w:after="0"/>
              <w:rPr>
                <w:sz w:val="18"/>
                <w:szCs w:val="18"/>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1"/>
              </w:rPr>
              <w:t>November 19, 2025</w:t>
            </w:r>
          </w:p>
        </w:tc>
        <w:tc>
          <w:tcPr>
            <w:tcW w:w="40" w:type="dxa"/>
            <w:vAlign w:val="bottom"/>
          </w:tcPr>
          <w:p>
            <w:pPr>
              <w:spacing w:after="0"/>
              <w:rPr>
                <w:sz w:val="20"/>
                <w:szCs w:val="20"/>
                <w:color w:val="auto"/>
              </w:rPr>
            </w:pPr>
          </w:p>
        </w:tc>
      </w:tr>
      <w:tr>
        <w:trPr>
          <w:trHeight w:val="418"/>
        </w:trPr>
        <w:tc>
          <w:tcPr>
            <w:tcW w:w="3740" w:type="dxa"/>
            <w:vAlign w:val="bottom"/>
          </w:tcPr>
          <w:p>
            <w:pPr>
              <w:spacing w:after="0"/>
              <w:rPr>
                <w:sz w:val="24"/>
                <w:szCs w:val="24"/>
                <w:color w:val="auto"/>
              </w:rPr>
            </w:pPr>
          </w:p>
        </w:tc>
        <w:tc>
          <w:tcPr>
            <w:tcW w:w="3680" w:type="dxa"/>
            <w:vAlign w:val="bottom"/>
          </w:tcPr>
          <w:p>
            <w:pPr>
              <w:jc w:val="center"/>
              <w:ind w:left="170"/>
              <w:spacing w:after="0"/>
              <w:rPr>
                <w:sz w:val="20"/>
                <w:szCs w:val="20"/>
                <w:color w:val="auto"/>
              </w:rPr>
            </w:pPr>
            <w:r>
              <w:rPr>
                <w:rFonts w:ascii="Arial" w:cs="Arial" w:eastAsia="Arial" w:hAnsi="Arial"/>
                <w:sz w:val="18"/>
                <w:szCs w:val="18"/>
                <w:color w:val="auto"/>
                <w:w w:val="99"/>
              </w:rPr>
              <w:t>2</w:t>
            </w: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18" w:lineRule="auto"/>
        <w:rPr>
          <w:sz w:val="20"/>
          <w:szCs w:val="20"/>
          <w:color w:val="auto"/>
        </w:rPr>
      </w:pPr>
      <w:r>
        <w:rPr>
          <w:rFonts w:ascii="Arial" w:cs="Arial" w:eastAsia="Arial" w:hAnsi="Arial"/>
          <w:sz w:val="18"/>
          <w:szCs w:val="18"/>
          <w:color w:val="auto"/>
        </w:rPr>
        <w:t>55 Bloor Street West,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M4W 1A5</w:t>
      </w: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(416) 552-4177</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(416) 552-7904</w:t>
      </w:r>
    </w:p>
    <w:p>
      <w:pPr>
        <w:spacing w:after="0" w:line="211"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pacing w:after="0" w:line="24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Winnebago Industries, Inc.</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Forest City, Iowa 50436</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Bank of Montreal</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Base Issuer Warrant Transaction</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October 29,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Bank of Montreal (“</w:t>
      </w:r>
      <w:r>
        <w:rPr>
          <w:rFonts w:ascii="Arial" w:cs="Arial" w:eastAsia="Arial" w:hAnsi="Arial"/>
          <w:sz w:val="18"/>
          <w:szCs w:val="18"/>
          <w:b w:val="1"/>
          <w:bCs w:val="1"/>
          <w:color w:val="auto"/>
        </w:rPr>
        <w:t>Dealer</w:t>
      </w:r>
      <w:r>
        <w:rPr>
          <w:rFonts w:ascii="Arial" w:cs="Arial" w:eastAsia="Arial" w:hAnsi="Arial"/>
          <w:sz w:val="18"/>
          <w:szCs w:val="18"/>
          <w:color w:val="auto"/>
        </w:rPr>
        <w:t>”) and Winnebago Industries, Inc. (“</w:t>
      </w:r>
      <w:r>
        <w:rPr>
          <w:rFonts w:ascii="Arial" w:cs="Arial" w:eastAsia="Arial" w:hAnsi="Arial"/>
          <w:sz w:val="18"/>
          <w:szCs w:val="18"/>
          <w:b w:val="1"/>
          <w:bCs w:val="1"/>
          <w:color w:val="auto"/>
        </w:rPr>
        <w:t>Counterparty</w:t>
      </w:r>
      <w:r>
        <w:rPr>
          <w:rFonts w:ascii="Arial" w:cs="Arial" w:eastAsia="Arial" w:hAnsi="Arial"/>
          <w:sz w:val="18"/>
          <w:szCs w:val="18"/>
          <w:color w:val="auto"/>
        </w:rPr>
        <w:t>”). Dealer is acting as principal in this Transaction and BMO Capital Markets Corp. (“</w:t>
      </w:r>
      <w:r>
        <w:rPr>
          <w:rFonts w:ascii="Arial" w:cs="Arial" w:eastAsia="Arial" w:hAnsi="Arial"/>
          <w:sz w:val="18"/>
          <w:szCs w:val="18"/>
          <w:b w:val="1"/>
          <w:bCs w:val="1"/>
          <w:color w:val="auto"/>
        </w:rPr>
        <w:t>Agent</w:t>
      </w:r>
      <w:r>
        <w:rPr>
          <w:rFonts w:ascii="Arial" w:cs="Arial" w:eastAsia="Arial" w:hAnsi="Arial"/>
          <w:sz w:val="18"/>
          <w:szCs w:val="18"/>
          <w:color w:val="auto"/>
        </w:rPr>
        <w:t>”), its affiliate, is acting as agent for this Transaction solely in connection with Rule 15a-6 of the Exchange Act (as defined herein), as amended. This communication constitutes a “Confirmation” as referred to in the ISDA Master Agreement specified below.</w:t>
      </w:r>
    </w:p>
    <w:p>
      <w:pPr>
        <w:spacing w:after="0" w:line="184" w:lineRule="exact"/>
        <w:rPr>
          <w:sz w:val="20"/>
          <w:szCs w:val="20"/>
          <w:color w:val="auto"/>
        </w:rPr>
      </w:pPr>
    </w:p>
    <w:p>
      <w:pPr>
        <w:ind w:firstLine="656"/>
        <w:spacing w:after="0" w:line="281" w:lineRule="auto"/>
        <w:tabs>
          <w:tab w:leader="none" w:pos="972"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2006 ISDA Definitions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and together with the 2006 Definitions, the “</w:t>
      </w:r>
      <w:r>
        <w:rPr>
          <w:rFonts w:ascii="Arial" w:cs="Arial" w:eastAsia="Arial" w:hAnsi="Arial"/>
          <w:sz w:val="17"/>
          <w:szCs w:val="17"/>
          <w:b w:val="1"/>
          <w:bCs w:val="1"/>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For purposes of the Equity Definitions, each reference herein to a Warrant shall be deemed to be a reference to a Call Option or an Option, as context requires.</w:t>
      </w:r>
    </w:p>
    <w:p>
      <w:pPr>
        <w:spacing w:after="0" w:line="16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(ii) the replacement of the word “third” in the last line of Section 5(a)(i) of the Agreement with the word “first” and (iii) the election that the “Cross Default” provisions of Section 5(a)(vi) of the Agreement shall apply to Counterparty with a “Threshold Amount” of USD15.0 million).</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6" w:name="page287"/>
    <w:bookmarkEnd w:id="286"/>
    <w:p>
      <w:pPr>
        <w:ind w:right="100"/>
        <w:spacing w:after="0" w:line="277" w:lineRule="auto"/>
        <w:rPr>
          <w:sz w:val="20"/>
          <w:szCs w:val="20"/>
          <w:color w:val="auto"/>
        </w:rPr>
      </w:pPr>
      <w:r>
        <w:rPr>
          <w:rFonts w:ascii="Arial" w:cs="Arial" w:eastAsia="Arial" w:hAnsi="Arial"/>
          <w:sz w:val="18"/>
          <w:szCs w:val="18"/>
          <w:color w:val="auto"/>
        </w:rPr>
        <w:t>the application of any provision of this Confirmation, the Agreement, the Equity Definitions or the 2006 Definitions shall not be construed to exclude or limit any other provision of this Confirmation, the Agreement, the Equity Definitions or the 2006 Definitions.</w:t>
      </w:r>
    </w:p>
    <w:p>
      <w:pPr>
        <w:spacing w:after="0" w:line="170"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360" w:firstLine="656"/>
        <w:spacing w:after="0" w:line="277" w:lineRule="auto"/>
        <w:tabs>
          <w:tab w:leader="none" w:pos="97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General Terms:</w:t>
            </w:r>
          </w:p>
        </w:tc>
        <w:tc>
          <w:tcPr>
            <w:tcW w:w="7800" w:type="dxa"/>
            <w:vAlign w:val="bottom"/>
          </w:tcPr>
          <w:p>
            <w:pPr>
              <w:spacing w:after="0"/>
              <w:rPr>
                <w:sz w:val="20"/>
                <w:szCs w:val="20"/>
                <w:color w:val="auto"/>
              </w:rPr>
            </w:pP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7800" w:type="dxa"/>
            <w:vAlign w:val="bottom"/>
          </w:tcPr>
          <w:p>
            <w:pPr>
              <w:ind w:left="1500"/>
              <w:spacing w:after="0"/>
              <w:rPr>
                <w:sz w:val="20"/>
                <w:szCs w:val="20"/>
                <w:color w:val="auto"/>
              </w:rPr>
            </w:pPr>
            <w:r>
              <w:rPr>
                <w:rFonts w:ascii="Arial" w:cs="Arial" w:eastAsia="Arial" w:hAnsi="Arial"/>
                <w:sz w:val="18"/>
                <w:szCs w:val="18"/>
                <w:color w:val="auto"/>
              </w:rPr>
              <w:t>October 29, 2019</w:t>
            </w:r>
          </w:p>
        </w:tc>
      </w:tr>
      <w:tr>
        <w:trPr>
          <w:trHeight w:val="418"/>
        </w:trPr>
        <w:tc>
          <w:tcPr>
            <w:tcW w:w="366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7800" w:type="dxa"/>
            <w:vAlign w:val="bottom"/>
          </w:tcPr>
          <w:p>
            <w:pPr>
              <w:ind w:left="1500"/>
              <w:spacing w:after="0"/>
              <w:rPr>
                <w:sz w:val="20"/>
                <w:szCs w:val="20"/>
                <w:color w:val="auto"/>
              </w:rPr>
            </w:pPr>
            <w:r>
              <w:rPr>
                <w:rFonts w:ascii="Arial" w:cs="Arial" w:eastAsia="Arial" w:hAnsi="Arial"/>
                <w:sz w:val="18"/>
                <w:szCs w:val="18"/>
                <w:color w:val="auto"/>
                <w:w w:val="98"/>
              </w:rPr>
              <w:t>November 1, 2019, or such other date as agreed between the parties, subject to</w:t>
            </w:r>
          </w:p>
        </w:tc>
      </w:tr>
      <w:tr>
        <w:trPr>
          <w:trHeight w:val="230"/>
        </w:trPr>
        <w:tc>
          <w:tcPr>
            <w:tcW w:w="3660" w:type="dxa"/>
            <w:vAlign w:val="bottom"/>
          </w:tcPr>
          <w:p>
            <w:pPr>
              <w:spacing w:after="0"/>
              <w:rPr>
                <w:sz w:val="20"/>
                <w:szCs w:val="20"/>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rPr>
              <w:t>Section 8(l) below</w:t>
            </w:r>
          </w:p>
        </w:tc>
      </w:tr>
      <w:tr>
        <w:trPr>
          <w:trHeight w:val="418"/>
        </w:trPr>
        <w:tc>
          <w:tcPr>
            <w:tcW w:w="3660" w:type="dxa"/>
            <w:vAlign w:val="bottom"/>
          </w:tcPr>
          <w:p>
            <w:pPr>
              <w:ind w:left="660"/>
              <w:spacing w:after="0"/>
              <w:rPr>
                <w:sz w:val="20"/>
                <w:szCs w:val="20"/>
                <w:color w:val="auto"/>
              </w:rPr>
            </w:pPr>
            <w:r>
              <w:rPr>
                <w:rFonts w:ascii="Arial" w:cs="Arial" w:eastAsia="Arial" w:hAnsi="Arial"/>
                <w:sz w:val="18"/>
                <w:szCs w:val="18"/>
                <w:color w:val="auto"/>
              </w:rPr>
              <w:t>Components:</w:t>
            </w:r>
          </w:p>
        </w:tc>
        <w:tc>
          <w:tcPr>
            <w:tcW w:w="7800" w:type="dxa"/>
            <w:vAlign w:val="bottom"/>
          </w:tcPr>
          <w:p>
            <w:pPr>
              <w:ind w:left="1500"/>
              <w:spacing w:after="0"/>
              <w:rPr>
                <w:sz w:val="20"/>
                <w:szCs w:val="20"/>
                <w:color w:val="auto"/>
              </w:rPr>
            </w:pPr>
            <w:r>
              <w:rPr>
                <w:rFonts w:ascii="Arial" w:cs="Arial" w:eastAsia="Arial" w:hAnsi="Arial"/>
                <w:sz w:val="18"/>
                <w:szCs w:val="18"/>
                <w:color w:val="auto"/>
                <w:w w:val="94"/>
              </w:rPr>
              <w:t>The Transaction will be divided into individual Components, each with the terms set</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rPr>
              <w:t>forth in this Confirmation, and, in particular, with the Number of Warrants and</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8"/>
              </w:rPr>
              <w:t>Expiration Date set forth in this Confirmation. The payments and deliveries to be</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8"/>
              </w:rPr>
              <w:t>made upon settlement of the Transaction will be determined separately for each</w:t>
            </w:r>
          </w:p>
        </w:tc>
      </w:tr>
      <w:tr>
        <w:trPr>
          <w:trHeight w:val="230"/>
        </w:trPr>
        <w:tc>
          <w:tcPr>
            <w:tcW w:w="3660" w:type="dxa"/>
            <w:vAlign w:val="bottom"/>
          </w:tcPr>
          <w:p>
            <w:pPr>
              <w:spacing w:after="0"/>
              <w:rPr>
                <w:sz w:val="20"/>
                <w:szCs w:val="20"/>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1"/>
              </w:rPr>
              <w:t>Component as if each Component were a separate Transaction under the Agreement.</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Warrant Style:</w:t>
            </w:r>
          </w:p>
        </w:tc>
        <w:tc>
          <w:tcPr>
            <w:tcW w:w="7800" w:type="dxa"/>
            <w:vAlign w:val="bottom"/>
          </w:tcPr>
          <w:p>
            <w:pPr>
              <w:ind w:left="1500"/>
              <w:spacing w:after="0"/>
              <w:rPr>
                <w:sz w:val="20"/>
                <w:szCs w:val="20"/>
                <w:color w:val="auto"/>
              </w:rPr>
            </w:pPr>
            <w:r>
              <w:rPr>
                <w:rFonts w:ascii="Arial" w:cs="Arial" w:eastAsia="Arial" w:hAnsi="Arial"/>
                <w:sz w:val="18"/>
                <w:szCs w:val="18"/>
                <w:color w:val="auto"/>
              </w:rPr>
              <w:t>European</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Warrant Type:</w:t>
            </w:r>
          </w:p>
        </w:tc>
        <w:tc>
          <w:tcPr>
            <w:tcW w:w="7800" w:type="dxa"/>
            <w:vAlign w:val="bottom"/>
          </w:tcPr>
          <w:p>
            <w:pPr>
              <w:ind w:left="1500"/>
              <w:spacing w:after="0"/>
              <w:rPr>
                <w:sz w:val="20"/>
                <w:szCs w:val="20"/>
                <w:color w:val="auto"/>
              </w:rPr>
            </w:pPr>
            <w:r>
              <w:rPr>
                <w:rFonts w:ascii="Arial" w:cs="Arial" w:eastAsia="Arial" w:hAnsi="Arial"/>
                <w:sz w:val="18"/>
                <w:szCs w:val="18"/>
                <w:color w:val="auto"/>
              </w:rPr>
              <w:t>Call</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Seller:</w:t>
            </w:r>
          </w:p>
        </w:tc>
        <w:tc>
          <w:tcPr>
            <w:tcW w:w="7800" w:type="dxa"/>
            <w:vAlign w:val="bottom"/>
          </w:tcPr>
          <w:p>
            <w:pPr>
              <w:ind w:left="1500"/>
              <w:spacing w:after="0"/>
              <w:rPr>
                <w:sz w:val="20"/>
                <w:szCs w:val="20"/>
                <w:color w:val="auto"/>
              </w:rPr>
            </w:pPr>
            <w:r>
              <w:rPr>
                <w:rFonts w:ascii="Arial" w:cs="Arial" w:eastAsia="Arial" w:hAnsi="Arial"/>
                <w:sz w:val="18"/>
                <w:szCs w:val="18"/>
                <w:color w:val="auto"/>
              </w:rPr>
              <w:t>Counterparty</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Buyer:</w:t>
            </w:r>
          </w:p>
        </w:tc>
        <w:tc>
          <w:tcPr>
            <w:tcW w:w="7800" w:type="dxa"/>
            <w:vAlign w:val="bottom"/>
          </w:tcPr>
          <w:p>
            <w:pPr>
              <w:ind w:left="1500"/>
              <w:spacing w:after="0"/>
              <w:rPr>
                <w:sz w:val="20"/>
                <w:szCs w:val="20"/>
                <w:color w:val="auto"/>
              </w:rPr>
            </w:pPr>
            <w:r>
              <w:rPr>
                <w:rFonts w:ascii="Arial" w:cs="Arial" w:eastAsia="Arial" w:hAnsi="Arial"/>
                <w:sz w:val="18"/>
                <w:szCs w:val="18"/>
                <w:color w:val="auto"/>
              </w:rPr>
              <w:t>Dealer</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Shares:</w:t>
            </w:r>
          </w:p>
        </w:tc>
        <w:tc>
          <w:tcPr>
            <w:tcW w:w="7800" w:type="dxa"/>
            <w:vAlign w:val="bottom"/>
          </w:tcPr>
          <w:p>
            <w:pPr>
              <w:ind w:left="1500"/>
              <w:spacing w:after="0"/>
              <w:rPr>
                <w:sz w:val="20"/>
                <w:szCs w:val="20"/>
                <w:color w:val="auto"/>
              </w:rPr>
            </w:pPr>
            <w:r>
              <w:rPr>
                <w:rFonts w:ascii="Arial" w:cs="Arial" w:eastAsia="Arial" w:hAnsi="Arial"/>
                <w:sz w:val="18"/>
                <w:szCs w:val="18"/>
                <w:color w:val="auto"/>
                <w:w w:val="96"/>
              </w:rPr>
              <w:t>The Common Stock of Counterparty, par value USD0.50 (Ticker Symbol: “WGO”).</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Number of Warrants:</w:t>
            </w:r>
          </w:p>
        </w:tc>
        <w:tc>
          <w:tcPr>
            <w:tcW w:w="7800" w:type="dxa"/>
            <w:vAlign w:val="bottom"/>
          </w:tcPr>
          <w:p>
            <w:pPr>
              <w:ind w:left="1500"/>
              <w:spacing w:after="0"/>
              <w:rPr>
                <w:sz w:val="20"/>
                <w:szCs w:val="20"/>
                <w:color w:val="auto"/>
              </w:rPr>
            </w:pPr>
            <w:r>
              <w:rPr>
                <w:rFonts w:ascii="Arial" w:cs="Arial" w:eastAsia="Arial" w:hAnsi="Arial"/>
                <w:sz w:val="18"/>
                <w:szCs w:val="18"/>
                <w:color w:val="auto"/>
              </w:rPr>
              <w:t>For each Component, as provided in Annex A to this Confirmation.</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Warrant Entitlement:</w:t>
            </w:r>
          </w:p>
        </w:tc>
        <w:tc>
          <w:tcPr>
            <w:tcW w:w="7800" w:type="dxa"/>
            <w:vAlign w:val="bottom"/>
          </w:tcPr>
          <w:p>
            <w:pPr>
              <w:ind w:left="1500"/>
              <w:spacing w:after="0"/>
              <w:rPr>
                <w:sz w:val="20"/>
                <w:szCs w:val="20"/>
                <w:color w:val="auto"/>
              </w:rPr>
            </w:pPr>
            <w:r>
              <w:rPr>
                <w:rFonts w:ascii="Arial" w:cs="Arial" w:eastAsia="Arial" w:hAnsi="Arial"/>
                <w:sz w:val="18"/>
                <w:szCs w:val="18"/>
                <w:color w:val="auto"/>
              </w:rPr>
              <w:t>One Share per Warrant</w:t>
            </w:r>
          </w:p>
        </w:tc>
      </w:tr>
      <w:tr>
        <w:trPr>
          <w:trHeight w:val="432"/>
        </w:trPr>
        <w:tc>
          <w:tcPr>
            <w:tcW w:w="366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7800" w:type="dxa"/>
            <w:vAlign w:val="bottom"/>
          </w:tcPr>
          <w:p>
            <w:pPr>
              <w:ind w:left="1500"/>
              <w:spacing w:after="0"/>
              <w:rPr>
                <w:sz w:val="20"/>
                <w:szCs w:val="20"/>
                <w:color w:val="auto"/>
              </w:rPr>
            </w:pPr>
            <w:r>
              <w:rPr>
                <w:rFonts w:ascii="Arial" w:cs="Arial" w:eastAsia="Arial" w:hAnsi="Arial"/>
                <w:sz w:val="18"/>
                <w:szCs w:val="18"/>
                <w:color w:val="auto"/>
              </w:rPr>
              <w:t>USD96.2000</w:t>
            </w:r>
          </w:p>
        </w:tc>
      </w:tr>
      <w:tr>
        <w:trPr>
          <w:trHeight w:val="418"/>
        </w:trPr>
        <w:tc>
          <w:tcPr>
            <w:tcW w:w="3660" w:type="dxa"/>
            <w:vAlign w:val="bottom"/>
          </w:tcPr>
          <w:p>
            <w:pPr>
              <w:spacing w:after="0"/>
              <w:rPr>
                <w:sz w:val="24"/>
                <w:szCs w:val="24"/>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5"/>
              </w:rPr>
              <w:t>Notwithstanding anything to the contrary in the Agreement, this Confirmation or the</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5"/>
              </w:rPr>
              <w:t>Equity Definitions, in no event shall the Strike Price be subject to adjustment to the</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3"/>
              </w:rPr>
              <w:t>extent that, after giving effect to such adjustment, the Strike Price would be less than</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w w:val="95"/>
              </w:rPr>
              <w:t>USD48.1000, except for any adjustment pursuant to the terms of this Confirmation</w:t>
            </w:r>
          </w:p>
        </w:tc>
      </w:tr>
      <w:tr>
        <w:trPr>
          <w:trHeight w:val="216"/>
        </w:trPr>
        <w:tc>
          <w:tcPr>
            <w:tcW w:w="3660" w:type="dxa"/>
            <w:vAlign w:val="bottom"/>
          </w:tcPr>
          <w:p>
            <w:pPr>
              <w:spacing w:after="0"/>
              <w:rPr>
                <w:sz w:val="18"/>
                <w:szCs w:val="18"/>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rPr>
              <w:t>and the Equity Definitions in connection with a stock split or similar change to</w:t>
            </w:r>
          </w:p>
        </w:tc>
      </w:tr>
      <w:tr>
        <w:trPr>
          <w:trHeight w:val="230"/>
        </w:trPr>
        <w:tc>
          <w:tcPr>
            <w:tcW w:w="3660" w:type="dxa"/>
            <w:vAlign w:val="bottom"/>
          </w:tcPr>
          <w:p>
            <w:pPr>
              <w:spacing w:after="0"/>
              <w:rPr>
                <w:sz w:val="20"/>
                <w:szCs w:val="20"/>
                <w:color w:val="auto"/>
              </w:rPr>
            </w:pPr>
          </w:p>
        </w:tc>
        <w:tc>
          <w:tcPr>
            <w:tcW w:w="7800" w:type="dxa"/>
            <w:vAlign w:val="bottom"/>
          </w:tcPr>
          <w:p>
            <w:pPr>
              <w:ind w:left="1500"/>
              <w:spacing w:after="0"/>
              <w:rPr>
                <w:sz w:val="20"/>
                <w:szCs w:val="20"/>
                <w:color w:val="auto"/>
              </w:rPr>
            </w:pPr>
            <w:r>
              <w:rPr>
                <w:rFonts w:ascii="Arial" w:cs="Arial" w:eastAsia="Arial" w:hAnsi="Arial"/>
                <w:sz w:val="18"/>
                <w:szCs w:val="18"/>
                <w:color w:val="auto"/>
              </w:rPr>
              <w:t>Counterparty’s capitalization.</w:t>
            </w:r>
          </w:p>
        </w:tc>
      </w:tr>
      <w:tr>
        <w:trPr>
          <w:trHeight w:val="432"/>
        </w:trPr>
        <w:tc>
          <w:tcPr>
            <w:tcW w:w="3660" w:type="dxa"/>
            <w:vAlign w:val="bottom"/>
          </w:tcPr>
          <w:p>
            <w:pPr>
              <w:spacing w:after="0"/>
              <w:rPr>
                <w:sz w:val="24"/>
                <w:szCs w:val="24"/>
                <w:color w:val="auto"/>
              </w:rPr>
            </w:pPr>
          </w:p>
        </w:tc>
        <w:tc>
          <w:tcPr>
            <w:tcW w:w="7800" w:type="dxa"/>
            <w:vAlign w:val="bottom"/>
          </w:tcPr>
          <w:p>
            <w:pPr>
              <w:ind w:left="2000"/>
              <w:spacing w:after="0"/>
              <w:rPr>
                <w:sz w:val="20"/>
                <w:szCs w:val="20"/>
                <w:color w:val="auto"/>
              </w:rPr>
            </w:pPr>
            <w:r>
              <w:rPr>
                <w:rFonts w:ascii="Arial" w:cs="Arial" w:eastAsia="Arial" w:hAnsi="Arial"/>
                <w:sz w:val="18"/>
                <w:szCs w:val="18"/>
                <w:color w:val="auto"/>
              </w:rPr>
              <w:t>2</w:t>
            </w:r>
          </w:p>
        </w:tc>
      </w:tr>
      <w:tr>
        <w:trPr>
          <w:trHeight w:val="132"/>
        </w:trPr>
        <w:tc>
          <w:tcPr>
            <w:tcW w:w="3660" w:type="dxa"/>
            <w:vAlign w:val="bottom"/>
            <w:tcBorders>
              <w:bottom w:val="single" w:sz="8" w:color="808080"/>
            </w:tcBorders>
          </w:tcPr>
          <w:p>
            <w:pPr>
              <w:spacing w:after="0"/>
              <w:rPr>
                <w:sz w:val="11"/>
                <w:szCs w:val="11"/>
                <w:color w:val="auto"/>
              </w:rPr>
            </w:pPr>
          </w:p>
        </w:tc>
        <w:tc>
          <w:tcPr>
            <w:tcW w:w="78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87" w:name="page288"/>
    <w:bookmarkEnd w:id="287"/>
    <w:p>
      <w:pPr>
        <w:ind w:left="660"/>
        <w:spacing w:after="0"/>
        <w:rPr>
          <w:sz w:val="20"/>
          <w:szCs w:val="20"/>
          <w:color w:val="auto"/>
        </w:rPr>
      </w:pPr>
      <w:r>
        <w:rPr>
          <w:rFonts w:ascii="Arial" w:cs="Arial" w:eastAsia="Arial" w:hAnsi="Arial"/>
          <w:sz w:val="18"/>
          <w:szCs w:val="18"/>
          <w:color w:val="auto"/>
        </w:rPr>
        <w:t>Number of Shares: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 Payment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Exercise: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 respect of any Component: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As of any date, a number of Shares equal to the product of the Number of Warrants and the Warrant Entitlement.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USD18,994,500.00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Valuation Time</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Confirmation (or, if such date is not a Scheduled Trading Day, the next following Scheduled Trading Day that is not already an Expiration Date for another Component);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and is not deemed to be an Expiration Date in respect of any other Component of the Transaction hereunder;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if the Expiration Date has not occurred pursuant to the preceding</w:t>
      </w:r>
      <w:r>
        <w:rPr>
          <w:rFonts w:ascii="Arial" w:cs="Arial" w:eastAsia="Arial" w:hAnsi="Arial"/>
          <w:sz w:val="16"/>
          <w:szCs w:val="16"/>
          <w:i w:val="1"/>
          <w:iCs w:val="1"/>
          <w:color w:val="auto"/>
        </w:rPr>
        <w:t xml:space="preserve"> </w:t>
      </w:r>
      <w:r>
        <w:rPr>
          <w:rFonts w:ascii="Arial" w:cs="Arial" w:eastAsia="Arial" w:hAnsi="Arial"/>
          <w:sz w:val="16"/>
          <w:szCs w:val="16"/>
          <w:color w:val="auto"/>
        </w:rPr>
        <w:t>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 be a Disrupted Day in full</w:t>
      </w:r>
      <w:r>
        <w:rPr>
          <w:rFonts w:ascii="Arial" w:cs="Arial" w:eastAsia="Arial" w:hAnsi="Arial"/>
          <w:sz w:val="16"/>
          <w:szCs w:val="16"/>
          <w:b w:val="1"/>
          <w:bCs w:val="1"/>
          <w:color w:val="auto"/>
        </w:rPr>
        <w:t>.</w:t>
      </w:r>
      <w:r>
        <w:rPr>
          <w:rFonts w:ascii="Arial" w:cs="Arial" w:eastAsia="Arial" w:hAnsi="Arial"/>
          <w:sz w:val="16"/>
          <w:szCs w:val="16"/>
          <w:color w:val="auto"/>
        </w:rPr>
        <w:t xml:space="preserve"> Section 6.6 of the Equity Definitions shall not apply to any Valuation Date</w:t>
      </w:r>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440" w:space="720"/>
            <w:col w:w="6200"/>
          </w:cols>
          <w:pgMar w:left="240" w:top="341" w:right="299" w:bottom="1440" w:gutter="0" w:footer="0" w:header="0"/>
        </w:sectPr>
      </w:pPr>
    </w:p>
    <w:bookmarkStart w:id="288" w:name="page289"/>
    <w:bookmarkEnd w:id="288"/>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Disruption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Regulatory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Counterparty’s Telephone Number and Telex and/or Facsimile Number and Contact Details for purpose of Giving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Currency: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Share 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occurring on an Expiration Date. “</w:t>
      </w:r>
      <w:r>
        <w:rPr>
          <w:rFonts w:ascii="Arial" w:cs="Arial" w:eastAsia="Arial" w:hAnsi="Arial"/>
          <w:sz w:val="16"/>
          <w:szCs w:val="16"/>
          <w:b w:val="1"/>
          <w:bCs w:val="1"/>
          <w:color w:val="auto"/>
        </w:rPr>
        <w:t>Final Disruption Date</w:t>
      </w:r>
      <w:r>
        <w:rPr>
          <w:rFonts w:ascii="Arial" w:cs="Arial" w:eastAsia="Arial" w:hAnsi="Arial"/>
          <w:sz w:val="16"/>
          <w:szCs w:val="16"/>
          <w:color w:val="auto"/>
        </w:rPr>
        <w:t>” means December 3, 2025.</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Any event that Dealer, in its discretion, determines makes it appropriate, with regard to any legal, regulatory or self-regulatory requirements or related policies and procedures (whether or not such requirements or related policies and procedures are imposed by law or have been voluntarily adopted by Dealer), for Dealer to refrain from or decrease any market activity in connection with the Transaction.</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Section 6(a)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each Settlement Date, Counterparty shall deliver to Dealer a number of Shares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equal to the Number of Shares to be Delivered for such Settlement Date to the account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specified by Dealer and cash in lieu of any fractional Share valued at the Relevant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Price on the Valuation Date corresponding to such Settlement Date. If, in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reasonable opinion of Dealer, based on advice of counsel, for any reason,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deliverable upon Net Share Settlement would not be immediately freely transferable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Dealer under Rule 144 under the Securities Act of 1933, as amended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then Dealer may elect to either (x) accept delivery of such Shares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520" w:space="640"/>
            <w:col w:w="6220"/>
          </w:cols>
          <w:pgMar w:left="240" w:top="337" w:right="279" w:bottom="1440" w:gutter="0" w:footer="0" w:header="0"/>
        </w:sectPr>
      </w:pPr>
    </w:p>
    <w:bookmarkStart w:id="289" w:name="page290"/>
    <w:bookmarkEnd w:id="2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Extraordinary Dividend:</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notwithstanding any restriction on transfer or (y) have the provisions set forth in Section 8(c) below apply.</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Number of Shares to be Delivered shall be delivered by Counterparty to Dealer no later than 12:00 noon (local time in New York City) on the relevant Settlement Date.</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such VWAP Price.</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provisions of Sections 9.1(c), 9.4, 9.8, 9.9, 9.10, 9.11 and 9.12 of the Equity Definitions will be applicable as if “Physical Settlement” applied to the Transaction;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Representation and Agreement contained in Section 9.11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Definitions shall be modified by excluding any representations therein relating to restrictions, obligations, limitations or requirements under applicable securities laws that exist as a result of the fact that Counterparty is the issuer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any regular dividend period of Counterparty, any dividend or distribution on the Shares with an ex-dividend date occurring during such regular dividend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440" w:space="720"/>
            <w:col w:w="6260"/>
          </w:cols>
          <w:pgMar w:left="240" w:top="341" w:right="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12"/>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period (other than any dividend or distribution of the type described in Section 11.2(e)</w:t>
            </w:r>
          </w:p>
        </w:tc>
      </w:tr>
      <w:tr>
        <w:trPr>
          <w:trHeight w:val="220"/>
        </w:trPr>
        <w:tc>
          <w:tcPr>
            <w:tcW w:w="12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(i) or Section 11.2(e)(ii)(A) of the Equity Definitions) (a “</w:t>
            </w:r>
            <w:r>
              <w:rPr>
                <w:rFonts w:ascii="Arial" w:cs="Arial" w:eastAsia="Arial" w:hAnsi="Arial"/>
                <w:sz w:val="18"/>
                <w:szCs w:val="18"/>
                <w:b w:val="1"/>
                <w:bCs w:val="1"/>
                <w:color w:val="auto"/>
                <w:w w:val="97"/>
              </w:rPr>
              <w:t>Dividend</w:t>
            </w:r>
            <w:r>
              <w:rPr>
                <w:rFonts w:ascii="Arial" w:cs="Arial" w:eastAsia="Arial" w:hAnsi="Arial"/>
                <w:sz w:val="18"/>
                <w:szCs w:val="18"/>
                <w:color w:val="auto"/>
                <w:w w:val="97"/>
              </w:rPr>
              <w:t>”) the amount or</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value of which (as determined by the Calculation Agent), when aggregated with the</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7"/>
              </w:rPr>
              <w:t>amount or value (as determined by the Calculation Agent) of any and all previous</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9"/>
              </w:rPr>
              <w:t>Dividends with ex-dividend dates occurring in the same regular dividend period,</w:t>
            </w:r>
          </w:p>
        </w:tc>
      </w:tr>
      <w:tr>
        <w:trPr>
          <w:trHeight w:val="230"/>
        </w:trPr>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exceeds the Ordinary Dividend Amount.</w:t>
            </w:r>
          </w:p>
        </w:tc>
      </w:tr>
      <w:tr>
        <w:trPr>
          <w:trHeight w:val="4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Ordinary Dividend Amount:</w:t>
            </w: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For the first Dividend on the Shares for which the ex-dividend date occurs during any</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regular quarterly dividend period of Counterparty, USD0.11, and for any other</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Dividend on the Shares for which the ex-dividend date occurs during the same regular</w:t>
            </w:r>
          </w:p>
        </w:tc>
      </w:tr>
      <w:tr>
        <w:trPr>
          <w:trHeight w:val="230"/>
        </w:trPr>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quarterly dividend period, USD 0.00.</w:t>
            </w: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color w:val="auto"/>
              </w:rPr>
              <w:t>Extraordinary Events:</w:t>
            </w:r>
          </w:p>
        </w:tc>
        <w:tc>
          <w:tcPr>
            <w:tcW w:w="7360" w:type="dxa"/>
            <w:vAlign w:val="bottom"/>
          </w:tcPr>
          <w:p>
            <w:pPr>
              <w:spacing w:after="0"/>
              <w:rPr>
                <w:sz w:val="24"/>
                <w:szCs w:val="24"/>
                <w:color w:val="auto"/>
              </w:rPr>
            </w:pPr>
          </w:p>
        </w:tc>
      </w:tr>
      <w:tr>
        <w:trPr>
          <w:trHeight w:val="4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New Shares:</w:t>
            </w: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In the definition of New Shares in Section 12.1(i) of the Equity Definitions, the text in</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6"/>
              </w:rPr>
              <w:t>clause (i) thereof shall be deleted in its entirety and replaced with “publicly quoted,</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9"/>
              </w:rPr>
              <w:t>traded or listed on any of The New York Stock Exchange, The NASDAQ Global</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3"/>
              </w:rPr>
              <w:t>Market or The NASDAQ Global Select Market (or their respective successors) and of</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an entity or person that is a corporation organized under the laws of the United States,</w:t>
            </w:r>
          </w:p>
        </w:tc>
      </w:tr>
      <w:tr>
        <w:trPr>
          <w:trHeight w:val="230"/>
        </w:trPr>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any State thereof or the District of Columbia”.</w:t>
            </w:r>
          </w:p>
        </w:tc>
      </w:tr>
      <w:tr>
        <w:trPr>
          <w:trHeight w:val="4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Merger Event:</w:t>
            </w:r>
          </w:p>
        </w:tc>
        <w:tc>
          <w:tcPr>
            <w:tcW w:w="7360" w:type="dxa"/>
            <w:vAlign w:val="bottom"/>
          </w:tcPr>
          <w:p>
            <w:pPr>
              <w:ind w:left="1060"/>
              <w:spacing w:after="0"/>
              <w:rPr>
                <w:sz w:val="20"/>
                <w:szCs w:val="20"/>
                <w:color w:val="auto"/>
              </w:rPr>
            </w:pPr>
            <w:r>
              <w:rPr>
                <w:rFonts w:ascii="Arial" w:cs="Arial" w:eastAsia="Arial" w:hAnsi="Arial"/>
                <w:sz w:val="18"/>
                <w:szCs w:val="18"/>
                <w:color w:val="auto"/>
                <w:w w:val="91"/>
              </w:rPr>
              <w:t xml:space="preserve">Applicable;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if an event occurs that constitutes both a Merger Event under</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Section 12.1(b) of the Equity Definitions and an Additional Termination Event under</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Section 8(k)(iv) of this Confirmation, Dealer may elect, in its sole discretion, whether</w:t>
            </w:r>
          </w:p>
        </w:tc>
      </w:tr>
      <w:tr>
        <w:trPr>
          <w:trHeight w:val="230"/>
        </w:trPr>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the provisions of Section 12.2 of the Equity Definitions or Section 8(k)(iv) will apply.</w:t>
            </w:r>
          </w:p>
        </w:tc>
      </w:tr>
      <w:tr>
        <w:trPr>
          <w:trHeight w:val="432"/>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Consequences of Merger Events:</w:t>
            </w:r>
          </w:p>
        </w:tc>
        <w:tc>
          <w:tcPr>
            <w:tcW w:w="7360" w:type="dxa"/>
            <w:vAlign w:val="bottom"/>
          </w:tcPr>
          <w:p>
            <w:pPr>
              <w:spacing w:after="0"/>
              <w:rPr>
                <w:sz w:val="24"/>
                <w:szCs w:val="24"/>
                <w:color w:val="auto"/>
              </w:rPr>
            </w:pPr>
          </w:p>
        </w:tc>
      </w:tr>
      <w:tr>
        <w:trPr>
          <w:trHeight w:val="432"/>
        </w:trPr>
        <w:tc>
          <w:tcPr>
            <w:tcW w:w="4100" w:type="dxa"/>
            <w:vAlign w:val="bottom"/>
            <w:gridSpan w:val="2"/>
          </w:tcPr>
          <w:p>
            <w:pPr>
              <w:ind w:left="980"/>
              <w:spacing w:after="0"/>
              <w:rPr>
                <w:sz w:val="20"/>
                <w:szCs w:val="20"/>
                <w:color w:val="auto"/>
              </w:rPr>
            </w:pPr>
            <w:r>
              <w:rPr>
                <w:rFonts w:ascii="Arial" w:cs="Arial" w:eastAsia="Arial" w:hAnsi="Arial"/>
                <w:sz w:val="18"/>
                <w:szCs w:val="18"/>
                <w:color w:val="auto"/>
              </w:rPr>
              <w:t>(a) Share-for-Share:</w:t>
            </w:r>
          </w:p>
        </w:tc>
        <w:tc>
          <w:tcPr>
            <w:tcW w:w="7360" w:type="dxa"/>
            <w:vAlign w:val="bottom"/>
          </w:tcPr>
          <w:p>
            <w:pPr>
              <w:ind w:left="106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1240" w:type="dxa"/>
            <w:vAlign w:val="bottom"/>
          </w:tcPr>
          <w:p>
            <w:pPr>
              <w:ind w:left="980"/>
              <w:spacing w:after="0"/>
              <w:rPr>
                <w:sz w:val="20"/>
                <w:szCs w:val="20"/>
                <w:color w:val="auto"/>
              </w:rPr>
            </w:pPr>
            <w:r>
              <w:rPr>
                <w:rFonts w:ascii="Arial" w:cs="Arial" w:eastAsia="Arial" w:hAnsi="Arial"/>
                <w:sz w:val="18"/>
                <w:szCs w:val="18"/>
                <w:color w:val="auto"/>
              </w:rPr>
              <w:t>(b)</w:t>
            </w:r>
          </w:p>
        </w:tc>
        <w:tc>
          <w:tcPr>
            <w:tcW w:w="2860" w:type="dxa"/>
            <w:vAlign w:val="bottom"/>
          </w:tcPr>
          <w:p>
            <w:pPr>
              <w:ind w:left="40"/>
              <w:spacing w:after="0"/>
              <w:rPr>
                <w:sz w:val="20"/>
                <w:szCs w:val="20"/>
                <w:color w:val="auto"/>
              </w:rPr>
            </w:pPr>
            <w:r>
              <w:rPr>
                <w:rFonts w:ascii="Arial" w:cs="Arial" w:eastAsia="Arial" w:hAnsi="Arial"/>
                <w:sz w:val="18"/>
                <w:szCs w:val="18"/>
                <w:color w:val="auto"/>
              </w:rPr>
              <w:t>Share-for-Other:</w:t>
            </w: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 xml:space="preserve">Cancellation and Payment (Calculation Agent Determination);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Dealer</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8"/>
              </w:rPr>
              <w:t>may elect, in its sole discretion, that Modified Calculation Agent Adjustment shall</w:t>
            </w:r>
          </w:p>
        </w:tc>
      </w:tr>
      <w:tr>
        <w:trPr>
          <w:trHeight w:val="230"/>
        </w:trPr>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apply for all or part of the Transaction.</w:t>
            </w:r>
          </w:p>
        </w:tc>
      </w:tr>
      <w:tr>
        <w:trPr>
          <w:trHeight w:val="418"/>
        </w:trPr>
        <w:tc>
          <w:tcPr>
            <w:tcW w:w="1240" w:type="dxa"/>
            <w:vAlign w:val="bottom"/>
          </w:tcPr>
          <w:p>
            <w:pPr>
              <w:ind w:left="980"/>
              <w:spacing w:after="0"/>
              <w:rPr>
                <w:sz w:val="20"/>
                <w:szCs w:val="20"/>
                <w:color w:val="auto"/>
              </w:rPr>
            </w:pPr>
            <w:r>
              <w:rPr>
                <w:rFonts w:ascii="Arial" w:cs="Arial" w:eastAsia="Arial" w:hAnsi="Arial"/>
                <w:sz w:val="18"/>
                <w:szCs w:val="18"/>
                <w:color w:val="auto"/>
              </w:rPr>
              <w:t>(c)</w:t>
            </w:r>
          </w:p>
        </w:tc>
        <w:tc>
          <w:tcPr>
            <w:tcW w:w="2860" w:type="dxa"/>
            <w:vAlign w:val="bottom"/>
          </w:tcPr>
          <w:p>
            <w:pPr>
              <w:ind w:left="40"/>
              <w:spacing w:after="0"/>
              <w:rPr>
                <w:sz w:val="20"/>
                <w:szCs w:val="20"/>
                <w:color w:val="auto"/>
              </w:rPr>
            </w:pPr>
            <w:r>
              <w:rPr>
                <w:rFonts w:ascii="Arial" w:cs="Arial" w:eastAsia="Arial" w:hAnsi="Arial"/>
                <w:sz w:val="18"/>
                <w:szCs w:val="18"/>
                <w:color w:val="auto"/>
              </w:rPr>
              <w:t>Share-for-Combined:</w:t>
            </w:r>
          </w:p>
        </w:tc>
        <w:tc>
          <w:tcPr>
            <w:tcW w:w="7360" w:type="dxa"/>
            <w:vAlign w:val="bottom"/>
          </w:tcPr>
          <w:p>
            <w:pPr>
              <w:ind w:left="1060"/>
              <w:spacing w:after="0"/>
              <w:rPr>
                <w:sz w:val="20"/>
                <w:szCs w:val="20"/>
                <w:color w:val="auto"/>
              </w:rPr>
            </w:pPr>
            <w:r>
              <w:rPr>
                <w:rFonts w:ascii="Arial" w:cs="Arial" w:eastAsia="Arial" w:hAnsi="Arial"/>
                <w:sz w:val="18"/>
                <w:szCs w:val="18"/>
                <w:color w:val="auto"/>
                <w:w w:val="95"/>
              </w:rPr>
              <w:t xml:space="preserve">Cancellation and Payment (Calculation Agent Determination);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Dealer</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may elect, in its sole discretion, that Modified Calculation Agent Adjustment or</w:t>
            </w:r>
          </w:p>
        </w:tc>
      </w:tr>
      <w:tr>
        <w:trPr>
          <w:trHeight w:val="230"/>
        </w:trPr>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Component Adjustment shall apply for all or part of the Transaction.</w:t>
            </w:r>
          </w:p>
        </w:tc>
      </w:tr>
      <w:tr>
        <w:trPr>
          <w:trHeight w:val="4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Tender Offer:</w:t>
            </w:r>
          </w:p>
        </w:tc>
        <w:tc>
          <w:tcPr>
            <w:tcW w:w="7360" w:type="dxa"/>
            <w:vAlign w:val="bottom"/>
          </w:tcPr>
          <w:p>
            <w:pPr>
              <w:ind w:left="1060"/>
              <w:spacing w:after="0"/>
              <w:rPr>
                <w:sz w:val="20"/>
                <w:szCs w:val="20"/>
                <w:color w:val="auto"/>
              </w:rPr>
            </w:pPr>
            <w:r>
              <w:rPr>
                <w:rFonts w:ascii="Arial" w:cs="Arial" w:eastAsia="Arial" w:hAnsi="Arial"/>
                <w:sz w:val="18"/>
                <w:szCs w:val="18"/>
                <w:color w:val="auto"/>
                <w:w w:val="92"/>
              </w:rPr>
              <w:t xml:space="preserve">Applicable;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an event occurs that constitutes both a Tender Offer under</w:t>
            </w:r>
          </w:p>
        </w:tc>
      </w:tr>
      <w:tr>
        <w:trPr>
          <w:trHeight w:val="216"/>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w w:val="94"/>
              </w:rPr>
              <w:t>Section 12.1(d) of the Equity Definitions and an Additional Termination Event under</w:t>
            </w:r>
          </w:p>
        </w:tc>
      </w:tr>
      <w:tr>
        <w:trPr>
          <w:trHeight w:val="230"/>
        </w:trPr>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Section 8(k)(iii) of this Confirmation, Dealer may elect, in its sole discretion,</w:t>
            </w:r>
          </w:p>
        </w:tc>
      </w:tr>
      <w:tr>
        <w:trPr>
          <w:trHeight w:val="432"/>
        </w:trPr>
        <w:tc>
          <w:tcPr>
            <w:tcW w:w="1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360" w:type="dxa"/>
            <w:vAlign w:val="bottom"/>
          </w:tcPr>
          <w:p>
            <w:pPr>
              <w:ind w:left="1560"/>
              <w:spacing w:after="0"/>
              <w:rPr>
                <w:sz w:val="20"/>
                <w:szCs w:val="20"/>
                <w:color w:val="auto"/>
              </w:rPr>
            </w:pPr>
            <w:r>
              <w:rPr>
                <w:rFonts w:ascii="Arial" w:cs="Arial" w:eastAsia="Arial" w:hAnsi="Arial"/>
                <w:sz w:val="18"/>
                <w:szCs w:val="18"/>
                <w:color w:val="auto"/>
              </w:rPr>
              <w:t>6</w:t>
            </w:r>
          </w:p>
        </w:tc>
      </w:tr>
      <w:tr>
        <w:trPr>
          <w:trHeight w:val="132"/>
        </w:trPr>
        <w:tc>
          <w:tcPr>
            <w:tcW w:w="124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7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whether the provisions of Section 12.3 of the Equity Definitions or Section 8(k)</w:t>
            </w:r>
          </w:p>
        </w:tc>
      </w:tr>
      <w:tr>
        <w:trPr>
          <w:trHeight w:val="230"/>
        </w:trPr>
        <w:tc>
          <w:tcPr>
            <w:tcW w:w="438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(iii) will apply.</w:t>
            </w:r>
          </w:p>
        </w:tc>
      </w:tr>
      <w:tr>
        <w:trPr>
          <w:trHeight w:val="432"/>
        </w:trPr>
        <w:tc>
          <w:tcPr>
            <w:tcW w:w="4380" w:type="dxa"/>
            <w:vAlign w:val="bottom"/>
          </w:tcPr>
          <w:p>
            <w:pPr>
              <w:ind w:left="660"/>
              <w:spacing w:after="0"/>
              <w:rPr>
                <w:sz w:val="20"/>
                <w:szCs w:val="20"/>
                <w:color w:val="auto"/>
              </w:rPr>
            </w:pPr>
            <w:r>
              <w:rPr>
                <w:rFonts w:ascii="Arial" w:cs="Arial" w:eastAsia="Arial" w:hAnsi="Arial"/>
                <w:sz w:val="18"/>
                <w:szCs w:val="18"/>
                <w:color w:val="auto"/>
              </w:rPr>
              <w:t>Consequences of Tender Offers:</w:t>
            </w:r>
          </w:p>
        </w:tc>
        <w:tc>
          <w:tcPr>
            <w:tcW w:w="7080" w:type="dxa"/>
            <w:vAlign w:val="bottom"/>
          </w:tcPr>
          <w:p>
            <w:pPr>
              <w:spacing w:after="0"/>
              <w:rPr>
                <w:sz w:val="24"/>
                <w:szCs w:val="24"/>
                <w:color w:val="auto"/>
              </w:rPr>
            </w:pPr>
          </w:p>
        </w:tc>
      </w:tr>
      <w:tr>
        <w:trPr>
          <w:trHeight w:val="432"/>
        </w:trPr>
        <w:tc>
          <w:tcPr>
            <w:tcW w:w="4380" w:type="dxa"/>
            <w:vAlign w:val="bottom"/>
          </w:tcPr>
          <w:p>
            <w:pPr>
              <w:ind w:left="980"/>
              <w:spacing w:after="0"/>
              <w:rPr>
                <w:sz w:val="20"/>
                <w:szCs w:val="20"/>
                <w:color w:val="auto"/>
              </w:rPr>
            </w:pPr>
            <w:r>
              <w:rPr>
                <w:rFonts w:ascii="Arial" w:cs="Arial" w:eastAsia="Arial" w:hAnsi="Arial"/>
                <w:sz w:val="18"/>
                <w:szCs w:val="18"/>
                <w:color w:val="auto"/>
              </w:rPr>
              <w:t>(a) Share-for-Share:</w:t>
            </w:r>
          </w:p>
        </w:tc>
        <w:tc>
          <w:tcPr>
            <w:tcW w:w="7080" w:type="dxa"/>
            <w:vAlign w:val="bottom"/>
          </w:tcPr>
          <w:p>
            <w:pPr>
              <w:ind w:left="78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4380" w:type="dxa"/>
            <w:vAlign w:val="bottom"/>
          </w:tcPr>
          <w:p>
            <w:pPr>
              <w:ind w:left="980"/>
              <w:spacing w:after="0"/>
              <w:rPr>
                <w:sz w:val="20"/>
                <w:szCs w:val="20"/>
                <w:color w:val="auto"/>
              </w:rPr>
            </w:pPr>
            <w:r>
              <w:rPr>
                <w:rFonts w:ascii="Arial" w:cs="Arial" w:eastAsia="Arial" w:hAnsi="Arial"/>
                <w:sz w:val="18"/>
                <w:szCs w:val="18"/>
                <w:color w:val="auto"/>
              </w:rPr>
              <w:t>(b) Share-for-Other:</w:t>
            </w:r>
          </w:p>
        </w:tc>
        <w:tc>
          <w:tcPr>
            <w:tcW w:w="7080" w:type="dxa"/>
            <w:vAlign w:val="bottom"/>
          </w:tcPr>
          <w:p>
            <w:pPr>
              <w:ind w:left="78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4380" w:type="dxa"/>
            <w:vAlign w:val="bottom"/>
          </w:tcPr>
          <w:p>
            <w:pPr>
              <w:ind w:left="980"/>
              <w:spacing w:after="0"/>
              <w:rPr>
                <w:sz w:val="20"/>
                <w:szCs w:val="20"/>
                <w:color w:val="auto"/>
              </w:rPr>
            </w:pPr>
            <w:r>
              <w:rPr>
                <w:rFonts w:ascii="Arial" w:cs="Arial" w:eastAsia="Arial" w:hAnsi="Arial"/>
                <w:sz w:val="18"/>
                <w:szCs w:val="18"/>
                <w:color w:val="auto"/>
              </w:rPr>
              <w:t>(c) Share-for-Combined:</w:t>
            </w:r>
          </w:p>
        </w:tc>
        <w:tc>
          <w:tcPr>
            <w:tcW w:w="7080" w:type="dxa"/>
            <w:vAlign w:val="bottom"/>
          </w:tcPr>
          <w:p>
            <w:pPr>
              <w:ind w:left="78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4380" w:type="dxa"/>
            <w:vAlign w:val="bottom"/>
          </w:tcPr>
          <w:p>
            <w:pPr>
              <w:ind w:left="660"/>
              <w:spacing w:after="0"/>
              <w:rPr>
                <w:sz w:val="20"/>
                <w:szCs w:val="20"/>
                <w:color w:val="auto"/>
              </w:rPr>
            </w:pPr>
            <w:r>
              <w:rPr>
                <w:rFonts w:ascii="Arial" w:cs="Arial" w:eastAsia="Arial" w:hAnsi="Arial"/>
                <w:sz w:val="18"/>
                <w:szCs w:val="18"/>
                <w:color w:val="auto"/>
              </w:rPr>
              <w:t>Consequences of Announcement Events:</w:t>
            </w: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Modified Calculation Agent Adjustment as set forth in Section 12.3(d) of the Equity</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 xml:space="preserve">Definitions;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in respect of an Announcement Event, (x) references to</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“Tender Offer” shall be replaced by references to “Announcement Event” and</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references to “Tender Offer Date” shall be replaced by references to “date of such</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Announcement Event”, (y) the word “shall” in the second line shall be replaced with</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9"/>
              </w:rPr>
              <w:t>“may”, and (z) for the avoidance of doubt, the Calculation Agent may determine</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whether the relevant Announcement Event has had an economic effect on any</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Component (and, if so, adjust the terms of such Component accordingly) on one or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2"/>
              </w:rPr>
              <w:t>more occasions on or after the date of the Announcement Event up to, and including,</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2"/>
              </w:rPr>
              <w:t>the Expiration Date, any Early Termination Date and/or any other date of cancellation</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thereof, it being understood that any adjustment in respect of an Announcement Event</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shall take into account any earlier adjustment relating to the same Announcement</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2"/>
              </w:rPr>
              <w:t>Event. An Announcement Event shall be an “Extraordinary Event” for purposes of the</w:t>
            </w:r>
          </w:p>
        </w:tc>
      </w:tr>
      <w:tr>
        <w:trPr>
          <w:trHeight w:val="230"/>
        </w:trPr>
        <w:tc>
          <w:tcPr>
            <w:tcW w:w="438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Equity Definitions, to which Article 12 of the Equity Definitions is applicable.</w:t>
            </w:r>
          </w:p>
        </w:tc>
      </w:tr>
      <w:tr>
        <w:trPr>
          <w:trHeight w:val="418"/>
        </w:trPr>
        <w:tc>
          <w:tcPr>
            <w:tcW w:w="4380" w:type="dxa"/>
            <w:vAlign w:val="bottom"/>
          </w:tcPr>
          <w:p>
            <w:pPr>
              <w:ind w:left="660"/>
              <w:spacing w:after="0"/>
              <w:rPr>
                <w:sz w:val="20"/>
                <w:szCs w:val="20"/>
                <w:color w:val="auto"/>
              </w:rPr>
            </w:pPr>
            <w:r>
              <w:rPr>
                <w:rFonts w:ascii="Arial" w:cs="Arial" w:eastAsia="Arial" w:hAnsi="Arial"/>
                <w:sz w:val="18"/>
                <w:szCs w:val="18"/>
                <w:color w:val="auto"/>
              </w:rPr>
              <w:t>Announcement Event:</w:t>
            </w:r>
          </w:p>
        </w:tc>
        <w:tc>
          <w:tcPr>
            <w:tcW w:w="7080" w:type="dxa"/>
            <w:vAlign w:val="bottom"/>
          </w:tcPr>
          <w:p>
            <w:pPr>
              <w:ind w:left="780"/>
              <w:spacing w:after="0"/>
              <w:rPr>
                <w:sz w:val="20"/>
                <w:szCs w:val="20"/>
                <w:color w:val="auto"/>
              </w:rPr>
            </w:pPr>
            <w:r>
              <w:rPr>
                <w:rFonts w:ascii="Arial" w:cs="Arial" w:eastAsia="Arial" w:hAnsi="Arial"/>
                <w:sz w:val="18"/>
                <w:szCs w:val="18"/>
                <w:color w:val="auto"/>
                <w:w w:val="99"/>
              </w:rPr>
              <w:t>(i) The public announcement by any entity of (x) any transaction or event that, if</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completed, would constitute a Merger Event or Tender Offer, (y) any potential</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acquisition or disposition by Issuer and/or its subsidiaries where the aggregate</w:t>
            </w:r>
          </w:p>
        </w:tc>
      </w:tr>
      <w:tr>
        <w:trPr>
          <w:trHeight w:val="212"/>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consideration paid and/or delivered exceeds 15% of the market capitalization of Issuer</w:t>
            </w:r>
          </w:p>
        </w:tc>
      </w:tr>
      <w:tr>
        <w:trPr>
          <w:trHeight w:val="220"/>
        </w:trPr>
        <w:tc>
          <w:tcPr>
            <w:tcW w:w="4380" w:type="dxa"/>
            <w:vAlign w:val="bottom"/>
          </w:tcPr>
          <w:p>
            <w:pPr>
              <w:spacing w:after="0"/>
              <w:rPr>
                <w:sz w:val="19"/>
                <w:szCs w:val="19"/>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4"/>
              </w:rPr>
              <w:t>as of the date of such announcement (an “</w:t>
            </w:r>
            <w:r>
              <w:rPr>
                <w:rFonts w:ascii="Arial" w:cs="Arial" w:eastAsia="Arial" w:hAnsi="Arial"/>
                <w:sz w:val="18"/>
                <w:szCs w:val="18"/>
                <w:b w:val="1"/>
                <w:bCs w:val="1"/>
                <w:color w:val="auto"/>
                <w:w w:val="94"/>
              </w:rPr>
              <w:t>Transformative Transaction</w:t>
            </w:r>
            <w:r>
              <w:rPr>
                <w:rFonts w:ascii="Arial" w:cs="Arial" w:eastAsia="Arial" w:hAnsi="Arial"/>
                <w:sz w:val="18"/>
                <w:szCs w:val="18"/>
                <w:color w:val="auto"/>
                <w:w w:val="94"/>
              </w:rPr>
              <w:t>”) or (z) the</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intention to enter into a Merger Event or Tender Offer or an Transformative</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4"/>
              </w:rPr>
              <w:t>Transaction, (ii) the public announcement by Issuer of an intention to solicit or enter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into, or to explore strategic alternatives or other similar undertaking that may include,</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a Merger Event or Tender Offer or an Transformative Transaction or (iii) any</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subsequent public announcement by any entity of a change to a transaction or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intention that is the subject of an announcement of the type described in clause (i) or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(ii) of this sentence (including, without limitation, a new announcement, whether or</w:t>
            </w:r>
          </w:p>
        </w:tc>
      </w:tr>
      <w:tr>
        <w:trPr>
          <w:trHeight w:val="216"/>
        </w:trPr>
        <w:tc>
          <w:tcPr>
            <w:tcW w:w="438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2"/>
              </w:rPr>
              <w:t>not by the same party, relating to such a transaction or intention or the announcement</w:t>
            </w:r>
          </w:p>
        </w:tc>
      </w:tr>
      <w:tr>
        <w:trPr>
          <w:trHeight w:val="230"/>
        </w:trPr>
        <w:tc>
          <w:tcPr>
            <w:tcW w:w="438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of a withdrawal from, or the abandonment or discontinuation of, such a</w:t>
            </w:r>
          </w:p>
        </w:tc>
      </w:tr>
      <w:tr>
        <w:trPr>
          <w:trHeight w:val="432"/>
        </w:trPr>
        <w:tc>
          <w:tcPr>
            <w:tcW w:w="438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7</w:t>
            </w:r>
          </w:p>
        </w:tc>
      </w:tr>
      <w:tr>
        <w:trPr>
          <w:trHeight w:val="132"/>
        </w:trPr>
        <w:tc>
          <w:tcPr>
            <w:tcW w:w="438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transaction or intention), as determined by the Calculation Agent. For the avoidance of</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4"/>
              </w:rPr>
              <w:t>doubt, the occurrence of an Announcement Event with respect to any transaction or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intention shall not preclude the occurrence of a later Announcement Event with</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respect to such transaction or intention. For purposes of this definition of</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“Announcement Event,” the remainder of the definition of “Merger Event” in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4"/>
              </w:rPr>
              <w:t>Section 12.1(b) of the Equity Definitions following the definition of “Reverse Merger”</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therein shall be disregarded.</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Modified Calculation Agent Adjustment:</w:t>
            </w: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If, in respect of a Merger Event, the Counterparty under the Transaction following</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3"/>
              </w:rPr>
              <w:t>such Merger Event will not be the issuer of the New Shares, the Dealer may elect (in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its sole discretion) for Cancellation and Payment (Calculation Agent Determination) to</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apply. In addition, if, in respect of any Merger Event to which Modified Calculation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Agent Adjustment applies, the adjustments to be made in accordance with</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Section 12.2(e)(i) of the Equity Definitions would result in Counterparty being</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4"/>
              </w:rPr>
              <w:t>different from the issuer of the Shares, then with respect to such Merger Event, as a</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8"/>
              </w:rPr>
              <w:t>condition precedent to the adjustments contemplated in Section 12.2(e)(i) of the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Equity Definitions, Counterparty and the issuer of the Shares shall, prior to the Merger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0"/>
              </w:rPr>
              <w:t>Date, have entered into such documentation containing representations, warranties and</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agreements relating to securities law and other issues as requested by Dealer that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5"/>
              </w:rPr>
              <w:t>Dealer has determined, in its reasonable discretion, to be reasonably necessary or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0"/>
              </w:rPr>
              <w:t>appropriate to allow Dealer to continue as a party to the Transaction, as adjusted under</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8"/>
              </w:rPr>
              <w:t>Section 12.2(e)(i) of the Equity Definitions, and to preserve its hedging or hedge</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unwind activities in connection with the Transaction in a manner compliant with</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applicable legal, regulatory or self-regulatory requirements, or with related policies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and procedures applicable to Dealer (whether or not such requirements or related</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8"/>
              </w:rPr>
              <w:t>policies and procedures are imposed by law or have been voluntarily adopted by</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Dealer), and if such conditions are not met or if the Calculation Agent determines that</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7"/>
              </w:rPr>
              <w:t>no adjustment that it could make under Section 12.2(e)(i) of the Equity Definitions</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6"/>
              </w:rPr>
              <w:t>will produce a commercially reasonable result, then the consequences set forth in</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Section 12.2(e)(ii) of the Equity Definitions shall apply.</w:t>
            </w:r>
          </w:p>
        </w:tc>
      </w:tr>
      <w:tr>
        <w:trPr>
          <w:trHeight w:val="418"/>
        </w:trPr>
        <w:tc>
          <w:tcPr>
            <w:tcW w:w="4420" w:type="dxa"/>
            <w:vAlign w:val="bottom"/>
          </w:tcPr>
          <w:p>
            <w:pPr>
              <w:ind w:left="660"/>
              <w:spacing w:after="0"/>
              <w:rPr>
                <w:sz w:val="20"/>
                <w:szCs w:val="20"/>
                <w:color w:val="auto"/>
              </w:rPr>
            </w:pPr>
            <w:r>
              <w:rPr>
                <w:rFonts w:ascii="Arial" w:cs="Arial" w:eastAsia="Arial" w:hAnsi="Arial"/>
                <w:sz w:val="18"/>
                <w:szCs w:val="18"/>
                <w:color w:val="auto"/>
              </w:rPr>
              <w:t>Composition of Combined Consideration:</w:t>
            </w:r>
          </w:p>
        </w:tc>
        <w:tc>
          <w:tcPr>
            <w:tcW w:w="7040" w:type="dxa"/>
            <w:vAlign w:val="bottom"/>
          </w:tcPr>
          <w:p>
            <w:pPr>
              <w:ind w:left="740"/>
              <w:spacing w:after="0"/>
              <w:rPr>
                <w:sz w:val="20"/>
                <w:szCs w:val="20"/>
                <w:color w:val="auto"/>
              </w:rPr>
            </w:pPr>
            <w:r>
              <w:rPr>
                <w:rFonts w:ascii="Arial" w:cs="Arial" w:eastAsia="Arial" w:hAnsi="Arial"/>
                <w:sz w:val="18"/>
                <w:szCs w:val="18"/>
                <w:color w:val="auto"/>
                <w:w w:val="94"/>
              </w:rPr>
              <w:t>Notwithstanding anything to the contrary in the Equity Definitions, if the composition</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1"/>
              </w:rPr>
              <w:t>of Combined Consideration in respect of any Share-for-Combined Merger Event could</w:t>
            </w:r>
          </w:p>
        </w:tc>
      </w:tr>
      <w:tr>
        <w:trPr>
          <w:trHeight w:val="216"/>
        </w:trPr>
        <w:tc>
          <w:tcPr>
            <w:tcW w:w="4420" w:type="dxa"/>
            <w:vAlign w:val="bottom"/>
          </w:tcPr>
          <w:p>
            <w:pPr>
              <w:spacing w:after="0"/>
              <w:rPr>
                <w:sz w:val="18"/>
                <w:szCs w:val="18"/>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w w:val="92"/>
              </w:rPr>
              <w:t>be determined by a holder of Shares, Dealer shall determine the composition of such</w:t>
            </w:r>
          </w:p>
        </w:tc>
      </w:tr>
      <w:tr>
        <w:trPr>
          <w:trHeight w:val="230"/>
        </w:trPr>
        <w:tc>
          <w:tcPr>
            <w:tcW w:w="4420" w:type="dxa"/>
            <w:vAlign w:val="bottom"/>
          </w:tcPr>
          <w:p>
            <w:pPr>
              <w:spacing w:after="0"/>
              <w:rPr>
                <w:sz w:val="20"/>
                <w:szCs w:val="20"/>
                <w:color w:val="auto"/>
              </w:rPr>
            </w:pPr>
          </w:p>
        </w:tc>
        <w:tc>
          <w:tcPr>
            <w:tcW w:w="7040" w:type="dxa"/>
            <w:vAlign w:val="bottom"/>
          </w:tcPr>
          <w:p>
            <w:pPr>
              <w:ind w:left="740"/>
              <w:spacing w:after="0"/>
              <w:rPr>
                <w:sz w:val="20"/>
                <w:szCs w:val="20"/>
                <w:color w:val="auto"/>
              </w:rPr>
            </w:pPr>
            <w:r>
              <w:rPr>
                <w:rFonts w:ascii="Arial" w:cs="Arial" w:eastAsia="Arial" w:hAnsi="Arial"/>
                <w:sz w:val="18"/>
                <w:szCs w:val="18"/>
                <w:color w:val="auto"/>
              </w:rPr>
              <w:t>Combined Consideration assumed for purposes</w:t>
            </w:r>
          </w:p>
        </w:tc>
      </w:tr>
      <w:tr>
        <w:trPr>
          <w:trHeight w:val="432"/>
        </w:trPr>
        <w:tc>
          <w:tcPr>
            <w:tcW w:w="4420" w:type="dxa"/>
            <w:vAlign w:val="bottom"/>
          </w:tcPr>
          <w:p>
            <w:pPr>
              <w:spacing w:after="0"/>
              <w:rPr>
                <w:sz w:val="24"/>
                <w:szCs w:val="24"/>
                <w:color w:val="auto"/>
              </w:rPr>
            </w:pPr>
          </w:p>
        </w:tc>
        <w:tc>
          <w:tcPr>
            <w:tcW w:w="7040" w:type="dxa"/>
            <w:vAlign w:val="bottom"/>
          </w:tcPr>
          <w:p>
            <w:pPr>
              <w:ind w:left="1240"/>
              <w:spacing w:after="0"/>
              <w:rPr>
                <w:sz w:val="20"/>
                <w:szCs w:val="20"/>
                <w:color w:val="auto"/>
              </w:rPr>
            </w:pPr>
            <w:r>
              <w:rPr>
                <w:rFonts w:ascii="Arial" w:cs="Arial" w:eastAsia="Arial" w:hAnsi="Arial"/>
                <w:sz w:val="18"/>
                <w:szCs w:val="18"/>
                <w:color w:val="auto"/>
              </w:rPr>
              <w:t>8</w:t>
            </w:r>
          </w:p>
        </w:tc>
      </w:tr>
      <w:tr>
        <w:trPr>
          <w:trHeight w:val="132"/>
        </w:trPr>
        <w:tc>
          <w:tcPr>
            <w:tcW w:w="442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of adjustments and deliveries hereunder in its sole discretion.</w:t>
            </w:r>
          </w:p>
        </w:tc>
      </w:tr>
      <w:tr>
        <w:trPr>
          <w:trHeight w:val="418"/>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Nationalization, Insolvency or Delisting:</w:t>
            </w:r>
          </w:p>
        </w:tc>
        <w:tc>
          <w:tcPr>
            <w:tcW w:w="7080" w:type="dxa"/>
            <w:vAlign w:val="bottom"/>
          </w:tcPr>
          <w:p>
            <w:pPr>
              <w:ind w:left="78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addition to the provisions of Section 12.6(a)(iii) of the Equity Definitions, it will also</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constitute a Delisting if the Shares are not immediately re-listed, re-traded or re-quoted</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on any of the New York Stock Exchange, The NASDAQ Global Select Market or The</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NASDAQ Global Market (or their respective successors); if the Shares are</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8"/>
              </w:rPr>
              <w:t>immediately re-listed, re-traded or re-quoted on any such exchange or quotation</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7"/>
              </w:rPr>
              <w:t>system, such exchange or quotation system shall thereafter be deemed to be the</w:t>
            </w:r>
          </w:p>
        </w:tc>
      </w:tr>
      <w:tr>
        <w:trPr>
          <w:trHeight w:val="230"/>
        </w:trPr>
        <w:tc>
          <w:tcPr>
            <w:tcW w:w="1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Exchange.</w:t>
            </w:r>
          </w:p>
        </w:tc>
      </w:tr>
      <w:tr>
        <w:trPr>
          <w:trHeight w:val="418"/>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Additional Termination Event(s):</w:t>
            </w: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Notwithstanding anything to the contrary in the Equity Definitions, if, as a result of an</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Extraordinary Event, the Transaction would be cancelled or terminated (whether in</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whole or in part) pursuant to Article 12 of the Equity Definitions, an Additional</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Termination Event (with the Transaction (or the cancelled or terminated portion</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7"/>
              </w:rPr>
              <w:t>thereof) being the Affected Transaction and Counterparty being the sole Affected</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Party) shall be deemed to occur, and, in lieu of Sections 12.7, 12.8 and 12.9 of the</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Equity Definitions, Section 6 of the Agreement shall apply to such Affected</w:t>
            </w:r>
          </w:p>
        </w:tc>
      </w:tr>
      <w:tr>
        <w:trPr>
          <w:trHeight w:val="230"/>
        </w:trPr>
        <w:tc>
          <w:tcPr>
            <w:tcW w:w="1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Transaction.</w:t>
            </w:r>
          </w:p>
        </w:tc>
      </w:tr>
      <w:tr>
        <w:trPr>
          <w:trHeight w:val="432"/>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Additional Disruption Events:</w:t>
            </w:r>
          </w:p>
        </w:tc>
        <w:tc>
          <w:tcPr>
            <w:tcW w:w="7080" w:type="dxa"/>
            <w:vAlign w:val="bottom"/>
          </w:tcPr>
          <w:p>
            <w:pPr>
              <w:spacing w:after="0"/>
              <w:rPr>
                <w:sz w:val="24"/>
                <w:szCs w:val="24"/>
                <w:color w:val="auto"/>
              </w:rPr>
            </w:pPr>
          </w:p>
        </w:tc>
      </w:tr>
      <w:tr>
        <w:trPr>
          <w:trHeight w:val="418"/>
        </w:trPr>
        <w:tc>
          <w:tcPr>
            <w:tcW w:w="1240" w:type="dxa"/>
            <w:vAlign w:val="bottom"/>
          </w:tcPr>
          <w:p>
            <w:pPr>
              <w:ind w:left="980"/>
              <w:spacing w:after="0"/>
              <w:rPr>
                <w:sz w:val="20"/>
                <w:szCs w:val="20"/>
                <w:color w:val="auto"/>
              </w:rPr>
            </w:pPr>
            <w:r>
              <w:rPr>
                <w:rFonts w:ascii="Arial" w:cs="Arial" w:eastAsia="Arial" w:hAnsi="Arial"/>
                <w:sz w:val="18"/>
                <w:szCs w:val="18"/>
                <w:color w:val="auto"/>
              </w:rPr>
              <w:t>(a)</w:t>
            </w:r>
          </w:p>
        </w:tc>
        <w:tc>
          <w:tcPr>
            <w:tcW w:w="3140" w:type="dxa"/>
            <w:vAlign w:val="bottom"/>
          </w:tcPr>
          <w:p>
            <w:pPr>
              <w:ind w:left="60"/>
              <w:spacing w:after="0"/>
              <w:rPr>
                <w:sz w:val="20"/>
                <w:szCs w:val="20"/>
                <w:color w:val="auto"/>
              </w:rPr>
            </w:pPr>
            <w:r>
              <w:rPr>
                <w:rFonts w:ascii="Arial" w:cs="Arial" w:eastAsia="Arial" w:hAnsi="Arial"/>
                <w:sz w:val="18"/>
                <w:szCs w:val="18"/>
                <w:color w:val="auto"/>
              </w:rPr>
              <w:t>Change in Law:</w:t>
            </w:r>
          </w:p>
        </w:tc>
        <w:tc>
          <w:tcPr>
            <w:tcW w:w="7080" w:type="dxa"/>
            <w:vAlign w:val="bottom"/>
          </w:tcPr>
          <w:p>
            <w:pPr>
              <w:ind w:left="780"/>
              <w:spacing w:after="0"/>
              <w:rPr>
                <w:sz w:val="20"/>
                <w:szCs w:val="20"/>
                <w:color w:val="auto"/>
              </w:rPr>
            </w:pPr>
            <w:r>
              <w:rPr>
                <w:rFonts w:ascii="Arial" w:cs="Arial" w:eastAsia="Arial" w:hAnsi="Arial"/>
                <w:sz w:val="18"/>
                <w:szCs w:val="18"/>
                <w:color w:val="auto"/>
              </w:rPr>
              <w:t>Applicable; provided that Section 12.9(a)(ii) of the Equity Definitions is hereby</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amended by (i) replacing the phrase “the interpretation” in the third line thereof with</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the phrase “, or public announcement of, the formal or informal interpretation”, (ii) by</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adding the phrase “and/or Hedge Position” after the word “Shares” in clause</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(X) thereof and (iii) by immediately following the word “Transaction” in clause</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(X) thereof, adding the phrase “in the manner contemplated by the Hedging Party on</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the Trade Date”; and provided further that Section 12.9(a)(ii) of the Equity Definitions</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is hereby amended by (i) replacing the parenthetical beginning after the word</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5"/>
              </w:rPr>
              <w:t>“regulation” in the second line thereof with the phrase “(including, for the avoidance</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8"/>
              </w:rPr>
              <w:t>of doubt and without limitation, (x) any tax law or (y) adoption or promulgation of</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new regulations authorized or mandated by existing statute)” and (ii) adding the words</w:t>
            </w:r>
          </w:p>
        </w:tc>
      </w:tr>
      <w:tr>
        <w:trPr>
          <w:trHeight w:val="216"/>
        </w:trPr>
        <w:tc>
          <w:tcPr>
            <w:tcW w:w="1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6"/>
              </w:rPr>
              <w:t>“, or holding, acquiring or disposing of Shares or any Hedge Positions relating to,”</w:t>
            </w:r>
          </w:p>
        </w:tc>
      </w:tr>
      <w:tr>
        <w:trPr>
          <w:trHeight w:val="230"/>
        </w:trPr>
        <w:tc>
          <w:tcPr>
            <w:tcW w:w="1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after the words “obligations under” in clause (Y) thereof.</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(b)</w:t>
            </w:r>
          </w:p>
        </w:tc>
        <w:tc>
          <w:tcPr>
            <w:tcW w:w="3140" w:type="dxa"/>
            <w:vAlign w:val="bottom"/>
          </w:tcPr>
          <w:p>
            <w:pPr>
              <w:ind w:left="80"/>
              <w:spacing w:after="0"/>
              <w:rPr>
                <w:sz w:val="20"/>
                <w:szCs w:val="20"/>
                <w:color w:val="auto"/>
              </w:rPr>
            </w:pPr>
            <w:r>
              <w:rPr>
                <w:rFonts w:ascii="Arial" w:cs="Arial" w:eastAsia="Arial" w:hAnsi="Arial"/>
                <w:sz w:val="18"/>
                <w:szCs w:val="18"/>
                <w:color w:val="auto"/>
              </w:rPr>
              <w:t>Failure to Deliver:</w:t>
            </w:r>
          </w:p>
        </w:tc>
        <w:tc>
          <w:tcPr>
            <w:tcW w:w="7080" w:type="dxa"/>
            <w:vAlign w:val="bottom"/>
          </w:tcPr>
          <w:p>
            <w:pPr>
              <w:ind w:left="780"/>
              <w:spacing w:after="0"/>
              <w:rPr>
                <w:sz w:val="20"/>
                <w:szCs w:val="20"/>
                <w:color w:val="auto"/>
              </w:rPr>
            </w:pPr>
            <w:r>
              <w:rPr>
                <w:rFonts w:ascii="Arial" w:cs="Arial" w:eastAsia="Arial" w:hAnsi="Arial"/>
                <w:sz w:val="18"/>
                <w:szCs w:val="18"/>
                <w:color w:val="auto"/>
              </w:rPr>
              <w:t>Not Applicable</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(c)</w:t>
            </w:r>
          </w:p>
        </w:tc>
        <w:tc>
          <w:tcPr>
            <w:tcW w:w="3140" w:type="dxa"/>
            <w:vAlign w:val="bottom"/>
          </w:tcPr>
          <w:p>
            <w:pPr>
              <w:ind w:left="80"/>
              <w:spacing w:after="0"/>
              <w:rPr>
                <w:sz w:val="20"/>
                <w:szCs w:val="20"/>
                <w:color w:val="auto"/>
              </w:rPr>
            </w:pPr>
            <w:r>
              <w:rPr>
                <w:rFonts w:ascii="Arial" w:cs="Arial" w:eastAsia="Arial" w:hAnsi="Arial"/>
                <w:sz w:val="18"/>
                <w:szCs w:val="18"/>
                <w:color w:val="auto"/>
              </w:rPr>
              <w:t>Insolvency Filing:</w:t>
            </w:r>
          </w:p>
        </w:tc>
        <w:tc>
          <w:tcPr>
            <w:tcW w:w="7080" w:type="dxa"/>
            <w:vAlign w:val="bottom"/>
          </w:tcPr>
          <w:p>
            <w:pPr>
              <w:ind w:left="780"/>
              <w:spacing w:after="0"/>
              <w:rPr>
                <w:sz w:val="20"/>
                <w:szCs w:val="20"/>
                <w:color w:val="auto"/>
              </w:rPr>
            </w:pPr>
            <w:r>
              <w:rPr>
                <w:rFonts w:ascii="Arial" w:cs="Arial" w:eastAsia="Arial" w:hAnsi="Arial"/>
                <w:sz w:val="18"/>
                <w:szCs w:val="18"/>
                <w:color w:val="auto"/>
              </w:rPr>
              <w:t>Applicable</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(d)</w:t>
            </w:r>
          </w:p>
        </w:tc>
        <w:tc>
          <w:tcPr>
            <w:tcW w:w="3140" w:type="dxa"/>
            <w:vAlign w:val="bottom"/>
          </w:tcPr>
          <w:p>
            <w:pPr>
              <w:ind w:left="80"/>
              <w:spacing w:after="0"/>
              <w:rPr>
                <w:sz w:val="20"/>
                <w:szCs w:val="20"/>
                <w:color w:val="auto"/>
              </w:rPr>
            </w:pPr>
            <w:r>
              <w:rPr>
                <w:rFonts w:ascii="Arial" w:cs="Arial" w:eastAsia="Arial" w:hAnsi="Arial"/>
                <w:sz w:val="18"/>
                <w:szCs w:val="18"/>
                <w:color w:val="auto"/>
              </w:rPr>
              <w:t>Hedging Disruption:</w:t>
            </w:r>
          </w:p>
        </w:tc>
        <w:tc>
          <w:tcPr>
            <w:tcW w:w="7080" w:type="dxa"/>
            <w:vAlign w:val="bottom"/>
          </w:tcPr>
          <w:p>
            <w:pPr>
              <w:ind w:left="7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32"/>
        </w:trPr>
        <w:tc>
          <w:tcPr>
            <w:tcW w:w="1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9</w:t>
            </w:r>
          </w:p>
        </w:tc>
      </w:tr>
      <w:tr>
        <w:trPr>
          <w:trHeight w:val="132"/>
        </w:trPr>
        <w:tc>
          <w:tcPr>
            <w:tcW w:w="124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rPr>
              <w:t>(i)  Section 12.9(a)(v) of the Equity Definitions is hereby amended by</w:t>
            </w:r>
          </w:p>
        </w:tc>
      </w:tr>
      <w:tr>
        <w:trPr>
          <w:trHeight w:val="418"/>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700" w:type="dxa"/>
            <w:vAlign w:val="bottom"/>
          </w:tcPr>
          <w:p>
            <w:pPr>
              <w:ind w:left="720"/>
              <w:spacing w:after="0"/>
              <w:rPr>
                <w:sz w:val="20"/>
                <w:szCs w:val="20"/>
                <w:color w:val="auto"/>
              </w:rPr>
            </w:pPr>
            <w:r>
              <w:rPr>
                <w:rFonts w:ascii="Arial" w:cs="Arial" w:eastAsia="Arial" w:hAnsi="Arial"/>
                <w:sz w:val="18"/>
                <w:szCs w:val="18"/>
                <w:color w:val="auto"/>
                <w:w w:val="93"/>
              </w:rPr>
              <w:t>(a)  inserting the following words at the end of clause (A) thereof: “in the manner</w:t>
            </w: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700" w:type="dxa"/>
            <w:vAlign w:val="bottom"/>
          </w:tcPr>
          <w:p>
            <w:pPr>
              <w:ind w:left="1040"/>
              <w:spacing w:after="0"/>
              <w:rPr>
                <w:sz w:val="20"/>
                <w:szCs w:val="20"/>
                <w:color w:val="auto"/>
              </w:rPr>
            </w:pPr>
            <w:r>
              <w:rPr>
                <w:rFonts w:ascii="Arial" w:cs="Arial" w:eastAsia="Arial" w:hAnsi="Arial"/>
                <w:sz w:val="18"/>
                <w:szCs w:val="18"/>
                <w:color w:val="auto"/>
              </w:rPr>
              <w:t>contemplated by the Hedging Party on the Trade Date” and</w:t>
            </w:r>
          </w:p>
        </w:tc>
      </w:tr>
      <w:tr>
        <w:trPr>
          <w:trHeight w:val="432"/>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700" w:type="dxa"/>
            <w:vAlign w:val="bottom"/>
          </w:tcPr>
          <w:p>
            <w:pPr>
              <w:ind w:left="720"/>
              <w:spacing w:after="0"/>
              <w:rPr>
                <w:sz w:val="20"/>
                <w:szCs w:val="20"/>
                <w:color w:val="auto"/>
              </w:rPr>
            </w:pPr>
            <w:r>
              <w:rPr>
                <w:rFonts w:ascii="Arial" w:cs="Arial" w:eastAsia="Arial" w:hAnsi="Arial"/>
                <w:sz w:val="18"/>
                <w:szCs w:val="18"/>
                <w:color w:val="auto"/>
              </w:rPr>
              <w:t>(b)  inserting the following sentence at the end of such Section:</w:t>
            </w:r>
          </w:p>
        </w:tc>
      </w:tr>
      <w:tr>
        <w:trPr>
          <w:trHeight w:val="418"/>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700" w:type="dxa"/>
            <w:vAlign w:val="bottom"/>
          </w:tcPr>
          <w:p>
            <w:pPr>
              <w:ind w:left="1040"/>
              <w:spacing w:after="0"/>
              <w:rPr>
                <w:sz w:val="20"/>
                <w:szCs w:val="20"/>
                <w:color w:val="auto"/>
              </w:rPr>
            </w:pPr>
            <w:r>
              <w:rPr>
                <w:rFonts w:ascii="Arial" w:cs="Arial" w:eastAsia="Arial" w:hAnsi="Arial"/>
                <w:sz w:val="18"/>
                <w:szCs w:val="18"/>
                <w:color w:val="auto"/>
                <w:w w:val="94"/>
              </w:rPr>
              <w:t>“For the avoidance of doubt, (i) the term “equity price risk” shall be deemed</w:t>
            </w: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700" w:type="dxa"/>
            <w:vAlign w:val="bottom"/>
          </w:tcPr>
          <w:p>
            <w:pPr>
              <w:ind w:left="1040"/>
              <w:spacing w:after="0"/>
              <w:rPr>
                <w:sz w:val="20"/>
                <w:szCs w:val="20"/>
                <w:color w:val="auto"/>
              </w:rPr>
            </w:pPr>
            <w:r>
              <w:rPr>
                <w:rFonts w:ascii="Arial" w:cs="Arial" w:eastAsia="Arial" w:hAnsi="Arial"/>
                <w:sz w:val="18"/>
                <w:szCs w:val="18"/>
                <w:color w:val="auto"/>
              </w:rPr>
              <w:t>to include, but shall not be limited to, stock price and volatility risk, and</w:t>
            </w: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700" w:type="dxa"/>
            <w:vAlign w:val="bottom"/>
          </w:tcPr>
          <w:p>
            <w:pPr>
              <w:ind w:left="1040"/>
              <w:spacing w:after="0"/>
              <w:rPr>
                <w:sz w:val="20"/>
                <w:szCs w:val="20"/>
                <w:color w:val="auto"/>
              </w:rPr>
            </w:pPr>
            <w:r>
              <w:rPr>
                <w:rFonts w:ascii="Arial" w:cs="Arial" w:eastAsia="Arial" w:hAnsi="Arial"/>
                <w:sz w:val="18"/>
                <w:szCs w:val="18"/>
                <w:color w:val="auto"/>
                <w:w w:val="92"/>
              </w:rPr>
              <w:t>(ii) the transactions or assets referred to in phrases (A) or (B) above must be</w:t>
            </w: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700" w:type="dxa"/>
            <w:vAlign w:val="bottom"/>
          </w:tcPr>
          <w:p>
            <w:pPr>
              <w:ind w:left="1040"/>
              <w:spacing w:after="0"/>
              <w:rPr>
                <w:sz w:val="20"/>
                <w:szCs w:val="20"/>
                <w:color w:val="auto"/>
              </w:rPr>
            </w:pPr>
            <w:r>
              <w:rPr>
                <w:rFonts w:ascii="Arial" w:cs="Arial" w:eastAsia="Arial" w:hAnsi="Arial"/>
                <w:sz w:val="18"/>
                <w:szCs w:val="18"/>
                <w:color w:val="auto"/>
              </w:rPr>
              <w:t>available on commercially reasonable pricing and other terms.”; and</w:t>
            </w:r>
          </w:p>
        </w:tc>
      </w:tr>
      <w:tr>
        <w:trPr>
          <w:trHeight w:val="418"/>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w w:val="97"/>
              </w:rPr>
              <w:t>(ii)  Section 12.9(b)(iii) of the Equity Definitions is hereby amended by inserting in</w:t>
            </w: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700" w:type="dxa"/>
            <w:vAlign w:val="bottom"/>
          </w:tcPr>
          <w:p>
            <w:pPr>
              <w:ind w:left="720"/>
              <w:spacing w:after="0"/>
              <w:rPr>
                <w:sz w:val="20"/>
                <w:szCs w:val="20"/>
                <w:color w:val="auto"/>
              </w:rPr>
            </w:pPr>
            <w:r>
              <w:rPr>
                <w:rFonts w:ascii="Arial" w:cs="Arial" w:eastAsia="Arial" w:hAnsi="Arial"/>
                <w:sz w:val="18"/>
                <w:szCs w:val="18"/>
                <w:color w:val="auto"/>
                <w:w w:val="92"/>
              </w:rPr>
              <w:t>the third line thereof, after the words “to terminate the Transaction”, the words “or</w:t>
            </w: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700" w:type="dxa"/>
            <w:vAlign w:val="bottom"/>
          </w:tcPr>
          <w:p>
            <w:pPr>
              <w:ind w:left="720"/>
              <w:spacing w:after="0"/>
              <w:rPr>
                <w:sz w:val="20"/>
                <w:szCs w:val="20"/>
                <w:color w:val="auto"/>
              </w:rPr>
            </w:pPr>
            <w:r>
              <w:rPr>
                <w:rFonts w:ascii="Arial" w:cs="Arial" w:eastAsia="Arial" w:hAnsi="Arial"/>
                <w:sz w:val="18"/>
                <w:szCs w:val="18"/>
                <w:color w:val="auto"/>
              </w:rPr>
              <w:t>a portion of the Transaction affected by such Hedging Disruption”.</w:t>
            </w:r>
          </w:p>
        </w:tc>
      </w:tr>
      <w:tr>
        <w:trPr>
          <w:trHeight w:val="418"/>
        </w:trPr>
        <w:tc>
          <w:tcPr>
            <w:tcW w:w="660" w:type="dxa"/>
            <w:vAlign w:val="bottom"/>
          </w:tcPr>
          <w:p>
            <w:pPr>
              <w:spacing w:after="0"/>
              <w:rPr>
                <w:sz w:val="24"/>
                <w:szCs w:val="24"/>
                <w:color w:val="auto"/>
              </w:rPr>
            </w:pPr>
          </w:p>
        </w:tc>
        <w:tc>
          <w:tcPr>
            <w:tcW w:w="4100" w:type="dxa"/>
            <w:vAlign w:val="bottom"/>
            <w:gridSpan w:val="3"/>
          </w:tcPr>
          <w:p>
            <w:pPr>
              <w:ind w:left="320"/>
              <w:spacing w:after="0"/>
              <w:rPr>
                <w:sz w:val="20"/>
                <w:szCs w:val="20"/>
                <w:color w:val="auto"/>
              </w:rPr>
            </w:pPr>
            <w:r>
              <w:rPr>
                <w:rFonts w:ascii="Arial" w:cs="Arial" w:eastAsia="Arial" w:hAnsi="Arial"/>
                <w:sz w:val="18"/>
                <w:szCs w:val="18"/>
                <w:color w:val="auto"/>
              </w:rPr>
              <w:t>(e)  Increased Cost of Hedging:</w:t>
            </w:r>
          </w:p>
        </w:tc>
        <w:tc>
          <w:tcPr>
            <w:tcW w:w="6700" w:type="dxa"/>
            <w:vAlign w:val="bottom"/>
          </w:tcPr>
          <w:p>
            <w:pPr>
              <w:ind w:left="400"/>
              <w:spacing w:after="0"/>
              <w:rPr>
                <w:sz w:val="20"/>
                <w:szCs w:val="20"/>
                <w:color w:val="auto"/>
              </w:rPr>
            </w:pPr>
            <w:r>
              <w:rPr>
                <w:rFonts w:ascii="Arial" w:cs="Arial" w:eastAsia="Arial" w:hAnsi="Arial"/>
                <w:sz w:val="18"/>
                <w:szCs w:val="18"/>
                <w:color w:val="auto"/>
                <w:w w:val="97"/>
              </w:rPr>
              <w:t xml:space="preserve">Applicable;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the following parenthetical shall be inserted immediately</w:t>
            </w: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w w:val="99"/>
              </w:rPr>
              <w:t>following the word “expense” in the third line of Section 12.9(a)(vi) of the Equity</w:t>
            </w: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rPr>
              <w:t>Definitions: “(including, for the avoidance of doubt, the incurrence of any stock</w:t>
            </w: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w w:val="92"/>
              </w:rPr>
              <w:t>borrow expense in excess of Hedging Party’s expectation as of the Trade Date, other</w:t>
            </w: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rPr>
              <w:t>than to the extent resulting from an Increased Cost of Stock Borrow)”.</w:t>
            </w:r>
          </w:p>
        </w:tc>
      </w:tr>
      <w:tr>
        <w:trPr>
          <w:trHeight w:val="432"/>
        </w:trPr>
        <w:tc>
          <w:tcPr>
            <w:tcW w:w="660" w:type="dxa"/>
            <w:vAlign w:val="bottom"/>
          </w:tcPr>
          <w:p>
            <w:pPr>
              <w:spacing w:after="0"/>
              <w:rPr>
                <w:sz w:val="24"/>
                <w:szCs w:val="24"/>
                <w:color w:val="auto"/>
              </w:rPr>
            </w:pPr>
          </w:p>
        </w:tc>
        <w:tc>
          <w:tcPr>
            <w:tcW w:w="4100" w:type="dxa"/>
            <w:vAlign w:val="bottom"/>
            <w:gridSpan w:val="3"/>
          </w:tcPr>
          <w:p>
            <w:pPr>
              <w:ind w:left="320"/>
              <w:spacing w:after="0"/>
              <w:rPr>
                <w:sz w:val="20"/>
                <w:szCs w:val="20"/>
                <w:color w:val="auto"/>
              </w:rPr>
            </w:pPr>
            <w:r>
              <w:rPr>
                <w:rFonts w:ascii="Arial" w:cs="Arial" w:eastAsia="Arial" w:hAnsi="Arial"/>
                <w:sz w:val="18"/>
                <w:szCs w:val="18"/>
                <w:color w:val="auto"/>
              </w:rPr>
              <w:t>(f)  Loss of Stock Borrow:</w:t>
            </w:r>
          </w:p>
        </w:tc>
        <w:tc>
          <w:tcPr>
            <w:tcW w:w="6700" w:type="dxa"/>
            <w:vAlign w:val="bottom"/>
          </w:tcPr>
          <w:p>
            <w:pPr>
              <w:ind w:left="400"/>
              <w:spacing w:after="0"/>
              <w:rPr>
                <w:sz w:val="20"/>
                <w:szCs w:val="20"/>
                <w:color w:val="auto"/>
              </w:rPr>
            </w:pPr>
            <w:r>
              <w:rPr>
                <w:rFonts w:ascii="Arial" w:cs="Arial" w:eastAsia="Arial" w:hAnsi="Arial"/>
                <w:sz w:val="18"/>
                <w:szCs w:val="18"/>
                <w:color w:val="auto"/>
              </w:rPr>
              <w:t>Applicable</w:t>
            </w:r>
          </w:p>
        </w:tc>
      </w:tr>
      <w:tr>
        <w:trPr>
          <w:trHeight w:val="432"/>
        </w:trPr>
        <w:tc>
          <w:tcPr>
            <w:tcW w:w="660" w:type="dxa"/>
            <w:vAlign w:val="bottom"/>
          </w:tcPr>
          <w:p>
            <w:pPr>
              <w:spacing w:after="0"/>
              <w:rPr>
                <w:sz w:val="24"/>
                <w:szCs w:val="24"/>
                <w:color w:val="auto"/>
              </w:rPr>
            </w:pPr>
          </w:p>
        </w:tc>
        <w:tc>
          <w:tcPr>
            <w:tcW w:w="4100" w:type="dxa"/>
            <w:vAlign w:val="bottom"/>
            <w:gridSpan w:val="3"/>
          </w:tcPr>
          <w:p>
            <w:pPr>
              <w:ind w:left="640"/>
              <w:spacing w:after="0"/>
              <w:rPr>
                <w:sz w:val="20"/>
                <w:szCs w:val="20"/>
                <w:color w:val="auto"/>
              </w:rPr>
            </w:pPr>
            <w:r>
              <w:rPr>
                <w:rFonts w:ascii="Arial" w:cs="Arial" w:eastAsia="Arial" w:hAnsi="Arial"/>
                <w:sz w:val="18"/>
                <w:szCs w:val="18"/>
                <w:color w:val="auto"/>
              </w:rPr>
              <w:t>Maximum Stock Loan Rate:</w:t>
            </w:r>
          </w:p>
        </w:tc>
        <w:tc>
          <w:tcPr>
            <w:tcW w:w="6700" w:type="dxa"/>
            <w:vAlign w:val="bottom"/>
          </w:tcPr>
          <w:p>
            <w:pPr>
              <w:ind w:left="400"/>
              <w:spacing w:after="0"/>
              <w:rPr>
                <w:sz w:val="20"/>
                <w:szCs w:val="20"/>
                <w:color w:val="auto"/>
              </w:rPr>
            </w:pPr>
            <w:r>
              <w:rPr>
                <w:rFonts w:ascii="Arial" w:cs="Arial" w:eastAsia="Arial" w:hAnsi="Arial"/>
                <w:sz w:val="18"/>
                <w:szCs w:val="18"/>
                <w:color w:val="auto"/>
              </w:rPr>
              <w:t>2.00% per annum</w:t>
            </w:r>
          </w:p>
        </w:tc>
      </w:tr>
      <w:tr>
        <w:trPr>
          <w:trHeight w:val="432"/>
        </w:trPr>
        <w:tc>
          <w:tcPr>
            <w:tcW w:w="660" w:type="dxa"/>
            <w:vAlign w:val="bottom"/>
          </w:tcPr>
          <w:p>
            <w:pPr>
              <w:spacing w:after="0"/>
              <w:rPr>
                <w:sz w:val="24"/>
                <w:szCs w:val="24"/>
                <w:color w:val="auto"/>
              </w:rPr>
            </w:pPr>
          </w:p>
        </w:tc>
        <w:tc>
          <w:tcPr>
            <w:tcW w:w="4100" w:type="dxa"/>
            <w:vAlign w:val="bottom"/>
            <w:gridSpan w:val="3"/>
          </w:tcPr>
          <w:p>
            <w:pPr>
              <w:ind w:left="320"/>
              <w:spacing w:after="0"/>
              <w:rPr>
                <w:sz w:val="20"/>
                <w:szCs w:val="20"/>
                <w:color w:val="auto"/>
              </w:rPr>
            </w:pPr>
            <w:r>
              <w:rPr>
                <w:rFonts w:ascii="Arial" w:cs="Arial" w:eastAsia="Arial" w:hAnsi="Arial"/>
                <w:sz w:val="18"/>
                <w:szCs w:val="18"/>
                <w:color w:val="auto"/>
              </w:rPr>
              <w:t>(g)  Increased Cost of Stock Borrow:</w:t>
            </w:r>
          </w:p>
        </w:tc>
        <w:tc>
          <w:tcPr>
            <w:tcW w:w="6700" w:type="dxa"/>
            <w:vAlign w:val="bottom"/>
          </w:tcPr>
          <w:p>
            <w:pPr>
              <w:ind w:left="400"/>
              <w:spacing w:after="0"/>
              <w:rPr>
                <w:sz w:val="20"/>
                <w:szCs w:val="20"/>
                <w:color w:val="auto"/>
              </w:rPr>
            </w:pPr>
            <w:r>
              <w:rPr>
                <w:rFonts w:ascii="Arial" w:cs="Arial" w:eastAsia="Arial" w:hAnsi="Arial"/>
                <w:sz w:val="18"/>
                <w:szCs w:val="18"/>
                <w:color w:val="auto"/>
              </w:rPr>
              <w:t>Applicable</w:t>
            </w:r>
          </w:p>
        </w:tc>
      </w:tr>
      <w:tr>
        <w:trPr>
          <w:trHeight w:val="432"/>
        </w:trPr>
        <w:tc>
          <w:tcPr>
            <w:tcW w:w="660" w:type="dxa"/>
            <w:vAlign w:val="bottom"/>
          </w:tcPr>
          <w:p>
            <w:pPr>
              <w:spacing w:after="0"/>
              <w:rPr>
                <w:sz w:val="24"/>
                <w:szCs w:val="24"/>
                <w:color w:val="auto"/>
              </w:rPr>
            </w:pPr>
          </w:p>
        </w:tc>
        <w:tc>
          <w:tcPr>
            <w:tcW w:w="4100" w:type="dxa"/>
            <w:vAlign w:val="bottom"/>
            <w:gridSpan w:val="3"/>
          </w:tcPr>
          <w:p>
            <w:pPr>
              <w:ind w:left="640"/>
              <w:spacing w:after="0"/>
              <w:rPr>
                <w:sz w:val="20"/>
                <w:szCs w:val="20"/>
                <w:color w:val="auto"/>
              </w:rPr>
            </w:pPr>
            <w:r>
              <w:rPr>
                <w:rFonts w:ascii="Arial" w:cs="Arial" w:eastAsia="Arial" w:hAnsi="Arial"/>
                <w:sz w:val="18"/>
                <w:szCs w:val="18"/>
                <w:color w:val="auto"/>
              </w:rPr>
              <w:t>Initial Stock Loan Rate:</w:t>
            </w:r>
          </w:p>
        </w:tc>
        <w:tc>
          <w:tcPr>
            <w:tcW w:w="6700" w:type="dxa"/>
            <w:vAlign w:val="bottom"/>
          </w:tcPr>
          <w:p>
            <w:pPr>
              <w:ind w:left="400"/>
              <w:spacing w:after="0"/>
              <w:rPr>
                <w:sz w:val="20"/>
                <w:szCs w:val="20"/>
                <w:color w:val="auto"/>
              </w:rPr>
            </w:pPr>
            <w:r>
              <w:rPr>
                <w:rFonts w:ascii="Arial" w:cs="Arial" w:eastAsia="Arial" w:hAnsi="Arial"/>
                <w:sz w:val="18"/>
                <w:szCs w:val="18"/>
                <w:color w:val="auto"/>
              </w:rPr>
              <w:t>Prior to April 2, 2025, 0% per annum, and thereafter, 0.25% per annum.</w:t>
            </w:r>
          </w:p>
        </w:tc>
      </w:tr>
      <w:tr>
        <w:trPr>
          <w:trHeight w:val="432"/>
        </w:trPr>
        <w:tc>
          <w:tcPr>
            <w:tcW w:w="4760" w:type="dxa"/>
            <w:vAlign w:val="bottom"/>
            <w:gridSpan w:val="4"/>
          </w:tcPr>
          <w:p>
            <w:pPr>
              <w:ind w:left="340"/>
              <w:spacing w:after="0"/>
              <w:rPr>
                <w:sz w:val="20"/>
                <w:szCs w:val="20"/>
                <w:color w:val="auto"/>
              </w:rPr>
            </w:pPr>
            <w:r>
              <w:rPr>
                <w:rFonts w:ascii="Arial" w:cs="Arial" w:eastAsia="Arial" w:hAnsi="Arial"/>
                <w:sz w:val="18"/>
                <w:szCs w:val="18"/>
                <w:color w:val="auto"/>
              </w:rPr>
              <w:t>Hedging Party:</w:t>
            </w:r>
          </w:p>
        </w:tc>
        <w:tc>
          <w:tcPr>
            <w:tcW w:w="6700" w:type="dxa"/>
            <w:vAlign w:val="bottom"/>
          </w:tcPr>
          <w:p>
            <w:pPr>
              <w:ind w:left="40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432"/>
        </w:trPr>
        <w:tc>
          <w:tcPr>
            <w:tcW w:w="4760" w:type="dxa"/>
            <w:vAlign w:val="bottom"/>
            <w:gridSpan w:val="4"/>
          </w:tcPr>
          <w:p>
            <w:pPr>
              <w:ind w:left="340"/>
              <w:spacing w:after="0"/>
              <w:rPr>
                <w:sz w:val="20"/>
                <w:szCs w:val="20"/>
                <w:color w:val="auto"/>
              </w:rPr>
            </w:pPr>
            <w:r>
              <w:rPr>
                <w:rFonts w:ascii="Arial" w:cs="Arial" w:eastAsia="Arial" w:hAnsi="Arial"/>
                <w:sz w:val="18"/>
                <w:szCs w:val="18"/>
                <w:color w:val="auto"/>
              </w:rPr>
              <w:t>Determining Party:</w:t>
            </w:r>
          </w:p>
        </w:tc>
        <w:tc>
          <w:tcPr>
            <w:tcW w:w="6700" w:type="dxa"/>
            <w:vAlign w:val="bottom"/>
          </w:tcPr>
          <w:p>
            <w:pPr>
              <w:ind w:left="40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432"/>
        </w:trPr>
        <w:tc>
          <w:tcPr>
            <w:tcW w:w="4760" w:type="dxa"/>
            <w:vAlign w:val="bottom"/>
            <w:gridSpan w:val="4"/>
          </w:tcPr>
          <w:p>
            <w:pPr>
              <w:ind w:left="340"/>
              <w:spacing w:after="0"/>
              <w:rPr>
                <w:sz w:val="20"/>
                <w:szCs w:val="20"/>
                <w:color w:val="auto"/>
              </w:rPr>
            </w:pPr>
            <w:r>
              <w:rPr>
                <w:rFonts w:ascii="Arial" w:cs="Arial" w:eastAsia="Arial" w:hAnsi="Arial"/>
                <w:sz w:val="18"/>
                <w:szCs w:val="18"/>
                <w:color w:val="auto"/>
              </w:rPr>
              <w:t>Non-Reliance:</w:t>
            </w:r>
          </w:p>
        </w:tc>
        <w:tc>
          <w:tcPr>
            <w:tcW w:w="6700" w:type="dxa"/>
            <w:vAlign w:val="bottom"/>
          </w:tcPr>
          <w:p>
            <w:pPr>
              <w:ind w:left="400"/>
              <w:spacing w:after="0"/>
              <w:rPr>
                <w:sz w:val="20"/>
                <w:szCs w:val="20"/>
                <w:color w:val="auto"/>
              </w:rPr>
            </w:pPr>
            <w:r>
              <w:rPr>
                <w:rFonts w:ascii="Arial" w:cs="Arial" w:eastAsia="Arial" w:hAnsi="Arial"/>
                <w:sz w:val="18"/>
                <w:szCs w:val="18"/>
                <w:color w:val="auto"/>
              </w:rPr>
              <w:t>Applicable</w:t>
            </w:r>
          </w:p>
        </w:tc>
      </w:tr>
      <w:tr>
        <w:trPr>
          <w:trHeight w:val="418"/>
        </w:trPr>
        <w:tc>
          <w:tcPr>
            <w:tcW w:w="4760" w:type="dxa"/>
            <w:vAlign w:val="bottom"/>
            <w:gridSpan w:val="4"/>
          </w:tcPr>
          <w:p>
            <w:pPr>
              <w:ind w:left="340"/>
              <w:spacing w:after="0"/>
              <w:rPr>
                <w:sz w:val="20"/>
                <w:szCs w:val="20"/>
                <w:color w:val="auto"/>
              </w:rPr>
            </w:pPr>
            <w:r>
              <w:rPr>
                <w:rFonts w:ascii="Arial" w:cs="Arial" w:eastAsia="Arial" w:hAnsi="Arial"/>
                <w:sz w:val="18"/>
                <w:szCs w:val="18"/>
                <w:color w:val="auto"/>
                <w:w w:val="99"/>
              </w:rPr>
              <w:t>Agreements and Acknowledgments Regarding Hedging</w:t>
            </w:r>
          </w:p>
        </w:tc>
        <w:tc>
          <w:tcPr>
            <w:tcW w:w="6700" w:type="dxa"/>
            <w:vAlign w:val="bottom"/>
          </w:tcPr>
          <w:p>
            <w:pPr>
              <w:spacing w:after="0"/>
              <w:rPr>
                <w:sz w:val="24"/>
                <w:szCs w:val="24"/>
                <w:color w:val="auto"/>
              </w:rPr>
            </w:pPr>
          </w:p>
        </w:tc>
      </w:tr>
      <w:tr>
        <w:trPr>
          <w:trHeight w:val="230"/>
        </w:trPr>
        <w:tc>
          <w:tcPr>
            <w:tcW w:w="4760" w:type="dxa"/>
            <w:vAlign w:val="bottom"/>
            <w:gridSpan w:val="4"/>
          </w:tcPr>
          <w:p>
            <w:pPr>
              <w:ind w:left="340"/>
              <w:spacing w:after="0"/>
              <w:rPr>
                <w:sz w:val="20"/>
                <w:szCs w:val="20"/>
                <w:color w:val="auto"/>
              </w:rPr>
            </w:pPr>
            <w:r>
              <w:rPr>
                <w:rFonts w:ascii="Arial" w:cs="Arial" w:eastAsia="Arial" w:hAnsi="Arial"/>
                <w:sz w:val="18"/>
                <w:szCs w:val="18"/>
                <w:color w:val="auto"/>
              </w:rPr>
              <w:t>Activities:</w:t>
            </w:r>
          </w:p>
        </w:tc>
        <w:tc>
          <w:tcPr>
            <w:tcW w:w="6700" w:type="dxa"/>
            <w:vAlign w:val="bottom"/>
          </w:tcPr>
          <w:p>
            <w:pPr>
              <w:ind w:left="400"/>
              <w:spacing w:after="0"/>
              <w:rPr>
                <w:sz w:val="20"/>
                <w:szCs w:val="20"/>
                <w:color w:val="auto"/>
              </w:rPr>
            </w:pPr>
            <w:r>
              <w:rPr>
                <w:rFonts w:ascii="Arial" w:cs="Arial" w:eastAsia="Arial" w:hAnsi="Arial"/>
                <w:sz w:val="18"/>
                <w:szCs w:val="18"/>
                <w:color w:val="auto"/>
              </w:rPr>
              <w:t>Applicable</w:t>
            </w:r>
          </w:p>
        </w:tc>
      </w:tr>
      <w:tr>
        <w:trPr>
          <w:trHeight w:val="432"/>
        </w:trPr>
        <w:tc>
          <w:tcPr>
            <w:tcW w:w="4760" w:type="dxa"/>
            <w:vAlign w:val="bottom"/>
            <w:gridSpan w:val="4"/>
          </w:tcPr>
          <w:p>
            <w:pPr>
              <w:ind w:left="340"/>
              <w:spacing w:after="0"/>
              <w:rPr>
                <w:sz w:val="20"/>
                <w:szCs w:val="20"/>
                <w:color w:val="auto"/>
              </w:rPr>
            </w:pPr>
            <w:r>
              <w:rPr>
                <w:rFonts w:ascii="Arial" w:cs="Arial" w:eastAsia="Arial" w:hAnsi="Arial"/>
                <w:sz w:val="18"/>
                <w:szCs w:val="18"/>
                <w:color w:val="auto"/>
              </w:rPr>
              <w:t>Additional Acknowledgments:</w:t>
            </w:r>
          </w:p>
        </w:tc>
        <w:tc>
          <w:tcPr>
            <w:tcW w:w="6700" w:type="dxa"/>
            <w:vAlign w:val="bottom"/>
          </w:tcPr>
          <w:p>
            <w:pPr>
              <w:ind w:left="400"/>
              <w:spacing w:after="0"/>
              <w:rPr>
                <w:sz w:val="20"/>
                <w:szCs w:val="20"/>
                <w:color w:val="auto"/>
              </w:rPr>
            </w:pPr>
            <w:r>
              <w:rPr>
                <w:rFonts w:ascii="Arial" w:cs="Arial" w:eastAsia="Arial" w:hAnsi="Arial"/>
                <w:sz w:val="18"/>
                <w:szCs w:val="18"/>
                <w:color w:val="auto"/>
              </w:rPr>
              <w:t>Applicable</w:t>
            </w:r>
          </w:p>
        </w:tc>
      </w:tr>
      <w:tr>
        <w:trPr>
          <w:trHeight w:val="392"/>
        </w:trPr>
        <w:tc>
          <w:tcPr>
            <w:tcW w:w="660" w:type="dxa"/>
            <w:vAlign w:val="bottom"/>
          </w:tcPr>
          <w:p>
            <w:pPr>
              <w:ind w:left="340"/>
              <w:spacing w:after="0"/>
              <w:rPr>
                <w:sz w:val="20"/>
                <w:szCs w:val="20"/>
                <w:color w:val="auto"/>
              </w:rPr>
            </w:pPr>
            <w:r>
              <w:rPr>
                <w:rFonts w:ascii="Arial" w:cs="Arial" w:eastAsia="Arial" w:hAnsi="Arial"/>
                <w:sz w:val="18"/>
                <w:szCs w:val="18"/>
                <w:color w:val="auto"/>
              </w:rPr>
              <w:t>3.</w:t>
            </w:r>
          </w:p>
        </w:tc>
        <w:tc>
          <w:tcPr>
            <w:tcW w:w="4100" w:type="dxa"/>
            <w:vAlign w:val="bottom"/>
            <w:gridSpan w:val="3"/>
          </w:tcPr>
          <w:p>
            <w:pPr>
              <w:spacing w:after="0"/>
              <w:rPr>
                <w:sz w:val="20"/>
                <w:szCs w:val="20"/>
                <w:color w:val="auto"/>
              </w:rPr>
            </w:pPr>
            <w:r>
              <w:rPr>
                <w:rFonts w:ascii="Arial" w:cs="Arial" w:eastAsia="Arial" w:hAnsi="Arial"/>
                <w:sz w:val="18"/>
                <w:szCs w:val="18"/>
                <w:color w:val="auto"/>
              </w:rPr>
              <w:t>Calculation Agent:</w:t>
            </w:r>
          </w:p>
        </w:tc>
        <w:tc>
          <w:tcPr>
            <w:tcW w:w="6700" w:type="dxa"/>
            <w:vAlign w:val="bottom"/>
          </w:tcPr>
          <w:p>
            <w:pPr>
              <w:ind w:left="400"/>
              <w:spacing w:after="0"/>
              <w:rPr>
                <w:sz w:val="20"/>
                <w:szCs w:val="20"/>
                <w:color w:val="auto"/>
              </w:rPr>
            </w:pPr>
            <w:r>
              <w:rPr>
                <w:rFonts w:ascii="Arial" w:cs="Arial" w:eastAsia="Arial" w:hAnsi="Arial"/>
                <w:sz w:val="18"/>
                <w:szCs w:val="18"/>
                <w:color w:val="auto"/>
              </w:rPr>
              <w:t>Dealer.</w:t>
            </w:r>
          </w:p>
        </w:tc>
      </w:tr>
      <w:tr>
        <w:trPr>
          <w:trHeight w:val="412"/>
        </w:trPr>
        <w:tc>
          <w:tcPr>
            <w:tcW w:w="660" w:type="dxa"/>
            <w:vAlign w:val="bottom"/>
          </w:tcPr>
          <w:p>
            <w:pPr>
              <w:ind w:left="340"/>
              <w:spacing w:after="0"/>
              <w:rPr>
                <w:sz w:val="20"/>
                <w:szCs w:val="20"/>
                <w:color w:val="auto"/>
              </w:rPr>
            </w:pPr>
            <w:r>
              <w:rPr>
                <w:rFonts w:ascii="Arial" w:cs="Arial" w:eastAsia="Arial" w:hAnsi="Arial"/>
                <w:sz w:val="18"/>
                <w:szCs w:val="18"/>
                <w:color w:val="auto"/>
              </w:rPr>
              <w:t>4.</w:t>
            </w: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Account Details:</w:t>
            </w:r>
          </w:p>
        </w:tc>
        <w:tc>
          <w:tcPr>
            <w:tcW w:w="278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Dealer Payment Instructions:</w:t>
            </w:r>
          </w:p>
        </w:tc>
        <w:tc>
          <w:tcPr>
            <w:tcW w:w="67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700" w:type="dxa"/>
            <w:vAlign w:val="bottom"/>
          </w:tcPr>
          <w:p>
            <w:pPr>
              <w:ind w:left="860"/>
              <w:spacing w:after="0"/>
              <w:rPr>
                <w:sz w:val="20"/>
                <w:szCs w:val="20"/>
                <w:color w:val="auto"/>
              </w:rPr>
            </w:pPr>
            <w:r>
              <w:rPr>
                <w:rFonts w:ascii="Arial" w:cs="Arial" w:eastAsia="Arial" w:hAnsi="Arial"/>
                <w:sz w:val="18"/>
                <w:szCs w:val="18"/>
                <w:color w:val="auto"/>
              </w:rPr>
              <w:t>10</w:t>
            </w:r>
          </w:p>
        </w:tc>
      </w:tr>
      <w:tr>
        <w:trPr>
          <w:trHeight w:val="132"/>
        </w:trPr>
        <w:tc>
          <w:tcPr>
            <w:tcW w:w="6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67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95" w:name="page296"/>
    <w:bookmarkEnd w:id="295"/>
    <w:p>
      <w:pPr>
        <w:ind w:left="660"/>
        <w:spacing w:after="0"/>
        <w:rPr>
          <w:sz w:val="20"/>
          <w:szCs w:val="20"/>
          <w:color w:val="auto"/>
        </w:rPr>
      </w:pPr>
      <w:r>
        <w:rPr>
          <w:rFonts w:ascii="Arial" w:cs="Arial" w:eastAsia="Arial" w:hAnsi="Arial"/>
          <w:sz w:val="18"/>
          <w:szCs w:val="18"/>
          <w:color w:val="auto"/>
        </w:rPr>
        <w:t>Bank: Bank of New York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021000018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 8661062712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Acct Name — BMO Nesbitt Burns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 for delivery of Shares to Dealer: To be provided by Dealer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Counterparty Payment Instructions: To be provided by Counterparty.</w:t>
      </w:r>
    </w:p>
    <w:p>
      <w:pPr>
        <w:spacing w:after="0" w:line="225" w:lineRule="exact"/>
        <w:rPr>
          <w:sz w:val="20"/>
          <w:szCs w:val="20"/>
          <w:color w:val="auto"/>
        </w:rPr>
      </w:pPr>
    </w:p>
    <w:p>
      <w:pPr>
        <w:ind w:left="340" w:hanging="332"/>
        <w:spacing w:after="0"/>
        <w:tabs>
          <w:tab w:leader="none" w:pos="3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right="360"/>
        <w:spacing w:after="0" w:line="501" w:lineRule="auto"/>
        <w:rPr>
          <w:rFonts w:ascii="Arial" w:cs="Arial" w:eastAsia="Arial" w:hAnsi="Arial"/>
          <w:sz w:val="18"/>
          <w:szCs w:val="18"/>
          <w:color w:val="auto"/>
        </w:rPr>
      </w:pPr>
      <w:r>
        <w:rPr>
          <w:rFonts w:ascii="Arial" w:cs="Arial" w:eastAsia="Arial" w:hAnsi="Arial"/>
          <w:sz w:val="18"/>
          <w:szCs w:val="18"/>
          <w:color w:val="auto"/>
        </w:rPr>
        <w:t>Dealer is a Multibranch Party and for purposes of this Confirmation and each Transaction, may act through its London, Chicago and Toronto Offices. The Office of Counterparty for the Transaction is: Inapplicable, Counterparty is not a Multibranch Party.</w:t>
      </w:r>
    </w:p>
    <w:p>
      <w:pPr>
        <w:ind w:left="340" w:hanging="332"/>
        <w:spacing w:after="0"/>
        <w:tabs>
          <w:tab w:leader="none" w:pos="3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13200 Pioneer Trail, Suite 150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Eden Prarie, MN 55347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Bert Jameson, Treasurer</w:t>
      </w:r>
    </w:p>
    <w:p>
      <w:pPr>
        <w:spacing w:after="0" w:line="211" w:lineRule="exact"/>
        <w:rPr>
          <w:sz w:val="20"/>
          <w:szCs w:val="20"/>
          <w:color w:val="auto"/>
        </w:rPr>
      </w:pPr>
    </w:p>
    <w:p>
      <w:pPr>
        <w:ind w:left="1320" w:hanging="664"/>
        <w:spacing w:after="0"/>
        <w:tabs>
          <w:tab w:leader="none" w:pos="13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ind w:left="660"/>
              <w:spacing w:after="0"/>
              <w:rPr>
                <w:sz w:val="20"/>
                <w:szCs w:val="20"/>
                <w:color w:val="auto"/>
              </w:rPr>
            </w:pPr>
            <w:r>
              <w:rPr>
                <w:rFonts w:ascii="Arial" w:cs="Arial" w:eastAsia="Arial" w:hAnsi="Arial"/>
                <w:sz w:val="18"/>
                <w:szCs w:val="18"/>
                <w:color w:val="auto"/>
              </w:rPr>
              <w:t>To:</w:t>
            </w:r>
          </w:p>
        </w:tc>
        <w:tc>
          <w:tcPr>
            <w:tcW w:w="9620" w:type="dxa"/>
            <w:vAlign w:val="bottom"/>
          </w:tcPr>
          <w:p>
            <w:pPr>
              <w:ind w:left="100"/>
              <w:spacing w:after="0"/>
              <w:rPr>
                <w:sz w:val="20"/>
                <w:szCs w:val="20"/>
                <w:color w:val="auto"/>
              </w:rPr>
            </w:pPr>
            <w:r>
              <w:rPr>
                <w:rFonts w:ascii="Arial" w:cs="Arial" w:eastAsia="Arial" w:hAnsi="Arial"/>
                <w:sz w:val="18"/>
                <w:szCs w:val="18"/>
                <w:color w:val="auto"/>
              </w:rPr>
              <w:t>Bank of Montreal</w:t>
            </w:r>
          </w:p>
        </w:tc>
      </w:tr>
      <w:tr>
        <w:trPr>
          <w:trHeight w:val="216"/>
        </w:trPr>
        <w:tc>
          <w:tcPr>
            <w:tcW w:w="1840" w:type="dxa"/>
            <w:vAlign w:val="bottom"/>
          </w:tcPr>
          <w:p>
            <w:pPr>
              <w:spacing w:after="0"/>
              <w:rPr>
                <w:sz w:val="18"/>
                <w:szCs w:val="18"/>
                <w:color w:val="auto"/>
              </w:rPr>
            </w:pPr>
          </w:p>
        </w:tc>
        <w:tc>
          <w:tcPr>
            <w:tcW w:w="9620" w:type="dxa"/>
            <w:vAlign w:val="bottom"/>
          </w:tcPr>
          <w:p>
            <w:pPr>
              <w:ind w:left="120"/>
              <w:spacing w:after="0" w:line="216" w:lineRule="exact"/>
              <w:rPr>
                <w:sz w:val="20"/>
                <w:szCs w:val="20"/>
                <w:color w:val="auto"/>
              </w:rPr>
            </w:pPr>
            <w:r>
              <w:rPr>
                <w:rFonts w:ascii="Arial" w:cs="Arial" w:eastAsia="Arial" w:hAnsi="Arial"/>
                <w:sz w:val="18"/>
                <w:szCs w:val="18"/>
                <w:color w:val="auto"/>
              </w:rPr>
              <w:t>55 Bloor Street West,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1840" w:type="dxa"/>
            <w:vAlign w:val="bottom"/>
          </w:tcPr>
          <w:p>
            <w:pPr>
              <w:spacing w:after="0"/>
              <w:rPr>
                <w:sz w:val="18"/>
                <w:szCs w:val="18"/>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rPr>
              <w:t>Toronto, Ontario M4W 1A5</w:t>
            </w:r>
          </w:p>
        </w:tc>
      </w:tr>
      <w:tr>
        <w:trPr>
          <w:trHeight w:val="216"/>
        </w:trPr>
        <w:tc>
          <w:tcPr>
            <w:tcW w:w="1840" w:type="dxa"/>
            <w:vAlign w:val="bottom"/>
          </w:tcPr>
          <w:p>
            <w:pPr>
              <w:spacing w:after="0"/>
              <w:rPr>
                <w:sz w:val="18"/>
                <w:szCs w:val="18"/>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tcPr>
          <w:p>
            <w:pPr>
              <w:ind w:left="660"/>
              <w:spacing w:after="0"/>
              <w:rPr>
                <w:sz w:val="20"/>
                <w:szCs w:val="20"/>
                <w:color w:val="auto"/>
              </w:rPr>
            </w:pPr>
            <w:r>
              <w:rPr>
                <w:rFonts w:ascii="Arial" w:cs="Arial" w:eastAsia="Arial" w:hAnsi="Arial"/>
                <w:sz w:val="18"/>
                <w:szCs w:val="18"/>
                <w:color w:val="auto"/>
              </w:rPr>
              <w:t>Attn:</w:t>
            </w:r>
          </w:p>
        </w:tc>
        <w:tc>
          <w:tcPr>
            <w:tcW w:w="9620" w:type="dxa"/>
            <w:vAlign w:val="bottom"/>
          </w:tcPr>
          <w:p>
            <w:pPr>
              <w:ind w:left="100"/>
              <w:spacing w:after="0"/>
              <w:rPr>
                <w:sz w:val="20"/>
                <w:szCs w:val="20"/>
                <w:color w:val="auto"/>
              </w:rPr>
            </w:pPr>
            <w:r>
              <w:rPr>
                <w:rFonts w:ascii="Arial" w:cs="Arial" w:eastAsia="Arial" w:hAnsi="Arial"/>
                <w:sz w:val="18"/>
                <w:szCs w:val="18"/>
                <w:color w:val="auto"/>
              </w:rPr>
              <w:t>Manager, Derivatives Operations</w:t>
            </w:r>
          </w:p>
        </w:tc>
      </w:tr>
      <w:tr>
        <w:trPr>
          <w:trHeight w:val="216"/>
        </w:trPr>
        <w:tc>
          <w:tcPr>
            <w:tcW w:w="1840" w:type="dxa"/>
            <w:vAlign w:val="bottom"/>
          </w:tcPr>
          <w:p>
            <w:pPr>
              <w:ind w:left="660"/>
              <w:spacing w:after="0"/>
              <w:rPr>
                <w:sz w:val="20"/>
                <w:szCs w:val="20"/>
                <w:color w:val="auto"/>
              </w:rPr>
            </w:pPr>
            <w:r>
              <w:rPr>
                <w:rFonts w:ascii="Arial" w:cs="Arial" w:eastAsia="Arial" w:hAnsi="Arial"/>
                <w:sz w:val="18"/>
                <w:szCs w:val="18"/>
                <w:color w:val="auto"/>
              </w:rPr>
              <w:t>Telephone:</w:t>
            </w:r>
          </w:p>
        </w:tc>
        <w:tc>
          <w:tcPr>
            <w:tcW w:w="9620" w:type="dxa"/>
            <w:vAlign w:val="bottom"/>
          </w:tcPr>
          <w:p>
            <w:pPr>
              <w:ind w:left="80"/>
              <w:spacing w:after="0"/>
              <w:rPr>
                <w:sz w:val="20"/>
                <w:szCs w:val="20"/>
                <w:color w:val="auto"/>
              </w:rPr>
            </w:pPr>
            <w:r>
              <w:rPr>
                <w:rFonts w:ascii="Arial" w:cs="Arial" w:eastAsia="Arial" w:hAnsi="Arial"/>
                <w:sz w:val="18"/>
                <w:szCs w:val="18"/>
                <w:color w:val="auto"/>
              </w:rPr>
              <w:t>(416) 552-7904</w:t>
            </w:r>
          </w:p>
        </w:tc>
      </w:tr>
      <w:tr>
        <w:trPr>
          <w:trHeight w:val="230"/>
        </w:trPr>
        <w:tc>
          <w:tcPr>
            <w:tcW w:w="1840" w:type="dxa"/>
            <w:vAlign w:val="bottom"/>
          </w:tcPr>
          <w:p>
            <w:pPr>
              <w:ind w:left="660"/>
              <w:spacing w:after="0"/>
              <w:rPr>
                <w:sz w:val="20"/>
                <w:szCs w:val="20"/>
                <w:color w:val="auto"/>
              </w:rPr>
            </w:pPr>
            <w:r>
              <w:rPr>
                <w:rFonts w:ascii="Arial" w:cs="Arial" w:eastAsia="Arial" w:hAnsi="Arial"/>
                <w:sz w:val="18"/>
                <w:szCs w:val="18"/>
                <w:color w:val="auto"/>
              </w:rPr>
              <w:t>Facsimile:</w:t>
            </w:r>
          </w:p>
        </w:tc>
        <w:tc>
          <w:tcPr>
            <w:tcW w:w="9620" w:type="dxa"/>
            <w:vAlign w:val="bottom"/>
          </w:tcPr>
          <w:p>
            <w:pPr>
              <w:ind w:left="120"/>
              <w:spacing w:after="0"/>
              <w:rPr>
                <w:sz w:val="20"/>
                <w:szCs w:val="20"/>
                <w:color w:val="auto"/>
              </w:rPr>
            </w:pPr>
            <w:r>
              <w:rPr>
                <w:rFonts w:ascii="Arial" w:cs="Arial" w:eastAsia="Arial" w:hAnsi="Arial"/>
                <w:sz w:val="18"/>
                <w:szCs w:val="18"/>
                <w:color w:val="auto"/>
              </w:rPr>
              <w:t>(416) 552-4177</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7"/>
              </w:rPr>
              <w:t>With a copy to:</w:t>
            </w:r>
          </w:p>
        </w:tc>
        <w:tc>
          <w:tcPr>
            <w:tcW w:w="9620" w:type="dxa"/>
            <w:vAlign w:val="bottom"/>
          </w:tcPr>
          <w:p>
            <w:pPr>
              <w:spacing w:after="0"/>
              <w:rPr>
                <w:sz w:val="24"/>
                <w:szCs w:val="24"/>
                <w:color w:val="auto"/>
              </w:rPr>
            </w:pPr>
          </w:p>
        </w:tc>
      </w:tr>
      <w:tr>
        <w:trPr>
          <w:trHeight w:val="418"/>
        </w:trPr>
        <w:tc>
          <w:tcPr>
            <w:tcW w:w="1840" w:type="dxa"/>
            <w:vAlign w:val="bottom"/>
          </w:tcPr>
          <w:p>
            <w:pPr>
              <w:ind w:left="660"/>
              <w:spacing w:after="0"/>
              <w:rPr>
                <w:sz w:val="20"/>
                <w:szCs w:val="20"/>
                <w:color w:val="auto"/>
              </w:rPr>
            </w:pPr>
            <w:r>
              <w:rPr>
                <w:rFonts w:ascii="Arial" w:cs="Arial" w:eastAsia="Arial" w:hAnsi="Arial"/>
                <w:sz w:val="18"/>
                <w:szCs w:val="18"/>
                <w:color w:val="auto"/>
              </w:rPr>
              <w:t>To:</w:t>
            </w:r>
          </w:p>
        </w:tc>
        <w:tc>
          <w:tcPr>
            <w:tcW w:w="9620" w:type="dxa"/>
            <w:vAlign w:val="bottom"/>
          </w:tcPr>
          <w:p>
            <w:pPr>
              <w:ind w:left="100"/>
              <w:spacing w:after="0"/>
              <w:rPr>
                <w:sz w:val="20"/>
                <w:szCs w:val="20"/>
                <w:color w:val="auto"/>
              </w:rPr>
            </w:pPr>
            <w:r>
              <w:rPr>
                <w:rFonts w:ascii="Arial" w:cs="Arial" w:eastAsia="Arial" w:hAnsi="Arial"/>
                <w:sz w:val="18"/>
                <w:szCs w:val="18"/>
                <w:color w:val="auto"/>
              </w:rPr>
              <w:t>Bank of Montreal</w:t>
            </w:r>
          </w:p>
        </w:tc>
      </w:tr>
      <w:tr>
        <w:trPr>
          <w:trHeight w:val="216"/>
        </w:trPr>
        <w:tc>
          <w:tcPr>
            <w:tcW w:w="1840" w:type="dxa"/>
            <w:vAlign w:val="bottom"/>
          </w:tcPr>
          <w:p>
            <w:pPr>
              <w:spacing w:after="0"/>
              <w:rPr>
                <w:sz w:val="18"/>
                <w:szCs w:val="18"/>
                <w:color w:val="auto"/>
              </w:rPr>
            </w:pPr>
          </w:p>
        </w:tc>
        <w:tc>
          <w:tcPr>
            <w:tcW w:w="9620" w:type="dxa"/>
            <w:vAlign w:val="bottom"/>
          </w:tcPr>
          <w:p>
            <w:pPr>
              <w:ind w:left="120"/>
              <w:spacing w:after="0" w:line="216" w:lineRule="exact"/>
              <w:rPr>
                <w:sz w:val="20"/>
                <w:szCs w:val="20"/>
                <w:color w:val="auto"/>
              </w:rPr>
            </w:pPr>
            <w:r>
              <w:rPr>
                <w:rFonts w:ascii="Arial" w:cs="Arial" w:eastAsia="Arial" w:hAnsi="Arial"/>
                <w:sz w:val="18"/>
                <w:szCs w:val="18"/>
                <w:color w:val="auto"/>
              </w:rPr>
              <w:t>100 King Street West,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1840" w:type="dxa"/>
            <w:vAlign w:val="bottom"/>
          </w:tcPr>
          <w:p>
            <w:pPr>
              <w:spacing w:after="0"/>
              <w:rPr>
                <w:sz w:val="18"/>
                <w:szCs w:val="18"/>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rPr>
              <w:t>Toronto, Ontario M5X 1A1</w:t>
            </w:r>
          </w:p>
        </w:tc>
      </w:tr>
      <w:tr>
        <w:trPr>
          <w:trHeight w:val="216"/>
        </w:trPr>
        <w:tc>
          <w:tcPr>
            <w:tcW w:w="1840" w:type="dxa"/>
            <w:vAlign w:val="bottom"/>
          </w:tcPr>
          <w:p>
            <w:pPr>
              <w:spacing w:after="0"/>
              <w:rPr>
                <w:sz w:val="18"/>
                <w:szCs w:val="18"/>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tcPr>
          <w:p>
            <w:pPr>
              <w:ind w:left="660"/>
              <w:spacing w:after="0"/>
              <w:rPr>
                <w:sz w:val="20"/>
                <w:szCs w:val="20"/>
                <w:color w:val="auto"/>
              </w:rPr>
            </w:pPr>
            <w:r>
              <w:rPr>
                <w:rFonts w:ascii="Arial" w:cs="Arial" w:eastAsia="Arial" w:hAnsi="Arial"/>
                <w:sz w:val="18"/>
                <w:szCs w:val="18"/>
                <w:color w:val="auto"/>
              </w:rPr>
              <w:t>Attn:</w:t>
            </w:r>
          </w:p>
        </w:tc>
        <w:tc>
          <w:tcPr>
            <w:tcW w:w="9620" w:type="dxa"/>
            <w:vAlign w:val="bottom"/>
          </w:tcPr>
          <w:p>
            <w:pPr>
              <w:ind w:left="100"/>
              <w:spacing w:after="0"/>
              <w:rPr>
                <w:sz w:val="20"/>
                <w:szCs w:val="20"/>
                <w:color w:val="auto"/>
              </w:rPr>
            </w:pPr>
            <w:r>
              <w:rPr>
                <w:rFonts w:ascii="Arial" w:cs="Arial" w:eastAsia="Arial" w:hAnsi="Arial"/>
                <w:sz w:val="18"/>
                <w:szCs w:val="18"/>
                <w:color w:val="auto"/>
              </w:rPr>
              <w:t>Associate General Counsel &amp; Managing Director, Derivatives Legal Group</w:t>
            </w:r>
          </w:p>
        </w:tc>
      </w:tr>
      <w:tr>
        <w:trPr>
          <w:trHeight w:val="230"/>
        </w:trPr>
        <w:tc>
          <w:tcPr>
            <w:tcW w:w="1840" w:type="dxa"/>
            <w:vAlign w:val="bottom"/>
          </w:tcPr>
          <w:p>
            <w:pPr>
              <w:ind w:left="660"/>
              <w:spacing w:after="0"/>
              <w:rPr>
                <w:sz w:val="20"/>
                <w:szCs w:val="20"/>
                <w:color w:val="auto"/>
              </w:rPr>
            </w:pPr>
            <w:r>
              <w:rPr>
                <w:rFonts w:ascii="Arial" w:cs="Arial" w:eastAsia="Arial" w:hAnsi="Arial"/>
                <w:sz w:val="18"/>
                <w:szCs w:val="18"/>
                <w:color w:val="auto"/>
              </w:rPr>
              <w:t>Facsimile:</w:t>
            </w:r>
          </w:p>
        </w:tc>
        <w:tc>
          <w:tcPr>
            <w:tcW w:w="9620" w:type="dxa"/>
            <w:vAlign w:val="bottom"/>
          </w:tcPr>
          <w:p>
            <w:pPr>
              <w:ind w:left="120"/>
              <w:spacing w:after="0"/>
              <w:rPr>
                <w:sz w:val="20"/>
                <w:szCs w:val="20"/>
                <w:color w:val="auto"/>
              </w:rPr>
            </w:pPr>
            <w:r>
              <w:rPr>
                <w:rFonts w:ascii="Arial" w:cs="Arial" w:eastAsia="Arial" w:hAnsi="Arial"/>
                <w:sz w:val="18"/>
                <w:szCs w:val="18"/>
                <w:color w:val="auto"/>
              </w:rPr>
              <w:t>(416) 956-2318</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rPr>
              <w:t>And a copy to:</w:t>
            </w:r>
          </w:p>
        </w:tc>
        <w:tc>
          <w:tcPr>
            <w:tcW w:w="9620" w:type="dxa"/>
            <w:vAlign w:val="bottom"/>
          </w:tcPr>
          <w:p>
            <w:pPr>
              <w:spacing w:after="0"/>
              <w:rPr>
                <w:sz w:val="24"/>
                <w:szCs w:val="24"/>
                <w:color w:val="auto"/>
              </w:rPr>
            </w:pPr>
          </w:p>
        </w:tc>
      </w:tr>
      <w:tr>
        <w:trPr>
          <w:trHeight w:val="418"/>
        </w:trPr>
        <w:tc>
          <w:tcPr>
            <w:tcW w:w="1840" w:type="dxa"/>
            <w:vAlign w:val="bottom"/>
          </w:tcPr>
          <w:p>
            <w:pPr>
              <w:ind w:left="660"/>
              <w:spacing w:after="0"/>
              <w:rPr>
                <w:sz w:val="20"/>
                <w:szCs w:val="20"/>
                <w:color w:val="auto"/>
              </w:rPr>
            </w:pPr>
            <w:r>
              <w:rPr>
                <w:rFonts w:ascii="Arial" w:cs="Arial" w:eastAsia="Arial" w:hAnsi="Arial"/>
                <w:sz w:val="18"/>
                <w:szCs w:val="18"/>
                <w:color w:val="auto"/>
              </w:rPr>
              <w:t>To:</w:t>
            </w:r>
          </w:p>
        </w:tc>
        <w:tc>
          <w:tcPr>
            <w:tcW w:w="9620" w:type="dxa"/>
            <w:vAlign w:val="bottom"/>
          </w:tcPr>
          <w:p>
            <w:pPr>
              <w:ind w:left="100"/>
              <w:spacing w:after="0"/>
              <w:rPr>
                <w:sz w:val="20"/>
                <w:szCs w:val="20"/>
                <w:color w:val="auto"/>
              </w:rPr>
            </w:pPr>
            <w:r>
              <w:rPr>
                <w:rFonts w:ascii="Arial" w:cs="Arial" w:eastAsia="Arial" w:hAnsi="Arial"/>
                <w:sz w:val="18"/>
                <w:szCs w:val="18"/>
                <w:color w:val="auto"/>
              </w:rPr>
              <w:t>BMO Capital Markets Corp.</w:t>
            </w:r>
          </w:p>
        </w:tc>
      </w:tr>
      <w:tr>
        <w:trPr>
          <w:trHeight w:val="216"/>
        </w:trPr>
        <w:tc>
          <w:tcPr>
            <w:tcW w:w="1840" w:type="dxa"/>
            <w:vAlign w:val="bottom"/>
          </w:tcPr>
          <w:p>
            <w:pPr>
              <w:spacing w:after="0"/>
              <w:rPr>
                <w:sz w:val="18"/>
                <w:szCs w:val="18"/>
                <w:color w:val="auto"/>
              </w:rPr>
            </w:pPr>
          </w:p>
        </w:tc>
        <w:tc>
          <w:tcPr>
            <w:tcW w:w="9620" w:type="dxa"/>
            <w:vAlign w:val="bottom"/>
          </w:tcPr>
          <w:p>
            <w:pPr>
              <w:ind w:left="120"/>
              <w:spacing w:after="0" w:line="216" w:lineRule="exact"/>
              <w:rPr>
                <w:sz w:val="20"/>
                <w:szCs w:val="20"/>
                <w:color w:val="auto"/>
              </w:rPr>
            </w:pPr>
            <w:r>
              <w:rPr>
                <w:rFonts w:ascii="Arial" w:cs="Arial" w:eastAsia="Arial" w:hAnsi="Arial"/>
                <w:sz w:val="18"/>
                <w:szCs w:val="18"/>
                <w:color w:val="auto"/>
              </w:rPr>
              <w:t>3 Times Square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1840" w:type="dxa"/>
            <w:vAlign w:val="bottom"/>
          </w:tcPr>
          <w:p>
            <w:pPr>
              <w:spacing w:after="0"/>
              <w:rPr>
                <w:sz w:val="18"/>
                <w:szCs w:val="18"/>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rPr>
              <w:t>New York, New York 10036</w:t>
            </w:r>
          </w:p>
        </w:tc>
      </w:tr>
      <w:tr>
        <w:trPr>
          <w:trHeight w:val="216"/>
        </w:trPr>
        <w:tc>
          <w:tcPr>
            <w:tcW w:w="1840" w:type="dxa"/>
            <w:vAlign w:val="bottom"/>
          </w:tcPr>
          <w:p>
            <w:pPr>
              <w:ind w:left="660"/>
              <w:spacing w:after="0"/>
              <w:rPr>
                <w:sz w:val="20"/>
                <w:szCs w:val="20"/>
                <w:color w:val="auto"/>
              </w:rPr>
            </w:pPr>
            <w:r>
              <w:rPr>
                <w:rFonts w:ascii="Arial" w:cs="Arial" w:eastAsia="Arial" w:hAnsi="Arial"/>
                <w:sz w:val="18"/>
                <w:szCs w:val="18"/>
                <w:color w:val="auto"/>
              </w:rPr>
              <w:t>Attn:</w:t>
            </w:r>
          </w:p>
        </w:tc>
        <w:tc>
          <w:tcPr>
            <w:tcW w:w="9620" w:type="dxa"/>
            <w:vAlign w:val="bottom"/>
          </w:tcPr>
          <w:p>
            <w:pPr>
              <w:ind w:left="100"/>
              <w:spacing w:after="0"/>
              <w:rPr>
                <w:sz w:val="20"/>
                <w:szCs w:val="20"/>
                <w:color w:val="auto"/>
              </w:rPr>
            </w:pPr>
            <w:r>
              <w:rPr>
                <w:rFonts w:ascii="Arial" w:cs="Arial" w:eastAsia="Arial" w:hAnsi="Arial"/>
                <w:sz w:val="18"/>
                <w:szCs w:val="18"/>
                <w:color w:val="auto"/>
              </w:rPr>
              <w:t>Brian Riley</w:t>
            </w:r>
          </w:p>
        </w:tc>
      </w:tr>
      <w:tr>
        <w:trPr>
          <w:trHeight w:val="216"/>
        </w:trPr>
        <w:tc>
          <w:tcPr>
            <w:tcW w:w="1840" w:type="dxa"/>
            <w:vAlign w:val="bottom"/>
          </w:tcPr>
          <w:p>
            <w:pPr>
              <w:ind w:left="660"/>
              <w:spacing w:after="0"/>
              <w:rPr>
                <w:sz w:val="20"/>
                <w:szCs w:val="20"/>
                <w:color w:val="auto"/>
              </w:rPr>
            </w:pPr>
            <w:r>
              <w:rPr>
                <w:rFonts w:ascii="Arial" w:cs="Arial" w:eastAsia="Arial" w:hAnsi="Arial"/>
                <w:sz w:val="18"/>
                <w:szCs w:val="18"/>
                <w:color w:val="auto"/>
              </w:rPr>
              <w:t>Telephone:</w:t>
            </w:r>
          </w:p>
        </w:tc>
        <w:tc>
          <w:tcPr>
            <w:tcW w:w="9620" w:type="dxa"/>
            <w:vAlign w:val="bottom"/>
          </w:tcPr>
          <w:p>
            <w:pPr>
              <w:ind w:left="80"/>
              <w:spacing w:after="0"/>
              <w:rPr>
                <w:sz w:val="20"/>
                <w:szCs w:val="20"/>
                <w:color w:val="auto"/>
              </w:rPr>
            </w:pPr>
            <w:r>
              <w:rPr>
                <w:rFonts w:ascii="Arial" w:cs="Arial" w:eastAsia="Arial" w:hAnsi="Arial"/>
                <w:sz w:val="18"/>
                <w:szCs w:val="18"/>
                <w:color w:val="auto"/>
              </w:rPr>
              <w:t>(212) 605-1414</w:t>
            </w:r>
          </w:p>
        </w:tc>
      </w:tr>
      <w:tr>
        <w:trPr>
          <w:trHeight w:val="230"/>
        </w:trPr>
        <w:tc>
          <w:tcPr>
            <w:tcW w:w="1840" w:type="dxa"/>
            <w:vAlign w:val="bottom"/>
          </w:tcPr>
          <w:p>
            <w:pPr>
              <w:ind w:left="660"/>
              <w:spacing w:after="0"/>
              <w:rPr>
                <w:sz w:val="20"/>
                <w:szCs w:val="20"/>
                <w:color w:val="auto"/>
              </w:rPr>
            </w:pPr>
            <w:r>
              <w:rPr>
                <w:rFonts w:ascii="Arial" w:cs="Arial" w:eastAsia="Arial" w:hAnsi="Arial"/>
                <w:sz w:val="18"/>
                <w:szCs w:val="18"/>
                <w:color w:val="auto"/>
              </w:rPr>
              <w:t>Facsimile:</w:t>
            </w:r>
          </w:p>
        </w:tc>
        <w:tc>
          <w:tcPr>
            <w:tcW w:w="9620" w:type="dxa"/>
            <w:vAlign w:val="bottom"/>
          </w:tcPr>
          <w:p>
            <w:pPr>
              <w:ind w:left="120"/>
              <w:spacing w:after="0"/>
              <w:rPr>
                <w:sz w:val="20"/>
                <w:szCs w:val="20"/>
                <w:color w:val="auto"/>
              </w:rPr>
            </w:pPr>
            <w:r>
              <w:rPr>
                <w:rFonts w:ascii="Arial" w:cs="Arial" w:eastAsia="Arial" w:hAnsi="Arial"/>
                <w:sz w:val="18"/>
                <w:szCs w:val="18"/>
                <w:color w:val="auto"/>
              </w:rPr>
              <w:t>(212) 885-4165</w:t>
            </w:r>
          </w:p>
        </w:tc>
      </w:tr>
      <w:tr>
        <w:trPr>
          <w:trHeight w:val="432"/>
        </w:trPr>
        <w:tc>
          <w:tcPr>
            <w:tcW w:w="1840" w:type="dxa"/>
            <w:vAlign w:val="bottom"/>
          </w:tcPr>
          <w:p>
            <w:pPr>
              <w:spacing w:after="0"/>
              <w:rPr>
                <w:sz w:val="24"/>
                <w:szCs w:val="24"/>
                <w:color w:val="auto"/>
              </w:rPr>
            </w:pPr>
          </w:p>
        </w:tc>
        <w:tc>
          <w:tcPr>
            <w:tcW w:w="9620" w:type="dxa"/>
            <w:vAlign w:val="bottom"/>
          </w:tcPr>
          <w:p>
            <w:pPr>
              <w:ind w:left="3780"/>
              <w:spacing w:after="0"/>
              <w:rPr>
                <w:sz w:val="20"/>
                <w:szCs w:val="20"/>
                <w:color w:val="auto"/>
              </w:rPr>
            </w:pPr>
            <w:r>
              <w:rPr>
                <w:rFonts w:ascii="Arial" w:cs="Arial" w:eastAsia="Arial" w:hAnsi="Arial"/>
                <w:sz w:val="18"/>
                <w:szCs w:val="18"/>
                <w:color w:val="auto"/>
              </w:rPr>
              <w:t>11</w:t>
            </w:r>
          </w:p>
        </w:tc>
      </w:tr>
      <w:tr>
        <w:trPr>
          <w:trHeight w:val="132"/>
        </w:trPr>
        <w:tc>
          <w:tcPr>
            <w:tcW w:w="1840" w:type="dxa"/>
            <w:vAlign w:val="bottom"/>
            <w:tcBorders>
              <w:bottom w:val="single" w:sz="8" w:color="808080"/>
            </w:tcBorders>
          </w:tcPr>
          <w:p>
            <w:pPr>
              <w:spacing w:after="0"/>
              <w:rPr>
                <w:sz w:val="11"/>
                <w:szCs w:val="11"/>
                <w:color w:val="auto"/>
              </w:rPr>
            </w:pPr>
          </w:p>
        </w:tc>
        <w:tc>
          <w:tcPr>
            <w:tcW w:w="9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96" w:name="page297"/>
    <w:bookmarkEnd w:id="296"/>
    <w:p>
      <w:pPr>
        <w:ind w:left="232" w:hanging="232"/>
        <w:spacing w:after="0"/>
        <w:tabs>
          <w:tab w:leader="none" w:pos="232"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500" w:firstLine="656"/>
        <w:spacing w:after="0" w:line="277" w:lineRule="auto"/>
        <w:tabs>
          <w:tab w:leader="none" w:pos="1286"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52" w:right="40" w:firstLine="645"/>
        <w:spacing w:after="0" w:line="255" w:lineRule="auto"/>
        <w:tabs>
          <w:tab w:leader="none" w:pos="197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ind w:left="652" w:firstLine="645"/>
        <w:spacing w:after="0" w:line="257" w:lineRule="auto"/>
        <w:tabs>
          <w:tab w:leader="none" w:pos="1979" w:val="left"/>
        </w:tabs>
        <w:numPr>
          <w:ilvl w:val="2"/>
          <w:numId w:val="31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188" w:lineRule="exact"/>
        <w:rPr>
          <w:rFonts w:ascii="Arial" w:cs="Arial" w:eastAsia="Arial" w:hAnsi="Arial"/>
          <w:sz w:val="18"/>
          <w:szCs w:val="18"/>
          <w:color w:val="auto"/>
        </w:rPr>
      </w:pPr>
    </w:p>
    <w:p>
      <w:pPr>
        <w:ind w:left="652" w:right="240" w:firstLine="645"/>
        <w:spacing w:after="0" w:line="297" w:lineRule="auto"/>
        <w:tabs>
          <w:tab w:leader="none" w:pos="1989" w:val="left"/>
        </w:tabs>
        <w:numPr>
          <w:ilvl w:val="2"/>
          <w:numId w:val="319"/>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490.1110 of the Iowa Business Corporation Act as an “interested stockholder”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spacing w:after="0" w:line="158" w:lineRule="exact"/>
        <w:rPr>
          <w:rFonts w:ascii="Arial" w:cs="Arial" w:eastAsia="Arial" w:hAnsi="Arial"/>
          <w:sz w:val="16"/>
          <w:szCs w:val="16"/>
          <w:color w:val="auto"/>
        </w:rPr>
      </w:pPr>
    </w:p>
    <w:p>
      <w:pPr>
        <w:ind w:left="652" w:right="40" w:firstLine="645"/>
        <w:spacing w:after="0" w:line="264" w:lineRule="auto"/>
        <w:tabs>
          <w:tab w:leader="none" w:pos="1965" w:val="left"/>
        </w:tabs>
        <w:numPr>
          <w:ilvl w:val="2"/>
          <w:numId w:val="319"/>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52" w:right="800" w:firstLine="645"/>
        <w:spacing w:after="0" w:line="277" w:lineRule="auto"/>
        <w:tabs>
          <w:tab w:leader="none" w:pos="1956" w:val="left"/>
        </w:tabs>
        <w:numPr>
          <w:ilvl w:val="2"/>
          <w:numId w:val="319"/>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52" w:right="300" w:firstLine="645"/>
        <w:spacing w:after="0" w:line="291" w:lineRule="auto"/>
        <w:tabs>
          <w:tab w:leader="none" w:pos="1965" w:val="left"/>
        </w:tabs>
        <w:numPr>
          <w:ilvl w:val="2"/>
          <w:numId w:val="319"/>
        </w:numPr>
        <w:rPr>
          <w:rFonts w:ascii="Arial" w:cs="Arial" w:eastAsia="Arial" w:hAnsi="Arial"/>
          <w:sz w:val="16"/>
          <w:szCs w:val="16"/>
          <w:color w:val="auto"/>
        </w:rPr>
      </w:pPr>
      <w:r>
        <w:rPr>
          <w:rFonts w:ascii="Arial" w:cs="Arial" w:eastAsia="Arial" w:hAnsi="Arial"/>
          <w:sz w:val="16"/>
          <w:szCs w:val="16"/>
          <w:color w:val="auto"/>
        </w:rPr>
        <w:t>On the Trade Date and the Premium Payment Date (A) the assets of Counterparty at their fair valuation exceed the liabilities of Counterparty, including contingent liabilities, (B) the capital of Counterparty is adequate to conduct the business of Counterparty and</w:t>
      </w:r>
    </w:p>
    <w:p>
      <w:pPr>
        <w:ind w:left="652" w:right="320"/>
        <w:spacing w:after="0" w:line="261" w:lineRule="auto"/>
        <w:rPr>
          <w:rFonts w:ascii="Arial" w:cs="Arial" w:eastAsia="Arial" w:hAnsi="Arial"/>
          <w:sz w:val="16"/>
          <w:szCs w:val="16"/>
          <w:color w:val="auto"/>
        </w:rPr>
      </w:pPr>
      <w:r>
        <w:rPr>
          <w:rFonts w:ascii="Arial" w:cs="Arial" w:eastAsia="Arial" w:hAnsi="Arial"/>
          <w:sz w:val="18"/>
          <w:szCs w:val="18"/>
          <w:color w:val="auto"/>
        </w:rPr>
        <w:t>(C) Counterparty has the ability to pay its debts and obligations as such debts mature and does not intend to, or does not believe that it will, incur debt beyond its ability to pay as such debts mature.</w:t>
      </w:r>
    </w:p>
    <w:p>
      <w:pPr>
        <w:spacing w:after="0" w:line="183" w:lineRule="exact"/>
        <w:rPr>
          <w:rFonts w:ascii="Arial" w:cs="Arial" w:eastAsia="Arial" w:hAnsi="Arial"/>
          <w:sz w:val="16"/>
          <w:szCs w:val="16"/>
          <w:color w:val="auto"/>
        </w:rPr>
      </w:pPr>
    </w:p>
    <w:p>
      <w:pPr>
        <w:ind w:left="652" w:firstLine="645"/>
        <w:spacing w:after="0" w:line="264" w:lineRule="auto"/>
        <w:tabs>
          <w:tab w:leader="none" w:pos="1975" w:val="left"/>
        </w:tabs>
        <w:numPr>
          <w:ilvl w:val="2"/>
          <w:numId w:val="319"/>
        </w:numPr>
        <w:rPr>
          <w:rFonts w:ascii="Arial" w:cs="Arial" w:eastAsia="Arial" w:hAnsi="Arial"/>
          <w:sz w:val="18"/>
          <w:szCs w:val="18"/>
          <w:color w:val="auto"/>
        </w:rPr>
      </w:pPr>
      <w:r>
        <w:rPr>
          <w:rFonts w:ascii="Arial" w:cs="Arial" w:eastAsia="Arial" w:hAnsi="Arial"/>
          <w:sz w:val="18"/>
          <w:szCs w:val="18"/>
          <w:color w:val="auto"/>
        </w:rPr>
        <w:t xml:space="preserve">Counterparty shall not take any action to decrease the number of Available Shares below the Capped Number (each as defined below, but without giving effect to the limitation on adjustments to the Capped Number set forth in the proviso in the first sentence of Section </w:t>
      </w:r>
      <w:r>
        <w:rPr>
          <w:rFonts w:ascii="Arial" w:cs="Arial" w:eastAsia="Arial" w:hAnsi="Arial"/>
          <w:sz w:val="18"/>
          <w:szCs w:val="18"/>
          <w:b w:val="1"/>
          <w:bCs w:val="1"/>
          <w:color w:val="auto"/>
        </w:rPr>
        <w:t>Error!</w:t>
      </w:r>
      <w:r>
        <w:rPr>
          <w:rFonts w:ascii="Arial" w:cs="Arial" w:eastAsia="Arial" w:hAnsi="Arial"/>
          <w:sz w:val="18"/>
          <w:szCs w:val="18"/>
          <w:color w:val="auto"/>
        </w:rPr>
        <w:t xml:space="preserve"> </w:t>
      </w:r>
      <w:r>
        <w:rPr>
          <w:rFonts w:ascii="Arial" w:cs="Arial" w:eastAsia="Arial" w:hAnsi="Arial"/>
          <w:sz w:val="18"/>
          <w:szCs w:val="18"/>
          <w:b w:val="1"/>
          <w:bCs w:val="1"/>
          <w:color w:val="auto"/>
        </w:rPr>
        <w:t>Reference source not found.</w:t>
      </w:r>
      <w:r>
        <w:rPr>
          <w:rFonts w:ascii="Arial" w:cs="Arial" w:eastAsia="Arial" w:hAnsi="Arial"/>
          <w:sz w:val="18"/>
          <w:szCs w:val="18"/>
          <w:color w:val="auto"/>
        </w:rPr>
        <w:t>8(f)).</w:t>
      </w:r>
    </w:p>
    <w:p>
      <w:pPr>
        <w:spacing w:after="0" w:line="181" w:lineRule="exact"/>
        <w:rPr>
          <w:rFonts w:ascii="Arial" w:cs="Arial" w:eastAsia="Arial" w:hAnsi="Arial"/>
          <w:sz w:val="18"/>
          <w:szCs w:val="18"/>
          <w:color w:val="auto"/>
        </w:rPr>
      </w:pPr>
    </w:p>
    <w:p>
      <w:pPr>
        <w:ind w:left="652" w:right="580" w:firstLine="645"/>
        <w:spacing w:after="0" w:line="259" w:lineRule="auto"/>
        <w:tabs>
          <w:tab w:leader="none" w:pos="1984" w:val="left"/>
        </w:tabs>
        <w:numPr>
          <w:ilvl w:val="2"/>
          <w:numId w:val="319"/>
        </w:numPr>
        <w:rPr>
          <w:rFonts w:ascii="Arial" w:cs="Arial" w:eastAsia="Arial" w:hAnsi="Arial"/>
          <w:sz w:val="18"/>
          <w:szCs w:val="18"/>
          <w:color w:val="auto"/>
        </w:rPr>
      </w:pPr>
      <w:r>
        <w:rPr>
          <w:rFonts w:ascii="Arial" w:cs="Arial" w:eastAsia="Arial" w:hAnsi="Arial"/>
          <w:sz w:val="18"/>
          <w:szCs w:val="18"/>
          <w:color w:val="auto"/>
        </w:rPr>
        <w:t>The representations and warranties of Counterparty set forth in Section 3 of the Agreement and Section 1 of the Purchase Agreement dated as of the Trade Date between Goldman Sachs &amp; Co. LLC and BMO Capital Markets Corp. as the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Initial Purchasers and Counterparty (the “</w:t>
      </w:r>
      <w:r>
        <w:rPr>
          <w:rFonts w:ascii="Arial" w:cs="Arial" w:eastAsia="Arial" w:hAnsi="Arial"/>
          <w:sz w:val="18"/>
          <w:szCs w:val="18"/>
          <w:b w:val="1"/>
          <w:bCs w:val="1"/>
          <w:color w:val="auto"/>
        </w:rPr>
        <w:t>Purchase Agreement</w:t>
      </w:r>
      <w:r>
        <w:rPr>
          <w:rFonts w:ascii="Arial" w:cs="Arial" w:eastAsia="Arial" w:hAnsi="Arial"/>
          <w:sz w:val="18"/>
          <w:szCs w:val="18"/>
          <w:color w:val="auto"/>
        </w:rPr>
        <w:t>”) are true and correct as of the Trade Date and the Effective Date and are hereby deemed to be repeated to Dealer as if set forth herein.</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2" w:right="239" w:bottom="1440" w:gutter="0" w:footer="0" w:header="0"/>
        </w:sectPr>
      </w:pPr>
    </w:p>
    <w:bookmarkStart w:id="297" w:name="page298"/>
    <w:bookmarkEnd w:id="297"/>
    <w:p>
      <w:pPr>
        <w:ind w:left="4" w:right="20" w:firstLine="645"/>
        <w:spacing w:after="0" w:line="274" w:lineRule="auto"/>
        <w:tabs>
          <w:tab w:leader="none" w:pos="1317" w:val="left"/>
        </w:tabs>
        <w:numPr>
          <w:ilvl w:val="1"/>
          <w:numId w:val="320"/>
        </w:numPr>
        <w:rPr>
          <w:rFonts w:ascii="Arial" w:cs="Arial" w:eastAsia="Arial" w:hAnsi="Arial"/>
          <w:sz w:val="17"/>
          <w:szCs w:val="17"/>
          <w:color w:val="auto"/>
        </w:rPr>
      </w:pPr>
      <w:r>
        <w:rPr>
          <w:rFonts w:ascii="Arial" w:cs="Arial" w:eastAsia="Arial" w:hAnsi="Arial"/>
          <w:sz w:val="17"/>
          <w:szCs w:val="17"/>
          <w:color w:val="auto"/>
        </w:rPr>
        <w:t>(x) (A) On the Trade Date,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and</w:t>
      </w:r>
    </w:p>
    <w:p>
      <w:pPr>
        <w:ind w:left="4" w:hanging="4"/>
        <w:spacing w:after="0" w:line="270" w:lineRule="auto"/>
        <w:tabs>
          <w:tab w:leader="none" w:pos="28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Arial" w:cs="Arial" w:eastAsia="Arial" w:hAnsi="Arial"/>
          <w:sz w:val="17"/>
          <w:szCs w:val="17"/>
          <w:b w:val="1"/>
          <w:bCs w:val="1"/>
          <w:color w:val="auto"/>
        </w:rPr>
        <w:t>Settlement Period</w:t>
      </w:r>
      <w:r>
        <w:rPr>
          <w:rFonts w:ascii="Arial" w:cs="Arial" w:eastAsia="Arial" w:hAnsi="Arial"/>
          <w:sz w:val="17"/>
          <w:szCs w:val="17"/>
          <w:color w:val="auto"/>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spacing w:after="0" w:line="178" w:lineRule="exact"/>
        <w:rPr>
          <w:rFonts w:ascii="Arial" w:cs="Arial" w:eastAsia="Arial" w:hAnsi="Arial"/>
          <w:sz w:val="17"/>
          <w:szCs w:val="17"/>
          <w:color w:val="auto"/>
        </w:rPr>
      </w:pPr>
    </w:p>
    <w:p>
      <w:pPr>
        <w:ind w:left="4" w:right="160" w:firstLine="645"/>
        <w:spacing w:after="0" w:line="297" w:lineRule="auto"/>
        <w:tabs>
          <w:tab w:leader="none" w:pos="1308" w:val="left"/>
        </w:tabs>
        <w:numPr>
          <w:ilvl w:val="1"/>
          <w:numId w:val="321"/>
        </w:numPr>
        <w:rPr>
          <w:rFonts w:ascii="Arial" w:cs="Arial" w:eastAsia="Arial" w:hAnsi="Arial"/>
          <w:sz w:val="16"/>
          <w:szCs w:val="16"/>
          <w:color w:val="auto"/>
        </w:rPr>
      </w:pPr>
      <w:r>
        <w:rPr>
          <w:rFonts w:ascii="Arial" w:cs="Arial" w:eastAsia="Arial" w:hAnsi="Arial"/>
          <w:sz w:val="16"/>
          <w:szCs w:val="16"/>
          <w:color w:val="auto"/>
        </w:rPr>
        <w:t>(x) On the Trade Date, (y) during the Settlement Period and (z) on any other Exercise Date, neither Counterparty nor any “affiliate” or “affiliated purchaser” (each as defined in Rule 10b-18 of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158" w:lineRule="exact"/>
        <w:rPr>
          <w:rFonts w:ascii="Arial" w:cs="Arial" w:eastAsia="Arial" w:hAnsi="Arial"/>
          <w:sz w:val="16"/>
          <w:szCs w:val="16"/>
          <w:color w:val="auto"/>
        </w:rPr>
      </w:pPr>
    </w:p>
    <w:p>
      <w:pPr>
        <w:ind w:left="4" w:right="140" w:firstLine="645"/>
        <w:spacing w:after="0" w:line="269" w:lineRule="auto"/>
        <w:tabs>
          <w:tab w:leader="none" w:pos="1317" w:val="left"/>
        </w:tabs>
        <w:numPr>
          <w:ilvl w:val="1"/>
          <w:numId w:val="321"/>
        </w:numPr>
        <w:rPr>
          <w:rFonts w:ascii="Arial" w:cs="Arial" w:eastAsia="Arial" w:hAnsi="Arial"/>
          <w:sz w:val="17"/>
          <w:szCs w:val="17"/>
          <w:color w:val="auto"/>
        </w:rPr>
      </w:pPr>
      <w:r>
        <w:rPr>
          <w:rFonts w:ascii="Arial" w:cs="Arial" w:eastAsia="Arial" w:hAnsi="Arial"/>
          <w:sz w:val="17"/>
          <w:szCs w:val="17"/>
          <w:color w:val="auto"/>
        </w:rPr>
        <w:t>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Arial" w:cs="Arial" w:eastAsia="Arial" w:hAnsi="Arial"/>
          <w:sz w:val="17"/>
          <w:szCs w:val="17"/>
          <w:b w:val="1"/>
          <w:bCs w:val="1"/>
          <w:color w:val="auto"/>
        </w:rPr>
        <w:t>Merger Transaction</w:t>
      </w:r>
      <w:r>
        <w:rPr>
          <w:rFonts w:ascii="Arial" w:cs="Arial" w:eastAsia="Arial" w:hAnsi="Arial"/>
          <w:sz w:val="17"/>
          <w:szCs w:val="17"/>
          <w:color w:val="auto"/>
        </w:rPr>
        <w:t>” means any merger, acquisition or similar transaction involving a recapitalization as contemplated by Rule 10b-18(a)(13) (iv) under the Exchange Act.</w:t>
      </w:r>
    </w:p>
    <w:p>
      <w:pPr>
        <w:spacing w:after="0" w:line="179" w:lineRule="exact"/>
        <w:rPr>
          <w:rFonts w:ascii="Arial" w:cs="Arial" w:eastAsia="Arial" w:hAnsi="Arial"/>
          <w:sz w:val="17"/>
          <w:szCs w:val="17"/>
          <w:color w:val="auto"/>
        </w:rPr>
      </w:pPr>
    </w:p>
    <w:p>
      <w:pPr>
        <w:ind w:left="4" w:firstLine="645"/>
        <w:spacing w:after="0" w:line="255" w:lineRule="auto"/>
        <w:tabs>
          <w:tab w:leader="none" w:pos="1327"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spacing w:after="0" w:line="189" w:lineRule="exact"/>
        <w:rPr>
          <w:rFonts w:ascii="Arial" w:cs="Arial" w:eastAsia="Arial" w:hAnsi="Arial"/>
          <w:sz w:val="18"/>
          <w:szCs w:val="18"/>
          <w:color w:val="auto"/>
        </w:rPr>
      </w:pPr>
    </w:p>
    <w:p>
      <w:pPr>
        <w:ind w:left="4" w:right="80" w:firstLine="645"/>
        <w:spacing w:after="0" w:line="286" w:lineRule="auto"/>
        <w:tabs>
          <w:tab w:leader="none" w:pos="1336" w:val="left"/>
        </w:tabs>
        <w:numPr>
          <w:ilvl w:val="1"/>
          <w:numId w:val="321"/>
        </w:numPr>
        <w:rPr>
          <w:rFonts w:ascii="Arial" w:cs="Arial" w:eastAsia="Arial" w:hAnsi="Arial"/>
          <w:sz w:val="17"/>
          <w:szCs w:val="17"/>
          <w:color w:val="auto"/>
        </w:rPr>
      </w:pPr>
      <w:r>
        <w:rPr>
          <w:rFonts w:ascii="Arial" w:cs="Arial" w:eastAsia="Arial" w:hAnsi="Arial"/>
          <w:sz w:val="17"/>
          <w:szCs w:val="17"/>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holding (however defined) or having a right to acquire Shares.</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298" w:name="page299"/>
    <w:bookmarkEnd w:id="298"/>
    <w:p>
      <w:pPr>
        <w:jc w:val="both"/>
        <w:ind w:left="652" w:right="180" w:firstLine="645"/>
        <w:spacing w:after="0" w:line="286" w:lineRule="auto"/>
        <w:tabs>
          <w:tab w:leader="none" w:pos="201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w:t>
      </w:r>
    </w:p>
    <w:p>
      <w:pPr>
        <w:spacing w:after="0" w:line="1" w:lineRule="exact"/>
        <w:rPr>
          <w:rFonts w:ascii="Arial" w:cs="Arial" w:eastAsia="Arial" w:hAnsi="Arial"/>
          <w:sz w:val="16"/>
          <w:szCs w:val="16"/>
          <w:color w:val="auto"/>
        </w:rPr>
      </w:pPr>
    </w:p>
    <w:p>
      <w:pPr>
        <w:ind w:left="652" w:right="420" w:hanging="4"/>
        <w:spacing w:after="0" w:line="261" w:lineRule="auto"/>
        <w:tabs>
          <w:tab w:leader="none" w:pos="93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has total assets of at least $50 million. Counterparty will notify Dealer if the immediately preceding statement contained in this Section 7(a) (xiv) ceases to be true.</w:t>
      </w:r>
    </w:p>
    <w:p>
      <w:pPr>
        <w:spacing w:after="0" w:line="183" w:lineRule="exact"/>
        <w:rPr>
          <w:rFonts w:ascii="Arial" w:cs="Arial" w:eastAsia="Arial" w:hAnsi="Arial"/>
          <w:sz w:val="18"/>
          <w:szCs w:val="18"/>
          <w:color w:val="auto"/>
        </w:rPr>
      </w:pPr>
    </w:p>
    <w:p>
      <w:pPr>
        <w:ind w:left="652" w:right="40" w:firstLine="645"/>
        <w:spacing w:after="0" w:line="272" w:lineRule="auto"/>
        <w:tabs>
          <w:tab w:leader="none" w:pos="2005" w:val="left"/>
        </w:tabs>
        <w:numPr>
          <w:ilvl w:val="1"/>
          <w:numId w:val="323"/>
        </w:numPr>
        <w:rPr>
          <w:rFonts w:ascii="Arial" w:cs="Arial" w:eastAsia="Arial" w:hAnsi="Arial"/>
          <w:sz w:val="17"/>
          <w:szCs w:val="17"/>
          <w:color w:val="auto"/>
        </w:rPr>
      </w:pPr>
      <w:r>
        <w:rPr>
          <w:rFonts w:ascii="Arial" w:cs="Arial" w:eastAsia="Arial" w:hAnsi="Arial"/>
          <w:sz w:val="17"/>
          <w:szCs w:val="17"/>
          <w:color w:val="auto"/>
        </w:rPr>
        <w:t>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31, 2019,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78" w:lineRule="exact"/>
        <w:rPr>
          <w:sz w:val="20"/>
          <w:szCs w:val="20"/>
          <w:color w:val="auto"/>
        </w:rPr>
      </w:pPr>
    </w:p>
    <w:p>
      <w:pPr>
        <w:ind w:left="-8" w:firstLine="656"/>
        <w:spacing w:after="0" w:line="264" w:lineRule="auto"/>
        <w:tabs>
          <w:tab w:leader="none" w:pos="1345" w:val="left"/>
        </w:tabs>
        <w:numPr>
          <w:ilvl w:val="2"/>
          <w:numId w:val="324"/>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left="-8" w:right="40" w:firstLine="656"/>
        <w:spacing w:after="0" w:line="284" w:lineRule="auto"/>
        <w:tabs>
          <w:tab w:leader="none" w:pos="1335" w:val="left"/>
        </w:tabs>
        <w:numPr>
          <w:ilvl w:val="2"/>
          <w:numId w:val="324"/>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w:t>
      </w:r>
    </w:p>
    <w:p>
      <w:pPr>
        <w:spacing w:after="0" w:line="4" w:lineRule="exact"/>
        <w:rPr>
          <w:rFonts w:ascii="Arial" w:cs="Arial" w:eastAsia="Arial" w:hAnsi="Arial"/>
          <w:sz w:val="16"/>
          <w:szCs w:val="16"/>
          <w:color w:val="auto"/>
        </w:rPr>
      </w:pPr>
    </w:p>
    <w:p>
      <w:pPr>
        <w:ind w:left="-8" w:right="60" w:firstLine="8"/>
        <w:spacing w:after="0" w:line="253" w:lineRule="auto"/>
        <w:tabs>
          <w:tab w:leader="none" w:pos="29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Arial" w:cs="Arial" w:eastAsia="Arial" w:hAnsi="Arial"/>
          <w:sz w:val="18"/>
          <w:szCs w:val="18"/>
          <w:color w:val="auto"/>
        </w:rPr>
      </w:pPr>
    </w:p>
    <w:p>
      <w:pPr>
        <w:ind w:left="72" w:right="40" w:firstLine="576"/>
        <w:spacing w:after="0" w:line="255" w:lineRule="auto"/>
        <w:tabs>
          <w:tab w:leader="none" w:pos="1344" w:val="left"/>
        </w:tabs>
        <w:numPr>
          <w:ilvl w:val="2"/>
          <w:numId w:val="325"/>
        </w:numPr>
        <w:rPr>
          <w:rFonts w:ascii="Arial" w:cs="Arial" w:eastAsia="Arial" w:hAnsi="Arial"/>
          <w:sz w:val="18"/>
          <w:szCs w:val="18"/>
          <w:color w:val="auto"/>
        </w:rPr>
      </w:pPr>
      <w:r>
        <w:rPr>
          <w:rFonts w:ascii="Arial" w:cs="Arial" w:eastAsia="Arial" w:hAnsi="Arial"/>
          <w:sz w:val="18"/>
          <w:szCs w:val="18"/>
          <w:color w:val="auto"/>
        </w:rPr>
        <w:t>Each of Dealer and Counterparty agrees and acknowledges that Dealer is a “financial institution” and “financial participant” within the meaning of Sections 101(22) and 101(22A) of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189" w:lineRule="exact"/>
        <w:rPr>
          <w:rFonts w:ascii="Arial" w:cs="Arial" w:eastAsia="Arial" w:hAnsi="Arial"/>
          <w:sz w:val="18"/>
          <w:szCs w:val="18"/>
          <w:color w:val="auto"/>
        </w:rPr>
      </w:pPr>
    </w:p>
    <w:p>
      <w:pPr>
        <w:ind w:left="1352" w:hanging="704"/>
        <w:spacing w:after="0"/>
        <w:tabs>
          <w:tab w:leader="none" w:pos="1352" w:val="left"/>
        </w:tabs>
        <w:numPr>
          <w:ilvl w:val="2"/>
          <w:numId w:val="325"/>
        </w:numPr>
        <w:rPr>
          <w:rFonts w:ascii="Arial" w:cs="Arial" w:eastAsia="Arial" w:hAnsi="Arial"/>
          <w:sz w:val="17"/>
          <w:szCs w:val="17"/>
          <w:color w:val="auto"/>
        </w:rPr>
      </w:pPr>
      <w:r>
        <w:rPr>
          <w:rFonts w:ascii="Arial" w:cs="Arial" w:eastAsia="Arial" w:hAnsi="Arial"/>
          <w:sz w:val="17"/>
          <w:szCs w:val="17"/>
          <w:color w:val="auto"/>
        </w:rPr>
        <w:t>Counterparty shall deliver to Dealer (i) an incumbency certificate, dated as of the Trade Date, of Counterparty in customary form and</w:t>
      </w:r>
    </w:p>
    <w:p>
      <w:pPr>
        <w:spacing w:after="0" w:line="34" w:lineRule="exact"/>
        <w:rPr>
          <w:rFonts w:ascii="Arial" w:cs="Arial" w:eastAsia="Arial" w:hAnsi="Arial"/>
          <w:sz w:val="17"/>
          <w:szCs w:val="17"/>
          <w:color w:val="auto"/>
        </w:rPr>
      </w:pPr>
    </w:p>
    <w:p>
      <w:pPr>
        <w:ind w:left="72" w:right="60" w:firstLine="5"/>
        <w:spacing w:after="0" w:line="281" w:lineRule="auto"/>
        <w:tabs>
          <w:tab w:leader="none" w:pos="337"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an opinion of counsel, dated as of the Trade Date and reasonably acceptable to Dealer in form and substance, with respect to the matters set forth in Section 3(a) of the Agreement and Sections 7(a)(v), 7(a)(xii) and 7(a)(xv) of this Confirmation and such other matters as Dealer may reasonably request and</w:t>
      </w:r>
    </w:p>
    <w:p>
      <w:pPr>
        <w:spacing w:after="0" w:line="1" w:lineRule="exact"/>
        <w:rPr>
          <w:rFonts w:ascii="Arial" w:cs="Arial" w:eastAsia="Arial" w:hAnsi="Arial"/>
          <w:sz w:val="16"/>
          <w:szCs w:val="16"/>
          <w:color w:val="auto"/>
        </w:rPr>
      </w:pPr>
    </w:p>
    <w:p>
      <w:pPr>
        <w:ind w:left="392" w:hanging="315"/>
        <w:spacing w:after="0"/>
        <w:tabs>
          <w:tab w:leader="none" w:pos="392" w:val="left"/>
        </w:tabs>
        <w:numPr>
          <w:ilvl w:val="1"/>
          <w:numId w:val="325"/>
        </w:numPr>
        <w:rPr>
          <w:rFonts w:ascii="Arial" w:cs="Arial" w:eastAsia="Arial" w:hAnsi="Arial"/>
          <w:sz w:val="18"/>
          <w:szCs w:val="18"/>
          <w:color w:val="auto"/>
        </w:rPr>
      </w:pPr>
      <w:r>
        <w:rPr>
          <w:rFonts w:ascii="Arial" w:cs="Arial" w:eastAsia="Arial" w:hAnsi="Arial"/>
          <w:sz w:val="18"/>
          <w:szCs w:val="18"/>
          <w:color w:val="auto"/>
        </w:rPr>
        <w:t>evidence that the listing of the Shares issuable upon exercise or</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2" w:right="2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t>termination of the Warrants on the Exchange has been approved by the Exchange, subject only to official notice of issuance.</w:t>
      </w:r>
    </w:p>
    <w:p>
      <w:pPr>
        <w:spacing w:after="0" w:line="225" w:lineRule="exact"/>
        <w:rPr>
          <w:sz w:val="20"/>
          <w:szCs w:val="20"/>
          <w:color w:val="auto"/>
        </w:rPr>
      </w:pPr>
    </w:p>
    <w:p>
      <w:pPr>
        <w:ind w:left="80" w:right="140" w:firstLine="576"/>
        <w:spacing w:after="0" w:line="312" w:lineRule="auto"/>
        <w:tabs>
          <w:tab w:leader="none" w:pos="136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spacing w:after="0" w:line="142" w:lineRule="exact"/>
        <w:rPr>
          <w:rFonts w:ascii="Arial" w:cs="Arial" w:eastAsia="Arial" w:hAnsi="Arial"/>
          <w:sz w:val="16"/>
          <w:szCs w:val="16"/>
          <w:color w:val="auto"/>
        </w:rPr>
      </w:pPr>
    </w:p>
    <w:p>
      <w:pPr>
        <w:ind w:right="160" w:firstLine="656"/>
        <w:spacing w:after="0" w:line="347" w:lineRule="auto"/>
        <w:tabs>
          <w:tab w:leader="none" w:pos="1353"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Counterparty represents and warrants that 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220" w:firstLine="656"/>
        <w:spacing w:after="0" w:line="277" w:lineRule="auto"/>
        <w:tabs>
          <w:tab w:leader="none" w:pos="135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sz w:val="20"/>
          <w:szCs w:val="20"/>
          <w:color w:val="auto"/>
        </w:rPr>
      </w:pPr>
    </w:p>
    <w:p>
      <w:pPr>
        <w:ind w:left="1020" w:hanging="364"/>
        <w:spacing w:after="0"/>
        <w:tabs>
          <w:tab w:leader="none" w:pos="102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90" w:lineRule="auto"/>
        <w:tabs>
          <w:tab w:leader="none" w:pos="1343" w:val="left"/>
        </w:tabs>
        <w:numPr>
          <w:ilvl w:val="0"/>
          <w:numId w:val="328"/>
        </w:numPr>
        <w:rPr>
          <w:rFonts w:ascii="Arial" w:cs="Arial" w:eastAsia="Arial" w:hAnsi="Arial"/>
          <w:sz w:val="16"/>
          <w:szCs w:val="16"/>
          <w:color w:val="auto"/>
        </w:rPr>
      </w:pPr>
      <w:r>
        <w:rPr>
          <w:rFonts w:ascii="Arial" w:cs="Arial" w:eastAsia="Arial" w:hAnsi="Arial"/>
          <w:sz w:val="16"/>
          <w:szCs w:val="16"/>
          <w:i w:val="1"/>
          <w:iCs w:val="1"/>
          <w:color w:val="auto"/>
        </w:rPr>
        <w:t>Right to Extend</w:t>
      </w:r>
      <w:r>
        <w:rPr>
          <w:rFonts w:ascii="Arial" w:cs="Arial" w:eastAsia="Arial" w:hAnsi="Arial"/>
          <w:sz w:val="16"/>
          <w:szCs w:val="16"/>
          <w:color w:val="auto"/>
        </w:rPr>
        <w:t>. Dealer may postpone or add, in whole or in part, any Expiration Date or Settlement Date or any other date of valuation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w:t>
      </w:r>
    </w:p>
    <w:p>
      <w:pPr>
        <w:spacing w:after="0" w:line="166" w:lineRule="exact"/>
        <w:rPr>
          <w:rFonts w:ascii="Arial" w:cs="Arial" w:eastAsia="Arial" w:hAnsi="Arial"/>
          <w:sz w:val="16"/>
          <w:szCs w:val="16"/>
          <w:color w:val="auto"/>
        </w:rPr>
      </w:pPr>
    </w:p>
    <w:p>
      <w:pPr>
        <w:ind w:right="40" w:firstLine="656"/>
        <w:spacing w:after="0" w:line="286" w:lineRule="auto"/>
        <w:tabs>
          <w:tab w:leader="none" w:pos="1353" w:val="left"/>
        </w:tabs>
        <w:numPr>
          <w:ilvl w:val="0"/>
          <w:numId w:val="328"/>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Counterparty shall owe Dealer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pursuant to Section 6(d)(ii) of the Agreement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Merger Date, Tender Offer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8340" w:type="dxa"/>
            <w:vAlign w:val="bottom"/>
          </w:tcPr>
          <w:p>
            <w:pPr>
              <w:ind w:left="880"/>
              <w:spacing w:after="0"/>
              <w:rPr>
                <w:sz w:val="20"/>
                <w:szCs w:val="20"/>
                <w:color w:val="auto"/>
              </w:rPr>
            </w:pPr>
            <w:r>
              <w:rPr>
                <w:rFonts w:ascii="Arial" w:cs="Arial" w:eastAsia="Arial" w:hAnsi="Arial"/>
                <w:sz w:val="18"/>
                <w:szCs w:val="18"/>
                <w:color w:val="auto"/>
                <w:w w:val="92"/>
              </w:rPr>
              <w:t>If applicable, means that Counterparty shall deliver to Dealer the Share Termination Delivery Property</w:t>
            </w:r>
          </w:p>
        </w:tc>
      </w:tr>
      <w:tr>
        <w:trPr>
          <w:trHeight w:val="216"/>
        </w:trPr>
        <w:tc>
          <w:tcPr>
            <w:tcW w:w="3120" w:type="dxa"/>
            <w:vAlign w:val="bottom"/>
          </w:tcPr>
          <w:p>
            <w:pPr>
              <w:spacing w:after="0"/>
              <w:rPr>
                <w:sz w:val="18"/>
                <w:szCs w:val="18"/>
                <w:color w:val="auto"/>
              </w:rPr>
            </w:pPr>
          </w:p>
        </w:tc>
        <w:tc>
          <w:tcPr>
            <w:tcW w:w="8340" w:type="dxa"/>
            <w:vAlign w:val="bottom"/>
          </w:tcPr>
          <w:p>
            <w:pPr>
              <w:ind w:left="880"/>
              <w:spacing w:after="0"/>
              <w:rPr>
                <w:sz w:val="20"/>
                <w:szCs w:val="20"/>
                <w:color w:val="auto"/>
              </w:rPr>
            </w:pPr>
            <w:r>
              <w:rPr>
                <w:rFonts w:ascii="Arial" w:cs="Arial" w:eastAsia="Arial" w:hAnsi="Arial"/>
                <w:sz w:val="18"/>
                <w:szCs w:val="18"/>
                <w:color w:val="auto"/>
                <w:w w:val="94"/>
              </w:rPr>
              <w:t>on the date on which the Payment Obligation would otherwise be due pursuant to Section 6(d)(ii) of</w:t>
            </w:r>
          </w:p>
        </w:tc>
      </w:tr>
      <w:tr>
        <w:trPr>
          <w:trHeight w:val="212"/>
        </w:trPr>
        <w:tc>
          <w:tcPr>
            <w:tcW w:w="3120" w:type="dxa"/>
            <w:vAlign w:val="bottom"/>
          </w:tcPr>
          <w:p>
            <w:pPr>
              <w:spacing w:after="0"/>
              <w:rPr>
                <w:sz w:val="18"/>
                <w:szCs w:val="18"/>
                <w:color w:val="auto"/>
              </w:rPr>
            </w:pPr>
          </w:p>
        </w:tc>
        <w:tc>
          <w:tcPr>
            <w:tcW w:w="8340" w:type="dxa"/>
            <w:vAlign w:val="bottom"/>
          </w:tcPr>
          <w:p>
            <w:pPr>
              <w:ind w:left="880"/>
              <w:spacing w:after="0"/>
              <w:rPr>
                <w:sz w:val="20"/>
                <w:szCs w:val="20"/>
                <w:color w:val="auto"/>
              </w:rPr>
            </w:pPr>
            <w:r>
              <w:rPr>
                <w:rFonts w:ascii="Arial" w:cs="Arial" w:eastAsia="Arial" w:hAnsi="Arial"/>
                <w:sz w:val="18"/>
                <w:szCs w:val="18"/>
                <w:color w:val="auto"/>
                <w:w w:val="94"/>
              </w:rPr>
              <w:t>the Agreement, or such later date or dates as the Calculation Agent may reasonably determine (the</w:t>
            </w:r>
          </w:p>
        </w:tc>
      </w:tr>
      <w:tr>
        <w:trPr>
          <w:trHeight w:val="234"/>
        </w:trPr>
        <w:tc>
          <w:tcPr>
            <w:tcW w:w="3120" w:type="dxa"/>
            <w:vAlign w:val="bottom"/>
          </w:tcPr>
          <w:p>
            <w:pPr>
              <w:spacing w:after="0"/>
              <w:rPr>
                <w:sz w:val="20"/>
                <w:szCs w:val="20"/>
                <w:color w:val="auto"/>
              </w:rPr>
            </w:pPr>
          </w:p>
        </w:tc>
        <w:tc>
          <w:tcPr>
            <w:tcW w:w="8340" w:type="dxa"/>
            <w:vAlign w:val="bottom"/>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Termination Payment Date</w:t>
            </w:r>
            <w:r>
              <w:rPr>
                <w:rFonts w:ascii="Arial" w:cs="Arial" w:eastAsia="Arial" w:hAnsi="Arial"/>
                <w:sz w:val="18"/>
                <w:szCs w:val="18"/>
                <w:color w:val="auto"/>
              </w:rPr>
              <w:t>”), in</w:t>
            </w:r>
          </w:p>
        </w:tc>
      </w:tr>
      <w:tr>
        <w:trPr>
          <w:trHeight w:val="432"/>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Arial" w:cs="Arial" w:eastAsia="Arial" w:hAnsi="Arial"/>
                <w:sz w:val="18"/>
                <w:szCs w:val="18"/>
                <w:color w:val="auto"/>
              </w:rPr>
              <w:t>15</w:t>
            </w:r>
          </w:p>
        </w:tc>
      </w:tr>
      <w:tr>
        <w:trPr>
          <w:trHeight w:val="132"/>
        </w:trPr>
        <w:tc>
          <w:tcPr>
            <w:tcW w:w="3120" w:type="dxa"/>
            <w:vAlign w:val="bottom"/>
            <w:tcBorders>
              <w:bottom w:val="single" w:sz="8" w:color="808080"/>
            </w:tcBorders>
          </w:tcPr>
          <w:p>
            <w:pPr>
              <w:spacing w:after="0"/>
              <w:rPr>
                <w:sz w:val="11"/>
                <w:szCs w:val="11"/>
                <w:color w:val="auto"/>
              </w:rPr>
            </w:pPr>
          </w:p>
        </w:tc>
        <w:tc>
          <w:tcPr>
            <w:tcW w:w="8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00" w:name="page301"/>
    <w:bookmarkEnd w:id="300"/>
    <w:p>
      <w:pPr>
        <w:ind w:left="4020"/>
        <w:spacing w:after="0"/>
        <w:rPr>
          <w:sz w:val="20"/>
          <w:szCs w:val="20"/>
          <w:color w:val="auto"/>
        </w:rPr>
      </w:pPr>
      <w:r>
        <w:rPr>
          <w:rFonts w:ascii="Arial" w:cs="Arial" w:eastAsia="Arial" w:hAnsi="Arial"/>
          <w:sz w:val="16"/>
          <w:szCs w:val="16"/>
          <w:color w:val="auto"/>
        </w:rPr>
        <w:t>satisfaction of the Payment Obligation.</w:t>
      </w:r>
    </w:p>
    <w:p>
      <w:pPr>
        <w:sectPr>
          <w:pgSz w:w="11900" w:h="16838" w:orient="portrait"/>
          <w:cols w:equalWidth="0" w:num="1">
            <w:col w:w="11380"/>
          </w:cols>
          <w:pgMar w:left="240" w:top="341" w:right="2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Delivery Property: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 number of Share Termination Delivery Units, as calculated by the</w:t>
      </w:r>
    </w:p>
    <w:p>
      <w:pPr>
        <w:spacing w:after="0" w:line="200" w:lineRule="exact"/>
        <w:rPr>
          <w:sz w:val="20"/>
          <w:szCs w:val="20"/>
          <w:color w:val="auto"/>
        </w:rPr>
      </w:pPr>
    </w:p>
    <w:p>
      <w:pPr>
        <w:sectPr>
          <w:pgSz w:w="11900" w:h="16838" w:orient="portrait"/>
          <w:cols w:equalWidth="0" w:num="2">
            <w:col w:w="3300" w:space="720"/>
            <w:col w:w="7360"/>
          </w:cols>
          <w:pgMar w:left="240" w:top="341" w:right="279" w:bottom="1440" w:gutter="0" w:footer="0" w:header="0"/>
          <w:type w:val="continuous"/>
        </w:sectPr>
      </w:pPr>
    </w:p>
    <w:p>
      <w:pPr>
        <w:spacing w:after="0" w:line="48" w:lineRule="exact"/>
        <w:rPr>
          <w:sz w:val="20"/>
          <w:szCs w:val="20"/>
          <w:color w:val="auto"/>
        </w:rPr>
      </w:pPr>
    </w:p>
    <w:p>
      <w:pPr>
        <w:ind w:left="4020" w:right="20"/>
        <w:spacing w:after="0" w:line="257" w:lineRule="auto"/>
        <w:rPr>
          <w:sz w:val="20"/>
          <w:szCs w:val="20"/>
          <w:color w:val="auto"/>
        </w:rPr>
      </w:pPr>
      <w:r>
        <w:rPr>
          <w:rFonts w:ascii="Arial" w:cs="Arial" w:eastAsia="Arial" w:hAnsi="Arial"/>
          <w:sz w:val="18"/>
          <w:szCs w:val="18"/>
          <w:color w:val="auto"/>
        </w:rPr>
        <w:t>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p>
      <w:pPr>
        <w:sectPr>
          <w:pgSz w:w="11900" w:h="16838" w:orient="portrait"/>
          <w:cols w:equalWidth="0" w:num="1">
            <w:col w:w="11380"/>
          </w:cols>
          <w:pgMar w:left="240" w:top="341" w:right="27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p>
      <w:pPr>
        <w:spacing w:after="0" w:line="187" w:lineRule="exact"/>
        <w:rPr>
          <w:sz w:val="20"/>
          <w:szCs w:val="20"/>
          <w:color w:val="auto"/>
        </w:rPr>
      </w:pPr>
    </w:p>
    <w:p>
      <w:pPr>
        <w:sectPr>
          <w:pgSz w:w="11900" w:h="16838" w:orient="portrait"/>
          <w:cols w:equalWidth="0" w:num="2">
            <w:col w:w="3300" w:space="720"/>
            <w:col w:w="7360"/>
          </w:cols>
          <w:pgMar w:left="240" w:top="341" w:right="27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p>
      <w:pPr>
        <w:spacing w:after="0" w:line="166" w:lineRule="exact"/>
        <w:rPr>
          <w:sz w:val="20"/>
          <w:szCs w:val="20"/>
          <w:color w:val="auto"/>
        </w:rPr>
      </w:pPr>
    </w:p>
    <w:p>
      <w:pPr>
        <w:sectPr>
          <w:pgSz w:w="11900" w:h="16838" w:orient="portrait"/>
          <w:cols w:equalWidth="0" w:num="2">
            <w:col w:w="3300" w:space="720"/>
            <w:col w:w="7360"/>
          </w:cols>
          <w:pgMar w:left="240" w:top="341" w:right="279" w:bottom="1440" w:gutter="0" w:footer="0" w:header="0"/>
          <w:type w:val="continuous"/>
        </w:sect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3300" w:space="720"/>
            <w:col w:w="7360"/>
          </w:cols>
          <w:pgMar w:left="240" w:top="341"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p>
      <w:pPr>
        <w:spacing w:after="0" w:line="169" w:lineRule="exact"/>
        <w:rPr>
          <w:sz w:val="20"/>
          <w:szCs w:val="20"/>
          <w:color w:val="auto"/>
        </w:rPr>
      </w:pPr>
    </w:p>
    <w:p>
      <w:pPr>
        <w:sectPr>
          <w:pgSz w:w="11900" w:h="16838" w:orient="portrait"/>
          <w:cols w:equalWidth="0" w:num="2">
            <w:col w:w="3300" w:space="720"/>
            <w:col w:w="7360"/>
          </w:cols>
          <w:pgMar w:left="240" w:top="341" w:right="279" w:bottom="1440" w:gutter="0" w:footer="0" w:header="0"/>
          <w:type w:val="continuous"/>
        </w:sectPr>
      </w:pPr>
    </w:p>
    <w:p>
      <w:pPr>
        <w:ind w:right="40" w:firstLine="656"/>
        <w:spacing w:after="0" w:line="255" w:lineRule="auto"/>
        <w:tabs>
          <w:tab w:leader="none" w:pos="1433" w:val="left"/>
        </w:tabs>
        <w:numPr>
          <w:ilvl w:val="0"/>
          <w:numId w:val="329"/>
        </w:numPr>
        <w:rPr>
          <w:rFonts w:ascii="Arial" w:cs="Arial" w:eastAsia="Arial" w:hAnsi="Arial"/>
          <w:sz w:val="18"/>
          <w:szCs w:val="18"/>
          <w:color w:val="auto"/>
        </w:rPr>
      </w:pPr>
      <w:r>
        <w:rPr>
          <w:rFonts w:ascii="Arial" w:cs="Arial" w:eastAsia="Arial" w:hAnsi="Arial"/>
          <w:sz w:val="18"/>
          <w:szCs w:val="18"/>
          <w:i w:val="1"/>
          <w:iCs w:val="1"/>
          <w:color w:val="auto"/>
        </w:rPr>
        <w:t>Registration/Private Placement Procedures</w:t>
      </w:r>
      <w:r>
        <w:rPr>
          <w:rFonts w:ascii="Arial" w:cs="Arial" w:eastAsia="Arial" w:hAnsi="Arial"/>
          <w:sz w:val="18"/>
          <w:szCs w:val="18"/>
          <w:color w:val="auto"/>
        </w:rPr>
        <w:t>. (i) With respect to the Transaction, the following provisions shall apply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301" w:name="page302"/>
    <w:bookmarkEnd w:id="301"/>
    <w:p>
      <w:pPr>
        <w:ind w:right="40"/>
        <w:spacing w:after="0" w:line="271" w:lineRule="auto"/>
        <w:rPr>
          <w:sz w:val="20"/>
          <w:szCs w:val="20"/>
          <w:color w:val="auto"/>
        </w:rPr>
      </w:pPr>
      <w:r>
        <w:rPr>
          <w:rFonts w:ascii="Arial" w:cs="Arial" w:eastAsia="Arial" w:hAnsi="Arial"/>
          <w:sz w:val="17"/>
          <w:szCs w:val="17"/>
          <w:color w:val="auto"/>
        </w:rPr>
        <w:t>corresponding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Arial" w:cs="Arial" w:eastAsia="Arial" w:hAnsi="Arial"/>
          <w:sz w:val="17"/>
          <w:szCs w:val="17"/>
          <w:b w:val="1"/>
          <w:bCs w:val="1"/>
          <w:color w:val="auto"/>
        </w:rPr>
        <w:t>Freely Tradeable 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spacing w:after="0" w:line="178" w:lineRule="exact"/>
        <w:rPr>
          <w:sz w:val="20"/>
          <w:szCs w:val="20"/>
          <w:color w:val="auto"/>
        </w:rPr>
      </w:pPr>
    </w:p>
    <w:p>
      <w:pPr>
        <w:ind w:left="1380" w:hanging="724"/>
        <w:spacing w:after="0"/>
        <w:tabs>
          <w:tab w:leader="none" w:pos="13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It shall be a condition to Counterparty’s right to make the election described in clause (c)(i)(A) that:</w:t>
      </w:r>
    </w:p>
    <w:p>
      <w:pPr>
        <w:spacing w:after="0" w:line="225" w:lineRule="exact"/>
        <w:rPr>
          <w:rFonts w:ascii="Arial" w:cs="Arial" w:eastAsia="Arial" w:hAnsi="Arial"/>
          <w:sz w:val="18"/>
          <w:szCs w:val="18"/>
          <w:color w:val="auto"/>
        </w:rPr>
      </w:pPr>
    </w:p>
    <w:p>
      <w:pPr>
        <w:ind w:left="660" w:right="300" w:firstLine="645"/>
        <w:spacing w:after="0" w:line="264" w:lineRule="auto"/>
        <w:tabs>
          <w:tab w:leader="none" w:pos="200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spacing w:after="0" w:line="177" w:lineRule="exact"/>
        <w:rPr>
          <w:rFonts w:ascii="Arial" w:cs="Arial" w:eastAsia="Arial" w:hAnsi="Arial"/>
          <w:sz w:val="18"/>
          <w:szCs w:val="18"/>
          <w:color w:val="auto"/>
        </w:rPr>
      </w:pPr>
    </w:p>
    <w:p>
      <w:pPr>
        <w:ind w:left="660" w:firstLine="645"/>
        <w:spacing w:after="0" w:line="271" w:lineRule="auto"/>
        <w:tabs>
          <w:tab w:leader="none" w:pos="1998" w:val="left"/>
        </w:tabs>
        <w:numPr>
          <w:ilvl w:val="1"/>
          <w:numId w:val="330"/>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Counterparty shall enter into an agreement (a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commercially reasonable terms in connection with the public resale of such Shares or Share Termination Delivery Units, as the case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spacing w:after="0" w:line="178" w:lineRule="exact"/>
        <w:rPr>
          <w:rFonts w:ascii="Arial" w:cs="Arial" w:eastAsia="Arial" w:hAnsi="Arial"/>
          <w:sz w:val="17"/>
          <w:szCs w:val="17"/>
          <w:color w:val="auto"/>
        </w:rPr>
      </w:pPr>
    </w:p>
    <w:p>
      <w:pPr>
        <w:ind w:left="1380" w:hanging="724"/>
        <w:spacing w:after="0"/>
        <w:tabs>
          <w:tab w:leader="none" w:pos="13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If Counterparty makes the election described in clause (c)(i)(B) above:</w:t>
      </w:r>
    </w:p>
    <w:p>
      <w:pPr>
        <w:spacing w:after="0" w:line="225" w:lineRule="exact"/>
        <w:rPr>
          <w:rFonts w:ascii="Arial" w:cs="Arial" w:eastAsia="Arial" w:hAnsi="Arial"/>
          <w:sz w:val="18"/>
          <w:szCs w:val="18"/>
          <w:color w:val="auto"/>
        </w:rPr>
      </w:pPr>
    </w:p>
    <w:p>
      <w:pPr>
        <w:ind w:left="660" w:right="100" w:firstLine="645"/>
        <w:spacing w:after="0" w:line="273" w:lineRule="auto"/>
        <w:tabs>
          <w:tab w:leader="none" w:pos="2008" w:val="left"/>
        </w:tabs>
        <w:numPr>
          <w:ilvl w:val="1"/>
          <w:numId w:val="330"/>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spacing w:after="0" w:line="174" w:lineRule="exact"/>
        <w:rPr>
          <w:rFonts w:ascii="Arial" w:cs="Arial" w:eastAsia="Arial" w:hAnsi="Arial"/>
          <w:sz w:val="17"/>
          <w:szCs w:val="17"/>
          <w:color w:val="auto"/>
        </w:rPr>
      </w:pPr>
    </w:p>
    <w:p>
      <w:pPr>
        <w:ind w:left="660" w:firstLine="645"/>
        <w:spacing w:after="0" w:line="272" w:lineRule="auto"/>
        <w:tabs>
          <w:tab w:leader="none" w:pos="1998" w:val="left"/>
        </w:tabs>
        <w:numPr>
          <w:ilvl w:val="1"/>
          <w:numId w:val="330"/>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Counterparty shall enter into an agreement (a “</w:t>
      </w:r>
      <w:r>
        <w:rPr>
          <w:rFonts w:ascii="Arial" w:cs="Arial" w:eastAsia="Arial" w:hAnsi="Arial"/>
          <w:sz w:val="17"/>
          <w:szCs w:val="17"/>
          <w:b w:val="1"/>
          <w:bCs w:val="1"/>
          <w:color w:val="auto"/>
        </w:rPr>
        <w:t>Private Placement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commercially reasonable terms in connection with the private placement of such Shares or Share Termination Delivery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02" w:name="page303"/>
    <w:bookmarkEnd w:id="302"/>
    <w:p>
      <w:pPr>
        <w:ind w:left="620" w:right="380"/>
        <w:spacing w:after="0" w:line="302" w:lineRule="auto"/>
        <w:rPr>
          <w:sz w:val="20"/>
          <w:szCs w:val="20"/>
          <w:color w:val="auto"/>
        </w:rPr>
      </w:pPr>
      <w:r>
        <w:rPr>
          <w:rFonts w:ascii="Arial" w:cs="Arial" w:eastAsia="Arial" w:hAnsi="Arial"/>
          <w:sz w:val="16"/>
          <w:szCs w:val="16"/>
          <w:color w:val="auto"/>
        </w:rPr>
        <w:t>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spacing w:after="0" w:line="154" w:lineRule="exact"/>
        <w:rPr>
          <w:sz w:val="20"/>
          <w:szCs w:val="20"/>
          <w:color w:val="auto"/>
        </w:rPr>
      </w:pPr>
    </w:p>
    <w:p>
      <w:pPr>
        <w:ind w:left="620" w:right="80" w:firstLine="645"/>
        <w:spacing w:after="0" w:line="272" w:lineRule="auto"/>
        <w:tabs>
          <w:tab w:leader="none" w:pos="1958" w:val="left"/>
        </w:tabs>
        <w:numPr>
          <w:ilvl w:val="1"/>
          <w:numId w:val="331"/>
        </w:numPr>
        <w:rPr>
          <w:rFonts w:ascii="Arial" w:cs="Arial" w:eastAsia="Arial" w:hAnsi="Arial"/>
          <w:sz w:val="17"/>
          <w:szCs w:val="17"/>
          <w:color w:val="auto"/>
        </w:rPr>
      </w:pPr>
      <w:r>
        <w:rPr>
          <w:rFonts w:ascii="Arial" w:cs="Arial" w:eastAsia="Arial" w:hAnsi="Arial"/>
          <w:sz w:val="17"/>
          <w:szCs w:val="17"/>
          <w:color w:val="auto"/>
        </w:rPr>
        <w:t>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spacing w:after="0" w:line="177" w:lineRule="exact"/>
        <w:rPr>
          <w:rFonts w:ascii="Arial" w:cs="Arial" w:eastAsia="Arial" w:hAnsi="Arial"/>
          <w:sz w:val="17"/>
          <w:szCs w:val="17"/>
          <w:color w:val="auto"/>
        </w:rPr>
      </w:pPr>
    </w:p>
    <w:p>
      <w:pPr>
        <w:ind w:left="620" w:right="20" w:firstLine="645"/>
        <w:spacing w:after="0" w:line="279" w:lineRule="auto"/>
        <w:tabs>
          <w:tab w:leader="none" w:pos="1968" w:val="left"/>
        </w:tabs>
        <w:numPr>
          <w:ilvl w:val="1"/>
          <w:numId w:val="331"/>
        </w:numPr>
        <w:rPr>
          <w:rFonts w:ascii="Arial" w:cs="Arial" w:eastAsia="Arial" w:hAnsi="Arial"/>
          <w:sz w:val="17"/>
          <w:szCs w:val="17"/>
          <w:color w:val="auto"/>
        </w:rPr>
      </w:pPr>
      <w:r>
        <w:rPr>
          <w:rFonts w:ascii="Arial" w:cs="Arial" w:eastAsia="Arial" w:hAnsi="Arial"/>
          <w:sz w:val="17"/>
          <w:szCs w:val="17"/>
          <w:color w:val="auto"/>
        </w:rPr>
        <w:t>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spacing w:after="0" w:line="171" w:lineRule="exact"/>
        <w:rPr>
          <w:rFonts w:ascii="Arial" w:cs="Arial" w:eastAsia="Arial" w:hAnsi="Arial"/>
          <w:sz w:val="17"/>
          <w:szCs w:val="17"/>
          <w:color w:val="auto"/>
        </w:rPr>
      </w:pPr>
    </w:p>
    <w:p>
      <w:pPr>
        <w:ind w:left="-40" w:firstLine="656"/>
        <w:spacing w:after="0" w:line="286" w:lineRule="auto"/>
        <w:tabs>
          <w:tab w:leader="none" w:pos="1403"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Make-whole Shares</w:t>
      </w:r>
      <w:r>
        <w:rPr>
          <w:rFonts w:ascii="Arial" w:cs="Arial" w:eastAsia="Arial" w:hAnsi="Arial"/>
          <w:sz w:val="16"/>
          <w:szCs w:val="16"/>
          <w:color w:val="auto"/>
        </w:rPr>
        <w:t>. If Counterparty makes the election described in clause (i)(B) of paragraph (c) of this Section 8, then Dealer or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may sell (which sale shall be made in a commercially reasonable manner) such Shares or Share Termination Delivery Units, as the case may be,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 (without giving effect to any extension thereof pursuant to the immediately succeeding sentence), the amount of such excess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in cash or in a number of additional Shares or Share Termination Delivery Units, as the case may be, (“</w:t>
      </w:r>
      <w:r>
        <w:rPr>
          <w:rFonts w:ascii="Arial" w:cs="Arial" w:eastAsia="Arial" w:hAnsi="Arial"/>
          <w:sz w:val="16"/>
          <w:szCs w:val="16"/>
          <w:b w:val="1"/>
          <w:bCs w:val="1"/>
          <w:color w:val="auto"/>
        </w:rPr>
        <w:t>Make-whole Shares</w:t>
      </w:r>
      <w:r>
        <w:rPr>
          <w:rFonts w:ascii="Arial" w:cs="Arial" w:eastAsia="Arial" w:hAnsi="Arial"/>
          <w:sz w:val="16"/>
          <w:szCs w:val="16"/>
          <w:color w:val="auto"/>
        </w:rPr>
        <w:t>”) in an amount that,</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spacing w:after="0" w:line="174" w:lineRule="exact"/>
        <w:rPr>
          <w:rFonts w:ascii="Arial" w:cs="Arial" w:eastAsia="Arial" w:hAnsi="Arial"/>
          <w:sz w:val="16"/>
          <w:szCs w:val="16"/>
          <w:color w:val="auto"/>
        </w:rPr>
      </w:pPr>
    </w:p>
    <w:p>
      <w:pPr>
        <w:ind w:left="-40" w:right="100" w:firstLine="656"/>
        <w:spacing w:after="0" w:line="270" w:lineRule="auto"/>
        <w:tabs>
          <w:tab w:leader="none" w:pos="1393" w:val="left"/>
        </w:tabs>
        <w:numPr>
          <w:ilvl w:val="0"/>
          <w:numId w:val="332"/>
        </w:numPr>
        <w:rPr>
          <w:rFonts w:ascii="Arial" w:cs="Arial" w:eastAsia="Arial" w:hAnsi="Arial"/>
          <w:sz w:val="17"/>
          <w:szCs w:val="17"/>
          <w:color w:val="auto"/>
        </w:rPr>
      </w:pPr>
      <w:r>
        <w:rPr>
          <w:rFonts w:ascii="Arial" w:cs="Arial" w:eastAsia="Arial" w:hAnsi="Arial"/>
          <w:sz w:val="17"/>
          <w:szCs w:val="17"/>
          <w:i w:val="1"/>
          <w:iCs w:val="1"/>
          <w:color w:val="auto"/>
        </w:rPr>
        <w:t>Beneficial Ownership</w:t>
      </w:r>
      <w:r>
        <w:rPr>
          <w:rFonts w:ascii="Arial" w:cs="Arial" w:eastAsia="Arial" w:hAnsi="Arial"/>
          <w:sz w:val="17"/>
          <w:szCs w:val="17"/>
          <w:color w:val="auto"/>
        </w:rPr>
        <w:t>. Notwithstanding anything to the contrary in the Agreement or this Confirmation, in no event shall Dealer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Arial" w:cs="Arial" w:eastAsia="Arial" w:hAnsi="Arial"/>
          <w:sz w:val="17"/>
          <w:szCs w:val="17"/>
          <w:b w:val="1"/>
          <w:bCs w:val="1"/>
          <w:color w:val="auto"/>
        </w:rPr>
        <w:t>Dealer Group</w:t>
      </w:r>
      <w:r>
        <w:rPr>
          <w:rFonts w:ascii="Arial" w:cs="Arial" w:eastAsia="Arial" w:hAnsi="Arial"/>
          <w:sz w:val="17"/>
          <w:szCs w:val="17"/>
          <w:color w:val="auto"/>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303" w:name="page304"/>
    <w:bookmarkEnd w:id="303"/>
    <w:p>
      <w:pPr>
        <w:ind w:right="120"/>
        <w:spacing w:after="0" w:line="269" w:lineRule="auto"/>
        <w:rPr>
          <w:sz w:val="20"/>
          <w:szCs w:val="20"/>
          <w:color w:val="auto"/>
        </w:rPr>
      </w:pPr>
      <w:r>
        <w:rPr>
          <w:rFonts w:ascii="Arial" w:cs="Arial" w:eastAsia="Arial" w:hAnsi="Arial"/>
          <w:sz w:val="17"/>
          <w:szCs w:val="17"/>
          <w:color w:val="auto"/>
        </w:rPr>
        <w:t>ownership position would be aggregated with that of Dealer or Dealer Group (Dealer, Dealer Group or any such person, a “</w:t>
      </w:r>
      <w:r>
        <w:rPr>
          <w:rFonts w:ascii="Arial" w:cs="Arial" w:eastAsia="Arial" w:hAnsi="Arial"/>
          <w:sz w:val="17"/>
          <w:szCs w:val="17"/>
          <w:b w:val="1"/>
          <w:bCs w:val="1"/>
          <w:color w:val="auto"/>
        </w:rPr>
        <w:t>Dealer Person</w:t>
      </w:r>
      <w:r>
        <w:rPr>
          <w:rFonts w:ascii="Arial" w:cs="Arial" w:eastAsia="Arial" w:hAnsi="Arial"/>
          <w:sz w:val="17"/>
          <w:szCs w:val="17"/>
          <w:color w:val="auto"/>
        </w:rPr>
        <w:t>”) under the Iowa Business Corporation Act or other federal, state or local law, rule, regulation or regulatory order or organizational documents or contracts of Counterparty applicable to ownership of Shares (“</w:t>
      </w:r>
      <w:r>
        <w:rPr>
          <w:rFonts w:ascii="Arial" w:cs="Arial" w:eastAsia="Arial" w:hAnsi="Arial"/>
          <w:sz w:val="17"/>
          <w:szCs w:val="17"/>
          <w:b w:val="1"/>
          <w:bCs w:val="1"/>
          <w:color w:val="auto"/>
        </w:rPr>
        <w:t>Applicable Restrictions</w:t>
      </w:r>
      <w:r>
        <w:rPr>
          <w:rFonts w:ascii="Arial" w:cs="Arial" w:eastAsia="Arial" w:hAnsi="Arial"/>
          <w:sz w:val="17"/>
          <w:szCs w:val="17"/>
          <w:color w:val="auto"/>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1.0% of the number of Shares outstanding on the date of determination (either such condition described in clause (i) or (ii), an “</w:t>
      </w:r>
      <w:r>
        <w:rPr>
          <w:rFonts w:ascii="Arial" w:cs="Arial" w:eastAsia="Arial" w:hAnsi="Arial"/>
          <w:sz w:val="17"/>
          <w:szCs w:val="17"/>
          <w:b w:val="1"/>
          <w:bCs w:val="1"/>
          <w:color w:val="auto"/>
        </w:rPr>
        <w:t>Excess Ownership Position</w:t>
      </w:r>
      <w:r>
        <w:rPr>
          <w:rFonts w:ascii="Arial" w:cs="Arial" w:eastAsia="Arial" w:hAnsi="Arial"/>
          <w:sz w:val="17"/>
          <w:szCs w:val="17"/>
          <w:color w:val="auto"/>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spacing w:after="0" w:line="184" w:lineRule="exact"/>
        <w:rPr>
          <w:sz w:val="20"/>
          <w:szCs w:val="20"/>
          <w:color w:val="auto"/>
        </w:rPr>
      </w:pPr>
    </w:p>
    <w:p>
      <w:pPr>
        <w:ind w:firstLine="656"/>
        <w:spacing w:after="0" w:line="284" w:lineRule="auto"/>
        <w:tabs>
          <w:tab w:leader="none" w:pos="1368" w:val="left"/>
        </w:tabs>
        <w:numPr>
          <w:ilvl w:val="0"/>
          <w:numId w:val="333"/>
        </w:numPr>
        <w:rPr>
          <w:rFonts w:ascii="Arial" w:cs="Arial" w:eastAsia="Arial" w:hAnsi="Arial"/>
          <w:sz w:val="16"/>
          <w:szCs w:val="16"/>
          <w:color w:val="auto"/>
        </w:rPr>
      </w:pPr>
      <w:r>
        <w:rPr>
          <w:rFonts w:ascii="Arial" w:cs="Arial" w:eastAsia="Arial" w:hAnsi="Arial"/>
          <w:sz w:val="16"/>
          <w:szCs w:val="16"/>
          <w:i w:val="1"/>
          <w:iCs w:val="1"/>
          <w:color w:val="auto"/>
        </w:rPr>
        <w:t>Limitations on Settlement by Counterparty</w:t>
      </w:r>
      <w:r>
        <w:rPr>
          <w:rFonts w:ascii="Arial" w:cs="Arial" w:eastAsia="Arial" w:hAnsi="Arial"/>
          <w:sz w:val="16"/>
          <w:szCs w:val="16"/>
          <w:color w:val="auto"/>
        </w:rPr>
        <w:t>. Notwithstanding anything herein or in the Agreement to the contrary (except as set forth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8(f)), in no event shall Counterparty be required to deliver Shares in connection with the Transaction in excess of 4,236,462 Shares, as such number may be adjusted from time to time in accordance with the provisions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adjustment shall cause the Capped Number to exceed the Available Shares (as in effect from time to time), other than as a result of actions of Counterparty or events within Counterparty’s control (the “</w:t>
      </w:r>
      <w:r>
        <w:rPr>
          <w:rFonts w:ascii="Arial" w:cs="Arial" w:eastAsia="Arial" w:hAnsi="Arial"/>
          <w:sz w:val="16"/>
          <w:szCs w:val="16"/>
          <w:b w:val="1"/>
          <w:bCs w:val="1"/>
          <w:color w:val="auto"/>
        </w:rPr>
        <w:t>Capped</w:t>
      </w:r>
      <w:r>
        <w:rPr>
          <w:rFonts w:ascii="Arial" w:cs="Arial" w:eastAsia="Arial" w:hAnsi="Arial"/>
          <w:sz w:val="16"/>
          <w:szCs w:val="16"/>
          <w:color w:val="auto"/>
        </w:rPr>
        <w:t xml:space="preserve"> </w:t>
      </w:r>
      <w:r>
        <w:rPr>
          <w:rFonts w:ascii="Arial" w:cs="Arial" w:eastAsia="Arial" w:hAnsi="Arial"/>
          <w:sz w:val="16"/>
          <w:szCs w:val="16"/>
          <w:b w:val="1"/>
          <w:bCs w:val="1"/>
          <w:color w:val="auto"/>
        </w:rPr>
        <w:t>Number</w:t>
      </w:r>
      <w:r>
        <w:rPr>
          <w:rFonts w:ascii="Arial" w:cs="Arial" w:eastAsia="Arial" w:hAnsi="Arial"/>
          <w:sz w:val="16"/>
          <w:szCs w:val="16"/>
          <w:color w:val="auto"/>
        </w:rPr>
        <w:t>”). Notwithstanding anything to the contrary in the Agreement or the Equity Definitions, such limitation shall not affect the calculation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Obligation (as defined in Section </w:t>
      </w:r>
      <w:r>
        <w:rPr>
          <w:rFonts w:ascii="Arial" w:cs="Arial" w:eastAsia="Arial" w:hAnsi="Arial"/>
          <w:sz w:val="16"/>
          <w:szCs w:val="16"/>
          <w:b w:val="1"/>
          <w:bCs w:val="1"/>
          <w:color w:val="auto"/>
        </w:rPr>
        <w:t>Error! Reference source not found.</w:t>
      </w:r>
      <w:r>
        <w:rPr>
          <w:rFonts w:ascii="Arial" w:cs="Arial" w:eastAsia="Arial" w:hAnsi="Arial"/>
          <w:sz w:val="16"/>
          <w:szCs w:val="16"/>
          <w:color w:val="auto"/>
        </w:rPr>
        <w:t>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Arial" w:cs="Arial" w:eastAsia="Arial" w:hAnsi="Arial"/>
          <w:sz w:val="16"/>
          <w:szCs w:val="16"/>
          <w:b w:val="1"/>
          <w:bCs w:val="1"/>
          <w:color w:val="auto"/>
        </w:rPr>
        <w:t>Available Shares</w:t>
      </w:r>
      <w:r>
        <w:rPr>
          <w:rFonts w:ascii="Arial" w:cs="Arial" w:eastAsia="Arial" w:hAnsi="Arial"/>
          <w:sz w:val="16"/>
          <w:szCs w:val="16"/>
          <w:color w:val="auto"/>
        </w:rPr>
        <w:t>”). In the event Counterparty shall not have delivered the full number of Shares otherwise deliverable as a result of this Section 8(f) (the resulting deficit, the “</w:t>
      </w:r>
      <w:r>
        <w:rPr>
          <w:rFonts w:ascii="Arial" w:cs="Arial" w:eastAsia="Arial" w:hAnsi="Arial"/>
          <w:sz w:val="16"/>
          <w:szCs w:val="16"/>
          <w:b w:val="1"/>
          <w:bCs w:val="1"/>
          <w:color w:val="auto"/>
        </w:rPr>
        <w:t>Deficit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Counterparty shall be continually obligated to deliver Shares, from time to time until the full number of Deficit Shares have been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paragraph, when, 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Arial" w:cs="Arial" w:eastAsia="Arial" w:hAnsi="Arial"/>
          <w:sz w:val="16"/>
          <w:szCs w:val="16"/>
          <w:b w:val="1"/>
          <w:bCs w:val="1"/>
          <w:color w:val="auto"/>
        </w:rPr>
        <w:t>Share Issuance Events</w:t>
      </w:r>
      <w:r>
        <w:rPr>
          <w:rFonts w:ascii="Arial" w:cs="Arial" w:eastAsia="Arial" w:hAnsi="Arial"/>
          <w:sz w:val="16"/>
          <w:szCs w:val="16"/>
          <w:color w:val="auto"/>
        </w:rPr>
        <w:t xml:space="preserve">”). In the event that there are any Deficit Shares 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304" w:name="page305"/>
    <w:bookmarkEnd w:id="304"/>
    <w:p>
      <w:pPr>
        <w:ind w:left="-20" w:right="20" w:firstLine="656"/>
        <w:spacing w:after="0" w:line="255" w:lineRule="auto"/>
        <w:tabs>
          <w:tab w:leader="none" w:pos="1423"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t>Equity Rights</w:t>
      </w:r>
      <w:r>
        <w:rPr>
          <w:rFonts w:ascii="Arial" w:cs="Arial" w:eastAsia="Arial" w:hAnsi="Arial"/>
          <w:sz w:val="18"/>
          <w:szCs w:val="18"/>
          <w:color w:val="auto"/>
        </w:rPr>
        <w:t>. Dealer acknowledges and agrees that this Confirmation is not intended to convey to it rights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93" w:lineRule="exact"/>
        <w:rPr>
          <w:rFonts w:ascii="Arial" w:cs="Arial" w:eastAsia="Arial" w:hAnsi="Arial"/>
          <w:sz w:val="18"/>
          <w:szCs w:val="18"/>
          <w:color w:val="auto"/>
        </w:rPr>
      </w:pPr>
    </w:p>
    <w:p>
      <w:pPr>
        <w:ind w:left="1440" w:hanging="804"/>
        <w:spacing w:after="0"/>
        <w:tabs>
          <w:tab w:leader="none" w:pos="1440"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t>Amendments to Equity Definitions</w:t>
      </w:r>
      <w:r>
        <w:rPr>
          <w:rFonts w:ascii="Arial" w:cs="Arial" w:eastAsia="Arial" w:hAnsi="Arial"/>
          <w:sz w:val="18"/>
          <w:szCs w:val="18"/>
          <w:color w:val="auto"/>
        </w:rPr>
        <w:t>. The following amendments shall be made to the Equity Definitions:</w:t>
      </w:r>
    </w:p>
    <w:p>
      <w:pPr>
        <w:spacing w:after="0" w:line="225" w:lineRule="exact"/>
        <w:rPr>
          <w:rFonts w:ascii="Arial" w:cs="Arial" w:eastAsia="Arial" w:hAnsi="Arial"/>
          <w:sz w:val="18"/>
          <w:szCs w:val="18"/>
          <w:color w:val="auto"/>
        </w:rPr>
      </w:pPr>
    </w:p>
    <w:p>
      <w:pPr>
        <w:ind w:left="640" w:right="100" w:firstLine="645"/>
        <w:spacing w:after="0" w:line="253" w:lineRule="auto"/>
        <w:tabs>
          <w:tab w:leader="none" w:pos="1998"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spacing w:after="0" w:line="197" w:lineRule="exact"/>
        <w:rPr>
          <w:rFonts w:ascii="Arial" w:cs="Arial" w:eastAsia="Arial" w:hAnsi="Arial"/>
          <w:sz w:val="18"/>
          <w:szCs w:val="18"/>
          <w:color w:val="auto"/>
        </w:rPr>
      </w:pPr>
    </w:p>
    <w:p>
      <w:pPr>
        <w:jc w:val="both"/>
        <w:ind w:left="640" w:right="40" w:firstLine="645"/>
        <w:spacing w:after="0" w:line="264" w:lineRule="auto"/>
        <w:tabs>
          <w:tab w:leader="none" w:pos="200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spacing w:after="0" w:line="181" w:lineRule="exact"/>
        <w:rPr>
          <w:rFonts w:ascii="Arial" w:cs="Arial" w:eastAsia="Arial" w:hAnsi="Arial"/>
          <w:sz w:val="18"/>
          <w:szCs w:val="18"/>
          <w:color w:val="auto"/>
        </w:rPr>
      </w:pPr>
    </w:p>
    <w:p>
      <w:pPr>
        <w:jc w:val="both"/>
        <w:ind w:left="640" w:right="500" w:firstLine="645"/>
        <w:spacing w:after="0" w:line="342" w:lineRule="auto"/>
        <w:tabs>
          <w:tab w:leader="none" w:pos="2008" w:val="left"/>
        </w:tabs>
        <w:numPr>
          <w:ilvl w:val="1"/>
          <w:numId w:val="334"/>
        </w:numPr>
        <w:rPr>
          <w:rFonts w:ascii="Arial" w:cs="Arial" w:eastAsia="Arial" w:hAnsi="Arial"/>
          <w:sz w:val="16"/>
          <w:szCs w:val="16"/>
          <w:color w:val="auto"/>
        </w:rPr>
      </w:pPr>
      <w:r>
        <w:rPr>
          <w:rFonts w:ascii="Arial" w:cs="Arial" w:eastAsia="Arial" w:hAnsi="Arial"/>
          <w:sz w:val="16"/>
          <w:szCs w:val="16"/>
          <w:color w:val="auto"/>
        </w:rPr>
        <w:t>Section 12.7(b) of the Equity Definitions is hereby amended by deleting the words “(and in any event within five Exchange Business Days) by the parties after” appearing after the words “agreed promptly” and replacing with the words “by the parties on or prior to”;</w:t>
      </w:r>
    </w:p>
    <w:p>
      <w:pPr>
        <w:spacing w:after="0" w:line="123" w:lineRule="exact"/>
        <w:rPr>
          <w:rFonts w:ascii="Arial" w:cs="Arial" w:eastAsia="Arial" w:hAnsi="Arial"/>
          <w:sz w:val="16"/>
          <w:szCs w:val="16"/>
          <w:color w:val="auto"/>
        </w:rPr>
      </w:pPr>
    </w:p>
    <w:p>
      <w:pPr>
        <w:ind w:left="640" w:right="160" w:firstLine="645"/>
        <w:spacing w:after="0" w:line="291" w:lineRule="auto"/>
        <w:tabs>
          <w:tab w:leader="none" w:pos="1998" w:val="left"/>
        </w:tabs>
        <w:numPr>
          <w:ilvl w:val="1"/>
          <w:numId w:val="334"/>
        </w:numPr>
        <w:rPr>
          <w:rFonts w:ascii="Arial" w:cs="Arial" w:eastAsia="Arial" w:hAnsi="Arial"/>
          <w:sz w:val="16"/>
          <w:szCs w:val="16"/>
          <w:color w:val="auto"/>
        </w:rPr>
      </w:pPr>
      <w:r>
        <w:rPr>
          <w:rFonts w:ascii="Arial" w:cs="Arial" w:eastAsia="Arial" w:hAnsi="Arial"/>
          <w:sz w:val="16"/>
          <w:szCs w:val="16"/>
          <w:color w:val="auto"/>
        </w:rPr>
        <w:t>Section 12.9(b)(iv) of the Equity Definitions is hereby amended by (A) deleting (1) subsection (A) in its entirety, (2) the phrase “or (B)” following subsection (A) and (3) the phrase “in each case” in subsection (B); (B) replacing “will lend” with “lends” in subsection (B); and</w:t>
      </w:r>
    </w:p>
    <w:p>
      <w:pPr>
        <w:ind w:left="640"/>
        <w:spacing w:after="0" w:line="270" w:lineRule="auto"/>
        <w:rPr>
          <w:rFonts w:ascii="Arial" w:cs="Arial" w:eastAsia="Arial" w:hAnsi="Arial"/>
          <w:sz w:val="16"/>
          <w:szCs w:val="16"/>
          <w:color w:val="auto"/>
        </w:rPr>
      </w:pPr>
      <w:r>
        <w:rPr>
          <w:rFonts w:ascii="Arial" w:cs="Arial" w:eastAsia="Arial" w:hAnsi="Arial"/>
          <w:sz w:val="17"/>
          <w:szCs w:val="17"/>
          <w:color w:val="auto"/>
        </w:rPr>
        <w:t>(C) deleting the phrase “neither the Non-Hedging Party nor the Lending Party lends Shares in the amount of the Hedging Shares or” in the penultimate sentence; “</w:t>
      </w:r>
      <w:r>
        <w:rPr>
          <w:rFonts w:ascii="Arial" w:cs="Arial" w:eastAsia="Arial" w:hAnsi="Arial"/>
          <w:sz w:val="17"/>
          <w:szCs w:val="17"/>
          <w:b w:val="1"/>
          <w:bCs w:val="1"/>
          <w:color w:val="auto"/>
        </w:rPr>
        <w:t>Lending Party</w:t>
      </w:r>
      <w:r>
        <w:rPr>
          <w:rFonts w:ascii="Arial" w:cs="Arial" w:eastAsia="Arial" w:hAnsi="Arial"/>
          <w:sz w:val="17"/>
          <w:szCs w:val="17"/>
          <w:color w:val="auto"/>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spacing w:after="0" w:line="178" w:lineRule="exact"/>
        <w:rPr>
          <w:rFonts w:ascii="Arial" w:cs="Arial" w:eastAsia="Arial" w:hAnsi="Arial"/>
          <w:sz w:val="16"/>
          <w:szCs w:val="16"/>
          <w:color w:val="auto"/>
        </w:rPr>
      </w:pPr>
    </w:p>
    <w:p>
      <w:pPr>
        <w:ind w:left="640" w:right="60" w:firstLine="645"/>
        <w:spacing w:after="0" w:line="259" w:lineRule="auto"/>
        <w:tabs>
          <w:tab w:leader="none" w:pos="199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spacing w:after="0" w:line="186" w:lineRule="exact"/>
        <w:rPr>
          <w:rFonts w:ascii="Arial" w:cs="Arial" w:eastAsia="Arial" w:hAnsi="Arial"/>
          <w:sz w:val="18"/>
          <w:szCs w:val="18"/>
          <w:color w:val="auto"/>
        </w:rPr>
      </w:pPr>
    </w:p>
    <w:p>
      <w:pPr>
        <w:ind w:left="-20" w:right="280" w:firstLine="656"/>
        <w:spacing w:after="0" w:line="277" w:lineRule="auto"/>
        <w:tabs>
          <w:tab w:leader="none" w:pos="1518"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t>Transfer and Assignment</w:t>
      </w:r>
      <w:r>
        <w:rPr>
          <w:rFonts w:ascii="Arial" w:cs="Arial" w:eastAsia="Arial" w:hAnsi="Arial"/>
          <w:sz w:val="18"/>
          <w:szCs w:val="18"/>
          <w:color w:val="auto"/>
        </w:rPr>
        <w:t>. Dealer may transfer or assign its rights and obligations hereunder and under the Agreement,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at any time without the consent of Counterparty.</w:t>
      </w:r>
    </w:p>
    <w:p>
      <w:pPr>
        <w:spacing w:after="0" w:line="170" w:lineRule="exact"/>
        <w:rPr>
          <w:rFonts w:ascii="Arial" w:cs="Arial" w:eastAsia="Arial" w:hAnsi="Arial"/>
          <w:sz w:val="18"/>
          <w:szCs w:val="18"/>
          <w:color w:val="auto"/>
        </w:rPr>
      </w:pPr>
    </w:p>
    <w:p>
      <w:pPr>
        <w:ind w:left="-20" w:right="460" w:firstLine="656"/>
        <w:spacing w:after="0" w:line="264" w:lineRule="auto"/>
        <w:tabs>
          <w:tab w:leader="none" w:pos="1518"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color w:val="auto"/>
        </w:rPr>
        <w:t>materials of any kind (including opinions or other tax analyses) that are provided to Counterparty relating to such tax treatment and tax structure.</w:t>
      </w:r>
    </w:p>
    <w:p>
      <w:pPr>
        <w:spacing w:after="0" w:line="237" w:lineRule="exact"/>
        <w:rPr>
          <w:sz w:val="20"/>
          <w:szCs w:val="20"/>
          <w:color w:val="auto"/>
        </w:rPr>
      </w:pPr>
    </w:p>
    <w:p>
      <w:pPr>
        <w:ind w:right="260" w:firstLine="656"/>
        <w:spacing w:after="0" w:line="293" w:lineRule="auto"/>
        <w:tabs>
          <w:tab w:leader="none" w:pos="1353" w:val="left"/>
        </w:tabs>
        <w:numPr>
          <w:ilvl w:val="0"/>
          <w:numId w:val="335"/>
        </w:numPr>
        <w:rPr>
          <w:rFonts w:ascii="Arial" w:cs="Arial" w:eastAsia="Arial" w:hAnsi="Arial"/>
          <w:sz w:val="16"/>
          <w:szCs w:val="16"/>
          <w:color w:val="auto"/>
        </w:rPr>
      </w:pPr>
      <w:r>
        <w:rPr>
          <w:rFonts w:ascii="Arial" w:cs="Arial" w:eastAsia="Arial" w:hAnsi="Arial"/>
          <w:sz w:val="16"/>
          <w:szCs w:val="16"/>
          <w:i w:val="1"/>
          <w:iCs w:val="1"/>
          <w:color w:val="auto"/>
        </w:rPr>
        <w:t>Additional Termination Events</w:t>
      </w:r>
      <w:r>
        <w:rPr>
          <w:rFonts w:ascii="Arial" w:cs="Arial" w:eastAsia="Arial" w:hAnsi="Arial"/>
          <w:sz w:val="16"/>
          <w:szCs w:val="16"/>
          <w:color w:val="auto"/>
        </w:rPr>
        <w:t>. The occurrence of any of the following shall constitute an Additional Termination Event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spacing w:after="0" w:line="164" w:lineRule="exact"/>
        <w:rPr>
          <w:rFonts w:ascii="Arial" w:cs="Arial" w:eastAsia="Arial" w:hAnsi="Arial"/>
          <w:sz w:val="16"/>
          <w:szCs w:val="16"/>
          <w:color w:val="auto"/>
        </w:rPr>
      </w:pPr>
    </w:p>
    <w:p>
      <w:pPr>
        <w:ind w:left="640" w:right="20" w:firstLine="652"/>
        <w:spacing w:after="0" w:line="276" w:lineRule="auto"/>
        <w:tabs>
          <w:tab w:leader="none" w:pos="2043" w:val="left"/>
        </w:tabs>
        <w:numPr>
          <w:ilvl w:val="1"/>
          <w:numId w:val="335"/>
        </w:numPr>
        <w:rPr>
          <w:rFonts w:ascii="Arial" w:cs="Arial" w:eastAsia="Arial" w:hAnsi="Arial"/>
          <w:sz w:val="17"/>
          <w:szCs w:val="17"/>
          <w:color w:val="auto"/>
        </w:rPr>
      </w:pPr>
      <w:r>
        <w:rPr>
          <w:rFonts w:ascii="Arial" w:cs="Arial" w:eastAsia="Arial" w:hAnsi="Arial"/>
          <w:sz w:val="17"/>
          <w:szCs w:val="17"/>
          <w:color w:val="auto"/>
        </w:rPr>
        <w:t>Dealer reasonably determines that it is advisable to terminate a portion of the Transaction so that Dealer’s related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spacing w:after="0" w:line="172" w:lineRule="exact"/>
        <w:rPr>
          <w:rFonts w:ascii="Arial" w:cs="Arial" w:eastAsia="Arial" w:hAnsi="Arial"/>
          <w:sz w:val="17"/>
          <w:szCs w:val="17"/>
          <w:color w:val="auto"/>
        </w:rPr>
      </w:pPr>
    </w:p>
    <w:p>
      <w:pPr>
        <w:ind w:left="640" w:firstLine="652"/>
        <w:spacing w:after="0" w:line="255" w:lineRule="auto"/>
        <w:tabs>
          <w:tab w:leader="none" w:pos="204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spacing w:after="0" w:line="193" w:lineRule="exact"/>
        <w:rPr>
          <w:rFonts w:ascii="Arial" w:cs="Arial" w:eastAsia="Arial" w:hAnsi="Arial"/>
          <w:sz w:val="18"/>
          <w:szCs w:val="18"/>
          <w:color w:val="auto"/>
        </w:rPr>
      </w:pPr>
    </w:p>
    <w:p>
      <w:pPr>
        <w:jc w:val="both"/>
        <w:ind w:left="640" w:right="160" w:firstLine="652"/>
        <w:spacing w:after="0" w:line="264" w:lineRule="auto"/>
        <w:tabs>
          <w:tab w:leader="none" w:pos="2053"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spacing w:after="0" w:line="181" w:lineRule="exact"/>
        <w:rPr>
          <w:rFonts w:ascii="Arial" w:cs="Arial" w:eastAsia="Arial" w:hAnsi="Arial"/>
          <w:sz w:val="18"/>
          <w:szCs w:val="18"/>
          <w:color w:val="auto"/>
        </w:rPr>
      </w:pPr>
    </w:p>
    <w:p>
      <w:pPr>
        <w:ind w:left="640" w:right="80" w:firstLine="652"/>
        <w:spacing w:after="0" w:line="302" w:lineRule="auto"/>
        <w:tabs>
          <w:tab w:leader="none" w:pos="1998" w:val="left"/>
        </w:tabs>
        <w:numPr>
          <w:ilvl w:val="1"/>
          <w:numId w:val="335"/>
        </w:numPr>
        <w:rPr>
          <w:rFonts w:ascii="Arial" w:cs="Arial" w:eastAsia="Arial" w:hAnsi="Arial"/>
          <w:sz w:val="16"/>
          <w:szCs w:val="16"/>
          <w:color w:val="auto"/>
        </w:rPr>
      </w:pPr>
      <w:r>
        <w:rPr>
          <w:rFonts w:ascii="Arial" w:cs="Arial" w:eastAsia="Arial" w:hAnsi="Arial"/>
          <w:sz w:val="16"/>
          <w:szCs w:val="16"/>
          <w:color w:val="auto"/>
        </w:rPr>
        <w:t>(1) any sale, lease or other transfer, in one transaction or a series of transactions, of all or substantially all of the assets of Counterparty and its subsidiaries, taken as a whole, to any 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spacing w:after="0" w:line="154" w:lineRule="exact"/>
        <w:rPr>
          <w:sz w:val="20"/>
          <w:szCs w:val="20"/>
          <w:color w:val="auto"/>
        </w:rPr>
      </w:pPr>
    </w:p>
    <w:p>
      <w:pPr>
        <w:ind w:left="640" w:right="80"/>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notwithstanding the foregoing, any transaction or event set forth in the immediately preceding clause (iv) shall not constitute an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Termination Event if (x)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(y)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6" w:name="page307"/>
    <w:bookmarkEnd w:id="306"/>
    <w:p>
      <w:pPr>
        <w:ind w:left="1940" w:hanging="708"/>
        <w:spacing w:after="0"/>
        <w:tabs>
          <w:tab w:leader="none" w:pos="194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holders of Shares approve any plan or proposal for Counterparty’s liquidation or dissolution (other than in a transaction described</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in (iv) above).</w:t>
      </w:r>
    </w:p>
    <w:p>
      <w:pPr>
        <w:spacing w:after="0" w:line="210" w:lineRule="exact"/>
        <w:rPr>
          <w:rFonts w:ascii="Arial" w:cs="Arial" w:eastAsia="Arial" w:hAnsi="Arial"/>
          <w:sz w:val="16"/>
          <w:szCs w:val="16"/>
          <w:color w:val="auto"/>
        </w:rPr>
      </w:pPr>
    </w:p>
    <w:p>
      <w:pPr>
        <w:ind w:left="-60" w:firstLine="656"/>
        <w:spacing w:after="0" w:line="287" w:lineRule="auto"/>
        <w:tabs>
          <w:tab w:leader="none" w:pos="1298" w:val="left"/>
        </w:tabs>
        <w:numPr>
          <w:ilvl w:val="0"/>
          <w:numId w:val="337"/>
        </w:numPr>
        <w:rPr>
          <w:rFonts w:ascii="Arial" w:cs="Arial" w:eastAsia="Arial" w:hAnsi="Arial"/>
          <w:sz w:val="16"/>
          <w:szCs w:val="16"/>
          <w:color w:val="auto"/>
        </w:rPr>
      </w:pPr>
      <w:r>
        <w:rPr>
          <w:rFonts w:ascii="Arial" w:cs="Arial" w:eastAsia="Arial" w:hAnsi="Arial"/>
          <w:sz w:val="16"/>
          <w:szCs w:val="16"/>
          <w:i w:val="1"/>
          <w:iCs w:val="1"/>
          <w:color w:val="auto"/>
        </w:rPr>
        <w:t>Early Unwind</w:t>
      </w:r>
      <w:r>
        <w:rPr>
          <w:rFonts w:ascii="Arial" w:cs="Arial" w:eastAsia="Arial" w:hAnsi="Arial"/>
          <w:sz w:val="16"/>
          <w:szCs w:val="16"/>
          <w:color w:val="auto"/>
        </w:rPr>
        <w:t>. In the event the sale by Counterparty of the Firm Securities (defined under the Purchase Agreement) is not consummated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Purchase Agreement for any reason by the close of business in New York on November 1, 2019 (or such later date as agreed upon by the parties) (November 1, 2019 or such later date being the “</w:t>
      </w:r>
      <w:r>
        <w:rPr>
          <w:rFonts w:ascii="Arial" w:cs="Arial" w:eastAsia="Arial" w:hAnsi="Arial"/>
          <w:sz w:val="16"/>
          <w:szCs w:val="16"/>
          <w:b w:val="1"/>
          <w:bCs w:val="1"/>
          <w:color w:val="auto"/>
        </w:rPr>
        <w:t>Early Unwind Date</w:t>
      </w:r>
      <w:r>
        <w:rPr>
          <w:rFonts w:ascii="Arial" w:cs="Arial" w:eastAsia="Arial" w:hAnsi="Arial"/>
          <w:sz w:val="16"/>
          <w:szCs w:val="16"/>
          <w:color w:val="auto"/>
        </w:rPr>
        <w:t>”), the Transaction shall automatically terminate (the “</w:t>
      </w:r>
      <w:r>
        <w:rPr>
          <w:rFonts w:ascii="Arial" w:cs="Arial" w:eastAsia="Arial" w:hAnsi="Arial"/>
          <w:sz w:val="16"/>
          <w:szCs w:val="16"/>
          <w:b w:val="1"/>
          <w:bCs w:val="1"/>
          <w:color w:val="auto"/>
        </w:rPr>
        <w:t>Early Unwind</w:t>
      </w:r>
      <w:r>
        <w:rPr>
          <w:rFonts w:ascii="Arial" w:cs="Arial" w:eastAsia="Arial" w:hAnsi="Arial"/>
          <w:sz w:val="16"/>
          <w:szCs w:val="16"/>
          <w:color w:val="auto"/>
        </w:rPr>
        <w:t>”) on the Early Unwind Date and (i) the Transaction and all of the respective rights and obligations of Dealer and Counterparty thereunder shall be cancelled and terminated and (ii)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spacing w:after="0" w:line="172" w:lineRule="exact"/>
        <w:rPr>
          <w:rFonts w:ascii="Arial" w:cs="Arial" w:eastAsia="Arial" w:hAnsi="Arial"/>
          <w:sz w:val="16"/>
          <w:szCs w:val="16"/>
          <w:color w:val="auto"/>
        </w:rPr>
      </w:pPr>
    </w:p>
    <w:p>
      <w:pPr>
        <w:ind w:left="-60" w:right="20" w:firstLine="656"/>
        <w:spacing w:after="0" w:line="312" w:lineRule="auto"/>
        <w:tabs>
          <w:tab w:leader="none" w:pos="1298" w:val="left"/>
        </w:tabs>
        <w:numPr>
          <w:ilvl w:val="0"/>
          <w:numId w:val="337"/>
        </w:numPr>
        <w:rPr>
          <w:rFonts w:ascii="Arial" w:cs="Arial" w:eastAsia="Arial" w:hAnsi="Arial"/>
          <w:sz w:val="16"/>
          <w:szCs w:val="16"/>
          <w:color w:val="auto"/>
        </w:rPr>
      </w:pPr>
      <w:r>
        <w:rPr>
          <w:rFonts w:ascii="Arial" w:cs="Arial" w:eastAsia="Arial" w:hAnsi="Arial"/>
          <w:sz w:val="16"/>
          <w:szCs w:val="16"/>
          <w:i w:val="1"/>
          <w:iCs w:val="1"/>
          <w:color w:val="auto"/>
        </w:rPr>
        <w:t>No Netting and Set-off</w:t>
      </w:r>
      <w:r>
        <w:rPr>
          <w:rFonts w:ascii="Arial" w:cs="Arial" w:eastAsia="Arial" w:hAnsi="Arial"/>
          <w:sz w:val="16"/>
          <w:szCs w:val="16"/>
          <w:color w:val="auto"/>
        </w:rPr>
        <w:t>. 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6" w:lineRule="exact"/>
        <w:rPr>
          <w:rFonts w:ascii="Arial" w:cs="Arial" w:eastAsia="Arial" w:hAnsi="Arial"/>
          <w:sz w:val="16"/>
          <w:szCs w:val="16"/>
          <w:color w:val="auto"/>
        </w:rPr>
      </w:pPr>
    </w:p>
    <w:p>
      <w:pPr>
        <w:ind w:left="-60" w:firstLine="656"/>
        <w:spacing w:after="0" w:line="257" w:lineRule="auto"/>
        <w:tabs>
          <w:tab w:leader="none" w:pos="1293"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Delivery of Cash</w:t>
      </w:r>
      <w:r>
        <w:rPr>
          <w:rFonts w:ascii="Arial" w:cs="Arial" w:eastAsia="Arial" w:hAnsi="Arial"/>
          <w:sz w:val="18"/>
          <w:szCs w:val="18"/>
          <w:color w:val="auto"/>
        </w:rPr>
        <w:t>. For the avoidance of doubt, nothing in this Confirmation shall be interpreted as requiring the Counterparty to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spacing w:after="0" w:line="188" w:lineRule="exact"/>
        <w:rPr>
          <w:rFonts w:ascii="Arial" w:cs="Arial" w:eastAsia="Arial" w:hAnsi="Arial"/>
          <w:sz w:val="18"/>
          <w:szCs w:val="18"/>
          <w:color w:val="auto"/>
        </w:rPr>
      </w:pPr>
    </w:p>
    <w:p>
      <w:pPr>
        <w:ind w:left="-60" w:right="40" w:firstLine="656"/>
        <w:spacing w:after="0" w:line="289" w:lineRule="auto"/>
        <w:tabs>
          <w:tab w:leader="none" w:pos="1293" w:val="left"/>
        </w:tabs>
        <w:numPr>
          <w:ilvl w:val="0"/>
          <w:numId w:val="337"/>
        </w:numPr>
        <w:rPr>
          <w:rFonts w:ascii="Arial" w:cs="Arial" w:eastAsia="Arial" w:hAnsi="Arial"/>
          <w:sz w:val="16"/>
          <w:szCs w:val="16"/>
          <w:color w:val="auto"/>
        </w:rPr>
      </w:pPr>
      <w:r>
        <w:rPr>
          <w:rFonts w:ascii="Arial" w:cs="Arial" w:eastAsia="Arial" w:hAnsi="Arial"/>
          <w:sz w:val="16"/>
          <w:szCs w:val="16"/>
          <w:i w:val="1"/>
          <w:iCs w:val="1"/>
          <w:color w:val="auto"/>
        </w:rPr>
        <w:t>Agreements and Acknowledgements Regarding Hedging</w:t>
      </w:r>
      <w:r>
        <w:rPr>
          <w:rFonts w:ascii="Arial" w:cs="Arial" w:eastAsia="Arial" w:hAnsi="Arial"/>
          <w:sz w:val="16"/>
          <w:szCs w:val="16"/>
          <w:color w:val="auto"/>
        </w:rPr>
        <w:t>. Counterparty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66" w:lineRule="exact"/>
        <w:rPr>
          <w:rFonts w:ascii="Arial" w:cs="Arial" w:eastAsia="Arial" w:hAnsi="Arial"/>
          <w:sz w:val="16"/>
          <w:szCs w:val="16"/>
          <w:color w:val="auto"/>
        </w:rPr>
      </w:pPr>
    </w:p>
    <w:p>
      <w:pPr>
        <w:ind w:left="-60" w:firstLine="656"/>
        <w:spacing w:after="0" w:line="293" w:lineRule="auto"/>
        <w:tabs>
          <w:tab w:leader="none" w:pos="1293" w:val="left"/>
        </w:tabs>
        <w:numPr>
          <w:ilvl w:val="0"/>
          <w:numId w:val="337"/>
        </w:numPr>
        <w:rPr>
          <w:rFonts w:ascii="Arial" w:cs="Arial" w:eastAsia="Arial" w:hAnsi="Arial"/>
          <w:sz w:val="16"/>
          <w:szCs w:val="16"/>
          <w:color w:val="auto"/>
        </w:rPr>
      </w:pPr>
      <w:r>
        <w:rPr>
          <w:rFonts w:ascii="Arial" w:cs="Arial" w:eastAsia="Arial" w:hAnsi="Arial"/>
          <w:sz w:val="16"/>
          <w:szCs w:val="16"/>
          <w:i w:val="1"/>
          <w:iCs w:val="1"/>
          <w:color w:val="auto"/>
        </w:rPr>
        <w:t>Wall Street Transparency and Accountability Act</w:t>
      </w:r>
      <w:r>
        <w:rPr>
          <w:rFonts w:ascii="Arial" w:cs="Arial" w:eastAsia="Arial" w:hAnsi="Arial"/>
          <w:sz w:val="16"/>
          <w:szCs w:val="16"/>
          <w:color w:val="auto"/>
        </w:rPr>
        <w:t>. In connection with Section 739 of the Wall Street Transparency and Accountability Act</w:t>
      </w:r>
      <w:r>
        <w:rPr>
          <w:rFonts w:ascii="Arial" w:cs="Arial" w:eastAsia="Arial" w:hAnsi="Arial"/>
          <w:sz w:val="16"/>
          <w:szCs w:val="16"/>
          <w:i w:val="1"/>
          <w:iCs w:val="1"/>
          <w:color w:val="auto"/>
        </w:rPr>
        <w:t xml:space="preserve"> </w:t>
      </w:r>
      <w:r>
        <w:rPr>
          <w:rFonts w:ascii="Arial" w:cs="Arial" w:eastAsia="Arial" w:hAnsi="Arial"/>
          <w:sz w:val="16"/>
          <w:szCs w:val="16"/>
          <w:color w:val="auto"/>
        </w:rPr>
        <w:t>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342" w:right="299" w:bottom="1440" w:gutter="0" w:footer="0" w:header="0"/>
        </w:sectPr>
      </w:pPr>
    </w:p>
    <w:bookmarkStart w:id="307" w:name="page308"/>
    <w:bookmarkEnd w:id="307"/>
    <w:p>
      <w:pPr>
        <w:ind w:right="220"/>
        <w:spacing w:after="0" w:line="277" w:lineRule="auto"/>
        <w:rPr>
          <w:sz w:val="20"/>
          <w:szCs w:val="20"/>
          <w:color w:val="auto"/>
        </w:rPr>
      </w:pPr>
      <w:r>
        <w:rPr>
          <w:rFonts w:ascii="Arial" w:cs="Arial" w:eastAsia="Arial" w:hAnsi="Arial"/>
          <w:sz w:val="18"/>
          <w:szCs w:val="18"/>
          <w:color w:val="auto"/>
        </w:rPr>
        <w:t>Definitions incorporated herein, or the Agreement (including, but not limited to, rights arising from Change in Law, Hedging Disruption, Increased Cost of Hedging or Illegality).</w:t>
      </w:r>
    </w:p>
    <w:p>
      <w:pPr>
        <w:spacing w:after="0" w:line="170" w:lineRule="exact"/>
        <w:rPr>
          <w:sz w:val="20"/>
          <w:szCs w:val="20"/>
          <w:color w:val="auto"/>
        </w:rPr>
      </w:pPr>
    </w:p>
    <w:p>
      <w:pPr>
        <w:ind w:right="160" w:firstLine="656"/>
        <w:spacing w:after="0" w:line="259" w:lineRule="auto"/>
        <w:tabs>
          <w:tab w:leader="none" w:pos="1353"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AGREEMENT, THIS CONFIRMATION AND ALL MATTERS ARISING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86" w:lineRule="exact"/>
        <w:rPr>
          <w:rFonts w:ascii="Arial" w:cs="Arial" w:eastAsia="Arial" w:hAnsi="Arial"/>
          <w:sz w:val="18"/>
          <w:szCs w:val="18"/>
          <w:color w:val="auto"/>
        </w:rPr>
      </w:pPr>
    </w:p>
    <w:p>
      <w:pPr>
        <w:ind w:right="20" w:firstLine="656"/>
        <w:spacing w:after="0" w:line="277" w:lineRule="auto"/>
        <w:tabs>
          <w:tab w:leader="none" w:pos="1368"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Counterparty and Dealer.</w:t>
      </w:r>
    </w:p>
    <w:p>
      <w:pPr>
        <w:spacing w:after="0" w:line="170" w:lineRule="exact"/>
        <w:rPr>
          <w:rFonts w:ascii="Arial" w:cs="Arial" w:eastAsia="Arial" w:hAnsi="Arial"/>
          <w:sz w:val="18"/>
          <w:szCs w:val="18"/>
          <w:color w:val="auto"/>
        </w:rPr>
      </w:pPr>
    </w:p>
    <w:p>
      <w:pPr>
        <w:ind w:right="400" w:firstLine="656"/>
        <w:spacing w:after="0" w:line="277" w:lineRule="auto"/>
        <w:tabs>
          <w:tab w:leader="none" w:pos="1378"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firstLine="645"/>
        <w:spacing w:after="0" w:line="272" w:lineRule="auto"/>
        <w:tabs>
          <w:tab w:leader="none" w:pos="2018" w:val="left"/>
        </w:tabs>
        <w:numPr>
          <w:ilvl w:val="1"/>
          <w:numId w:val="338"/>
        </w:numPr>
        <w:rPr>
          <w:rFonts w:ascii="Arial" w:cs="Arial" w:eastAsia="Arial" w:hAnsi="Arial"/>
          <w:sz w:val="17"/>
          <w:szCs w:val="17"/>
          <w:color w:val="auto"/>
        </w:rPr>
      </w:pPr>
      <w:r>
        <w:rPr>
          <w:rFonts w:ascii="Arial" w:cs="Arial" w:eastAsia="Arial" w:hAnsi="Arial"/>
          <w:sz w:val="17"/>
          <w:szCs w:val="17"/>
          <w:color w:val="auto"/>
        </w:rPr>
        <w:t>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7" w:lineRule="exact"/>
        <w:rPr>
          <w:rFonts w:ascii="Arial" w:cs="Arial" w:eastAsia="Arial" w:hAnsi="Arial"/>
          <w:sz w:val="17"/>
          <w:szCs w:val="17"/>
          <w:color w:val="auto"/>
        </w:rPr>
      </w:pPr>
    </w:p>
    <w:p>
      <w:pPr>
        <w:ind w:left="660" w:right="120" w:firstLine="645"/>
        <w:spacing w:after="0" w:line="266" w:lineRule="auto"/>
        <w:tabs>
          <w:tab w:leader="none" w:pos="202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HIRE Act. </w:t>
      </w:r>
      <w:r>
        <w:rPr>
          <w:rFonts w:ascii="Arial" w:cs="Arial" w:eastAsia="Arial" w:hAnsi="Arial"/>
          <w:sz w:val="17"/>
          <w:szCs w:val="17"/>
          <w:color w:val="auto"/>
        </w:rPr>
        <w:t>To the extent that either party to the Agreement with respect to this Transaction is not an adhering party to the ISDA</w:t>
      </w:r>
      <w:r>
        <w:rPr>
          <w:rFonts w:ascii="Arial" w:cs="Arial" w:eastAsia="Arial" w:hAnsi="Arial"/>
          <w:sz w:val="18"/>
          <w:szCs w:val="18"/>
          <w:color w:val="auto"/>
        </w:rPr>
        <w:t xml:space="preserve"> </w:t>
      </w:r>
      <w:r>
        <w:rPr>
          <w:rFonts w:ascii="Arial" w:cs="Arial" w:eastAsia="Arial" w:hAnsi="Arial"/>
          <w:sz w:val="17"/>
          <w:szCs w:val="17"/>
          <w:color w:val="auto"/>
        </w:rPr>
        <w:t>2015 Section 871(m) Protocol published by the International Swaps and Derivatives Association, Inc. on November 2, 2015 and available at www.isda.org, as may be amended, supplemented, replaced or superseded from time to time (the “</w:t>
      </w:r>
      <w:r>
        <w:rPr>
          <w:rFonts w:ascii="Arial" w:cs="Arial" w:eastAsia="Arial" w:hAnsi="Arial"/>
          <w:sz w:val="17"/>
          <w:szCs w:val="17"/>
          <w:b w:val="1"/>
          <w:bCs w:val="1"/>
          <w:color w:val="auto"/>
        </w:rPr>
        <w:t>871(m) Protocol</w:t>
      </w:r>
      <w:r>
        <w:rPr>
          <w:rFonts w:ascii="Arial" w:cs="Arial" w:eastAsia="Arial" w:hAnsi="Arial"/>
          <w:sz w:val="17"/>
          <w:szCs w:val="17"/>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86" w:lineRule="exact"/>
        <w:rPr>
          <w:rFonts w:ascii="Arial" w:cs="Arial" w:eastAsia="Arial" w:hAnsi="Arial"/>
          <w:sz w:val="18"/>
          <w:szCs w:val="18"/>
          <w:color w:val="auto"/>
        </w:rPr>
      </w:pPr>
    </w:p>
    <w:p>
      <w:pPr>
        <w:ind w:left="660" w:right="80" w:firstLine="645"/>
        <w:spacing w:after="0" w:line="293" w:lineRule="auto"/>
        <w:tabs>
          <w:tab w:leader="none" w:pos="2028" w:val="left"/>
        </w:tabs>
        <w:numPr>
          <w:ilvl w:val="1"/>
          <w:numId w:val="338"/>
        </w:numPr>
        <w:rPr>
          <w:rFonts w:ascii="Arial" w:cs="Arial" w:eastAsia="Arial" w:hAnsi="Arial"/>
          <w:sz w:val="16"/>
          <w:szCs w:val="16"/>
          <w:color w:val="auto"/>
        </w:rPr>
      </w:pPr>
      <w:r>
        <w:rPr>
          <w:rFonts w:ascii="Arial" w:cs="Arial" w:eastAsia="Arial" w:hAnsi="Arial"/>
          <w:sz w:val="16"/>
          <w:szCs w:val="16"/>
          <w:color w:val="auto"/>
        </w:rPr>
        <w:t xml:space="preserve">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t>
      </w:r>
      <w:r>
        <w:rPr>
          <w:rFonts w:ascii="Arial" w:cs="Arial" w:eastAsia="Arial" w:hAnsi="Arial"/>
          <w:sz w:val="15"/>
          <w:szCs w:val="15"/>
          <w:color w:val="auto"/>
        </w:rPr>
        <w:t>W-8ECI “Certificate of Foreign Person’s Claim That Income Is Effectively Connected With the Conduct of a Trade or Business</w:t>
      </w:r>
      <w:r>
        <w:rPr>
          <w:rFonts w:ascii="Arial" w:cs="Arial" w:eastAsia="Arial" w:hAnsi="Arial"/>
          <w:sz w:val="16"/>
          <w:szCs w:val="16"/>
          <w:color w:val="auto"/>
        </w:rPr>
        <w:t xml:space="preserve"> </w:t>
      </w:r>
      <w:r>
        <w:rPr>
          <w:rFonts w:ascii="Arial" w:cs="Arial" w:eastAsia="Arial" w:hAnsi="Arial"/>
          <w:sz w:val="15"/>
          <w:szCs w:val="15"/>
          <w:color w:val="auto"/>
        </w:rPr>
        <w:t xml:space="preserve">in the United States” </w:t>
      </w:r>
      <w:r>
        <w:rPr>
          <w:rFonts w:ascii="Arial" w:cs="Arial" w:eastAsia="Arial" w:hAnsi="Arial"/>
          <w:sz w:val="16"/>
          <w:szCs w:val="16"/>
          <w:color w:val="auto"/>
        </w:rPr>
        <w:t>or any successor thereto, (i) on or before the date of execution of this Confirmation, (ii) upon reasonable request of</w:t>
      </w:r>
      <w:r>
        <w:rPr>
          <w:rFonts w:ascii="Arial" w:cs="Arial" w:eastAsia="Arial" w:hAnsi="Arial"/>
          <w:sz w:val="15"/>
          <w:szCs w:val="15"/>
          <w:color w:val="auto"/>
        </w:rPr>
        <w:t xml:space="preserve"> </w:t>
      </w:r>
      <w:r>
        <w:rPr>
          <w:rFonts w:ascii="Arial" w:cs="Arial" w:eastAsia="Arial" w:hAnsi="Arial"/>
          <w:sz w:val="16"/>
          <w:szCs w:val="16"/>
          <w:color w:val="auto"/>
        </w:rPr>
        <w:t>Counterparty and (iii) promptly upon learning that any such tax form previously provided by Dealer has become obsolete or incorrect.</w:t>
      </w:r>
    </w:p>
    <w:p>
      <w:pPr>
        <w:spacing w:after="0" w:line="164" w:lineRule="exact"/>
        <w:rPr>
          <w:rFonts w:ascii="Arial" w:cs="Arial" w:eastAsia="Arial" w:hAnsi="Arial"/>
          <w:sz w:val="16"/>
          <w:szCs w:val="16"/>
          <w:color w:val="auto"/>
        </w:rPr>
      </w:pPr>
    </w:p>
    <w:p>
      <w:pPr>
        <w:ind w:left="660" w:firstLine="645"/>
        <w:spacing w:after="0" w:line="276" w:lineRule="auto"/>
        <w:tabs>
          <w:tab w:leader="none" w:pos="2018" w:val="left"/>
        </w:tabs>
        <w:numPr>
          <w:ilvl w:val="1"/>
          <w:numId w:val="338"/>
        </w:numPr>
        <w:rPr>
          <w:rFonts w:ascii="Arial" w:cs="Arial" w:eastAsia="Arial" w:hAnsi="Arial"/>
          <w:sz w:val="17"/>
          <w:szCs w:val="17"/>
          <w:color w:val="auto"/>
        </w:rPr>
      </w:pPr>
      <w:r>
        <w:rPr>
          <w:rFonts w:ascii="Arial" w:cs="Arial" w:eastAsia="Arial" w:hAnsi="Arial"/>
          <w:sz w:val="17"/>
          <w:szCs w:val="17"/>
          <w:color w:val="auto"/>
        </w:rPr>
        <w:t xml:space="preserve">Tax Representations. </w:t>
      </w:r>
      <w:r>
        <w:rPr>
          <w:rFonts w:ascii="Arial" w:cs="Arial" w:eastAsia="Arial" w:hAnsi="Arial"/>
          <w:sz w:val="16"/>
          <w:szCs w:val="16"/>
          <w:color w:val="auto"/>
        </w:rPr>
        <w:t>For the purpose of Section 3(f) of the Agreement, Counterparty is a corporation for U.S. federal income tax</w:t>
      </w:r>
      <w:r>
        <w:rPr>
          <w:rFonts w:ascii="Arial" w:cs="Arial" w:eastAsia="Arial" w:hAnsi="Arial"/>
          <w:sz w:val="17"/>
          <w:szCs w:val="17"/>
          <w:color w:val="auto"/>
        </w:rPr>
        <w:t xml:space="preserve"> </w:t>
      </w:r>
      <w:r>
        <w:rPr>
          <w:rFonts w:ascii="Arial" w:cs="Arial" w:eastAsia="Arial" w:hAnsi="Arial"/>
          <w:sz w:val="16"/>
          <w:szCs w:val="16"/>
          <w:color w:val="auto"/>
        </w:rPr>
        <w:t xml:space="preserve">purposes and is organized under the laws of the State of Iowa. </w:t>
      </w:r>
      <w:r>
        <w:rPr>
          <w:rFonts w:ascii="Arial" w:cs="Arial" w:eastAsia="Arial" w:hAnsi="Arial"/>
          <w:sz w:val="17"/>
          <w:szCs w:val="17"/>
          <w:color w:val="auto"/>
        </w:rPr>
        <w:t>Counterparty represents to Dealer that for U.S. federal income tax purposes it is a “U.S.</w:t>
      </w:r>
      <w:r>
        <w:rPr>
          <w:rFonts w:ascii="Arial" w:cs="Arial" w:eastAsia="Arial" w:hAnsi="Arial"/>
          <w:sz w:val="16"/>
          <w:szCs w:val="16"/>
          <w:color w:val="auto"/>
        </w:rPr>
        <w:t xml:space="preserve"> </w:t>
      </w:r>
      <w:r>
        <w:rPr>
          <w:rFonts w:ascii="Arial" w:cs="Arial" w:eastAsia="Arial" w:hAnsi="Arial"/>
          <w:sz w:val="17"/>
          <w:szCs w:val="17"/>
          <w:color w:val="auto"/>
        </w:rPr>
        <w:t>person” (as that term is used in section 1.1441-4(a)(3)(ii) of the United States Treasury Regulations) and an “exempt recipient” (as that term is used in section 1.6049-4(c)(1) of the United States Treasury Regulations). Dealer represents to Counterparty that each payment received or to be received by it under the Agreement will be effectively connected with its conduct of a trade or business in the United States.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8" w:name="page309"/>
    <w:bookmarkEnd w:id="308"/>
    <w:p>
      <w:pPr>
        <w:ind w:left="1360" w:hanging="704"/>
        <w:spacing w:after="0"/>
        <w:tabs>
          <w:tab w:leader="none" w:pos="1360" w:val="left"/>
        </w:tabs>
        <w:numPr>
          <w:ilvl w:val="1"/>
          <w:numId w:val="339"/>
        </w:numPr>
        <w:rPr>
          <w:rFonts w:ascii="Arial" w:cs="Arial" w:eastAsia="Arial" w:hAnsi="Arial"/>
          <w:sz w:val="16"/>
          <w:szCs w:val="16"/>
          <w:color w:val="auto"/>
        </w:rPr>
      </w:pPr>
      <w:r>
        <w:rPr>
          <w:rFonts w:ascii="Arial" w:cs="Arial" w:eastAsia="Arial" w:hAnsi="Arial"/>
          <w:sz w:val="16"/>
          <w:szCs w:val="16"/>
          <w:i w:val="1"/>
          <w:iCs w:val="1"/>
          <w:color w:val="auto"/>
        </w:rPr>
        <w:t>Role of Agent</w:t>
      </w:r>
      <w:r>
        <w:rPr>
          <w:rFonts w:ascii="Arial" w:cs="Arial" w:eastAsia="Arial" w:hAnsi="Arial"/>
          <w:sz w:val="16"/>
          <w:szCs w:val="16"/>
          <w:color w:val="auto"/>
        </w:rPr>
        <w:t>. Each of Dealer and Counterparty acknowledges to and agrees with the other party hereto and to and with the Agent that</w:t>
      </w:r>
    </w:p>
    <w:p>
      <w:pPr>
        <w:spacing w:after="0" w:line="46" w:lineRule="exact"/>
        <w:rPr>
          <w:rFonts w:ascii="Arial" w:cs="Arial" w:eastAsia="Arial" w:hAnsi="Arial"/>
          <w:sz w:val="16"/>
          <w:szCs w:val="16"/>
          <w:color w:val="auto"/>
        </w:rPr>
      </w:pPr>
    </w:p>
    <w:p>
      <w:pPr>
        <w:ind w:right="20" w:firstLine="8"/>
        <w:spacing w:after="0" w:line="281" w:lineRule="auto"/>
        <w:tabs>
          <w:tab w:leader="none" w:pos="21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w:t>
      </w:r>
    </w:p>
    <w:p>
      <w:pPr>
        <w:spacing w:after="0" w:line="3" w:lineRule="exact"/>
        <w:rPr>
          <w:rFonts w:ascii="Arial" w:cs="Arial" w:eastAsia="Arial" w:hAnsi="Arial"/>
          <w:sz w:val="16"/>
          <w:szCs w:val="16"/>
          <w:color w:val="auto"/>
        </w:rPr>
      </w:pPr>
    </w:p>
    <w:p>
      <w:pPr>
        <w:ind w:right="40" w:firstLine="8"/>
        <w:spacing w:after="0" w:line="302" w:lineRule="auto"/>
        <w:tabs>
          <w:tab w:leader="none" w:pos="25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each party agrees to proceed solely against the other party, and not the Agent, to collect or recover any money or securities owed to it in connection with the Transactions. Each party hereto acknowledges and agrees that the Agent is an intended third party beneficiary hereunder. Counterparty acknowledges that the Agent is an affiliate of Dealer. Dealer will be acting for its own account in respect of this Confirmation and the Transactions contemplated hereunder.</w:t>
      </w:r>
    </w:p>
    <w:p>
      <w:pPr>
        <w:spacing w:after="0" w:line="151" w:lineRule="exact"/>
        <w:rPr>
          <w:sz w:val="20"/>
          <w:szCs w:val="20"/>
          <w:color w:val="auto"/>
        </w:rPr>
      </w:pPr>
    </w:p>
    <w:p>
      <w:pPr>
        <w:ind w:left="1020" w:hanging="364"/>
        <w:spacing w:after="0"/>
        <w:tabs>
          <w:tab w:leader="none" w:pos="102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225" w:lineRule="exact"/>
        <w:rPr>
          <w:sz w:val="20"/>
          <w:szCs w:val="20"/>
          <w:color w:val="auto"/>
        </w:rPr>
      </w:pPr>
    </w:p>
    <w:p>
      <w:pPr>
        <w:ind w:right="280" w:firstLine="656"/>
        <w:spacing w:after="0" w:line="282" w:lineRule="auto"/>
        <w:tabs>
          <w:tab w:leader="none" w:pos="1353" w:val="left"/>
        </w:tabs>
        <w:numPr>
          <w:ilvl w:val="1"/>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Arial" w:cs="Arial" w:eastAsia="Arial" w:hAnsi="Arial"/>
          <w:sz w:val="18"/>
          <w:szCs w:val="18"/>
          <w:b w:val="1"/>
          <w:bCs w:val="1"/>
          <w:color w:val="auto"/>
        </w:rPr>
      </w:pPr>
    </w:p>
    <w:p>
      <w:pPr>
        <w:ind w:left="1380" w:hanging="724"/>
        <w:spacing w:after="0"/>
        <w:tabs>
          <w:tab w:leader="none" w:pos="1380" w:val="left"/>
        </w:tabs>
        <w:numPr>
          <w:ilvl w:val="1"/>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awards are generally final and binding; a party’s ability to have a court reverse or modify an arbitration award is very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limited.</w:t>
      </w:r>
    </w:p>
    <w:p>
      <w:pPr>
        <w:spacing w:after="0" w:line="206" w:lineRule="exact"/>
        <w:rPr>
          <w:rFonts w:ascii="Arial" w:cs="Arial" w:eastAsia="Arial" w:hAnsi="Arial"/>
          <w:sz w:val="16"/>
          <w:szCs w:val="16"/>
          <w:b w:val="1"/>
          <w:bCs w:val="1"/>
          <w:color w:val="auto"/>
        </w:rPr>
      </w:pPr>
    </w:p>
    <w:p>
      <w:pPr>
        <w:ind w:right="60" w:firstLine="656"/>
        <w:spacing w:after="0" w:line="282" w:lineRule="auto"/>
        <w:tabs>
          <w:tab w:leader="none" w:pos="1343" w:val="left"/>
        </w:tabs>
        <w:numPr>
          <w:ilvl w:val="1"/>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the parties to obtain documents, witness statements and other discovery is generally more limited in arbitration than in court proceedings.</w:t>
      </w:r>
    </w:p>
    <w:p>
      <w:pPr>
        <w:spacing w:after="0" w:line="161" w:lineRule="exact"/>
        <w:rPr>
          <w:rFonts w:ascii="Arial" w:cs="Arial" w:eastAsia="Arial" w:hAnsi="Arial"/>
          <w:sz w:val="18"/>
          <w:szCs w:val="18"/>
          <w:b w:val="1"/>
          <w:bCs w:val="1"/>
          <w:color w:val="auto"/>
        </w:rPr>
      </w:pPr>
    </w:p>
    <w:p>
      <w:pPr>
        <w:ind w:left="1380" w:hanging="724"/>
        <w:spacing w:after="0"/>
        <w:tabs>
          <w:tab w:leader="none" w:pos="1380" w:val="left"/>
        </w:tabs>
        <w:numPr>
          <w:ilvl w:val="1"/>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do not have to explain the reason(s) for their award.</w:t>
      </w:r>
    </w:p>
    <w:p>
      <w:pPr>
        <w:spacing w:after="0" w:line="225" w:lineRule="exact"/>
        <w:rPr>
          <w:rFonts w:ascii="Arial" w:cs="Arial" w:eastAsia="Arial" w:hAnsi="Arial"/>
          <w:sz w:val="18"/>
          <w:szCs w:val="18"/>
          <w:b w:val="1"/>
          <w:bCs w:val="1"/>
          <w:color w:val="auto"/>
        </w:rPr>
      </w:pPr>
    </w:p>
    <w:p>
      <w:pPr>
        <w:jc w:val="both"/>
        <w:ind w:right="460" w:firstLine="656"/>
        <w:spacing w:after="0" w:line="266" w:lineRule="auto"/>
        <w:tabs>
          <w:tab w:leader="none" w:pos="1343" w:val="left"/>
        </w:tabs>
        <w:numPr>
          <w:ilvl w:val="1"/>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6" w:lineRule="exact"/>
        <w:rPr>
          <w:rFonts w:ascii="Arial" w:cs="Arial" w:eastAsia="Arial" w:hAnsi="Arial"/>
          <w:sz w:val="18"/>
          <w:szCs w:val="18"/>
          <w:b w:val="1"/>
          <w:bCs w:val="1"/>
          <w:color w:val="auto"/>
        </w:rPr>
      </w:pPr>
    </w:p>
    <w:p>
      <w:pPr>
        <w:ind w:right="360" w:firstLine="656"/>
        <w:spacing w:after="0" w:line="282" w:lineRule="auto"/>
        <w:tabs>
          <w:tab w:leader="none" w:pos="1368" w:val="left"/>
        </w:tabs>
        <w:numPr>
          <w:ilvl w:val="1"/>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The rules of some arbitration forums may impose time limits for bringing a claim in arbitration. In some cases, a claim that is ineligible for arbitration may be brought in court.</w:t>
      </w:r>
    </w:p>
    <w:p>
      <w:pPr>
        <w:spacing w:after="0" w:line="161" w:lineRule="exact"/>
        <w:rPr>
          <w:rFonts w:ascii="Arial" w:cs="Arial" w:eastAsia="Arial" w:hAnsi="Arial"/>
          <w:sz w:val="18"/>
          <w:szCs w:val="18"/>
          <w:b w:val="1"/>
          <w:bCs w:val="1"/>
          <w:color w:val="auto"/>
        </w:rPr>
      </w:pPr>
    </w:p>
    <w:p>
      <w:pPr>
        <w:ind w:left="1360" w:hanging="704"/>
        <w:spacing w:after="0"/>
        <w:tabs>
          <w:tab w:leader="none" w:pos="1360" w:val="left"/>
        </w:tabs>
        <w:numPr>
          <w:ilvl w:val="1"/>
          <w:numId w:val="343"/>
        </w:numPr>
        <w:rPr>
          <w:rFonts w:ascii="Arial" w:cs="Arial" w:eastAsia="Arial" w:hAnsi="Arial"/>
          <w:sz w:val="17"/>
          <w:szCs w:val="17"/>
          <w:b w:val="1"/>
          <w:bCs w:val="1"/>
          <w:color w:val="auto"/>
        </w:rPr>
      </w:pPr>
      <w:r>
        <w:rPr>
          <w:rFonts w:ascii="Arial" w:cs="Arial" w:eastAsia="Arial" w:hAnsi="Arial"/>
          <w:sz w:val="17"/>
          <w:szCs w:val="17"/>
          <w:b w:val="1"/>
          <w:bCs w:val="1"/>
          <w:color w:val="auto"/>
        </w:rPr>
        <w:t>The rules of the arbitration forum in which the claim is filed, and any amendments thereto, shall be incorporated into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Confirmation.</w:t>
      </w:r>
    </w:p>
    <w:p>
      <w:pPr>
        <w:spacing w:after="0" w:line="206" w:lineRule="exact"/>
        <w:rPr>
          <w:rFonts w:ascii="Arial" w:cs="Arial" w:eastAsia="Arial" w:hAnsi="Arial"/>
          <w:sz w:val="17"/>
          <w:szCs w:val="17"/>
          <w:b w:val="1"/>
          <w:bCs w:val="1"/>
          <w:color w:val="auto"/>
        </w:rPr>
      </w:pPr>
    </w:p>
    <w:p>
      <w:pPr>
        <w:ind w:right="20" w:firstLine="656"/>
        <w:spacing w:after="0" w:line="258" w:lineRule="auto"/>
        <w:tabs>
          <w:tab w:leader="none" w:pos="1363" w:val="left"/>
        </w:tabs>
        <w:numPr>
          <w:ilvl w:val="1"/>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83" w:lineRule="exact"/>
        <w:rPr>
          <w:rFonts w:ascii="Arial" w:cs="Arial" w:eastAsia="Arial" w:hAnsi="Arial"/>
          <w:sz w:val="18"/>
          <w:szCs w:val="18"/>
          <w:b w:val="1"/>
          <w:bCs w:val="1"/>
          <w:color w:val="auto"/>
        </w:rPr>
      </w:pPr>
    </w:p>
    <w:p>
      <w:pPr>
        <w:ind w:right="140" w:firstLine="656"/>
        <w:spacing w:after="0" w:line="289" w:lineRule="auto"/>
        <w:tabs>
          <w:tab w:leader="none" w:pos="1358" w:val="left"/>
        </w:tabs>
        <w:numPr>
          <w:ilvl w:val="1"/>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is excluded from the class by the court.</w:t>
      </w:r>
    </w:p>
    <w:p>
      <w:pPr>
        <w:spacing w:after="0" w:line="206" w:lineRule="exact"/>
        <w:rPr>
          <w:rFonts w:ascii="Arial" w:cs="Arial" w:eastAsia="Arial" w:hAnsi="Arial"/>
          <w:sz w:val="18"/>
          <w:szCs w:val="18"/>
          <w:b w:val="1"/>
          <w:bCs w:val="1"/>
          <w:color w:val="auto"/>
        </w:rPr>
      </w:pPr>
    </w:p>
    <w:p>
      <w:pPr>
        <w:ind w:firstLine="656"/>
        <w:spacing w:after="0" w:line="282" w:lineRule="auto"/>
        <w:tabs>
          <w:tab w:leader="none" w:pos="1368" w:val="left"/>
        </w:tabs>
        <w:numPr>
          <w:ilvl w:val="1"/>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Such forbearance to enforce an agreement to arbitrate shall not constitute a waiver of any rights under this Confirmation except to the extent stated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9" w:name="page310"/>
    <w:bookmarkEnd w:id="309"/>
    <w:p>
      <w:pPr>
        <w:jc w:val="both"/>
        <w:ind w:right="280" w:firstLine="648"/>
        <w:spacing w:after="0" w:line="279" w:lineRule="auto"/>
        <w:rPr>
          <w:sz w:val="20"/>
          <w:szCs w:val="20"/>
          <w:color w:val="auto"/>
        </w:rPr>
      </w:pPr>
      <w:r>
        <w:rPr>
          <w:rFonts w:ascii="Arial" w:cs="Arial" w:eastAsia="Arial" w:hAnsi="Arial"/>
          <w:sz w:val="17"/>
          <w:szCs w:val="17"/>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Dealer.</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BMO CAPITAL MARKETS CORP.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as agent for </w:t>
      </w:r>
      <w:r>
        <w:rPr>
          <w:rFonts w:ascii="Arial" w:cs="Arial" w:eastAsia="Arial" w:hAnsi="Arial"/>
          <w:sz w:val="18"/>
          <w:szCs w:val="18"/>
          <w:b w:val="1"/>
          <w:bCs w:val="1"/>
          <w:color w:val="auto"/>
        </w:rPr>
        <w:t>BANK OF MONTREAL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Stamou</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Nick Stamou</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 Derivatives Operations</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Riley</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Brian Riley</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20"/>
                <w:szCs w:val="20"/>
                <w:color w:val="auto"/>
              </w:rPr>
            </w:pP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BANK OF MONTREAL</w:t>
            </w:r>
          </w:p>
        </w:tc>
        <w:tc>
          <w:tcPr>
            <w:tcW w:w="40" w:type="dxa"/>
            <w:vAlign w:val="bottom"/>
          </w:tcPr>
          <w:p>
            <w:pPr>
              <w:spacing w:after="0"/>
              <w:rPr>
                <w:sz w:val="24"/>
                <w:szCs w:val="24"/>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Henderson</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Andrew Henderson</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 Derivatives Operations</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Vice President, Chief Financial Officer</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11" w:name="page312"/>
    <w:bookmarkEnd w:id="311"/>
    <w:p>
      <w:pPr>
        <w:ind w:left="10740"/>
        <w:spacing w:after="0"/>
        <w:rPr>
          <w:sz w:val="20"/>
          <w:szCs w:val="20"/>
          <w:color w:val="auto"/>
        </w:rPr>
      </w:pPr>
      <w:r>
        <w:rPr>
          <w:rFonts w:ascii="Arial" w:cs="Arial" w:eastAsia="Arial" w:hAnsi="Arial"/>
          <w:sz w:val="17"/>
          <w:szCs w:val="17"/>
          <w:b w:val="1"/>
          <w:bCs w:val="1"/>
          <w:color w:val="auto"/>
        </w:rPr>
        <w:t>Annex 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each Component of the Transaction, the Number of Warrants and Expiration Date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Component Number</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Number of Warrants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40" w:type="dxa"/>
            <w:vAlign w:val="bottom"/>
          </w:tcPr>
          <w:p>
            <w:pPr>
              <w:spacing w:after="0"/>
              <w:rPr>
                <w:sz w:val="14"/>
                <w:szCs w:val="14"/>
                <w:color w:val="auto"/>
              </w:rPr>
            </w:pPr>
          </w:p>
        </w:tc>
      </w:tr>
      <w:tr>
        <w:trPr>
          <w:trHeight w:val="210"/>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1,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2,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3,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7,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8,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9,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10,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July 11,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14, 2024</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15,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16,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17,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18,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14.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21,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22,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23,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24,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18.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25,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20.</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29,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31,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1,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4,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5,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26.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6,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7,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28.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8,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11,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30.</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12,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13,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14,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15,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18,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19,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20,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22,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25,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40.</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26,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27,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28,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29,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2,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45.</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4,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5, 2025</w:t>
            </w:r>
          </w:p>
        </w:tc>
        <w:tc>
          <w:tcPr>
            <w:tcW w:w="40" w:type="dxa"/>
            <w:vAlign w:val="bottom"/>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8, 2025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49.</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9, 2025</w:t>
            </w:r>
          </w:p>
        </w:tc>
        <w:tc>
          <w:tcPr>
            <w:tcW w:w="40" w:type="dxa"/>
            <w:vAlign w:val="bottom"/>
          </w:tcPr>
          <w:p>
            <w:pPr>
              <w:spacing w:after="0"/>
              <w:rPr>
                <w:sz w:val="18"/>
                <w:szCs w:val="18"/>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5"/>
              </w:rPr>
              <w:t>50.</w:t>
            </w:r>
          </w:p>
        </w:tc>
        <w:tc>
          <w:tcPr>
            <w:tcW w:w="2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21,182</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10, 2025</w:t>
            </w:r>
          </w:p>
        </w:tc>
        <w:tc>
          <w:tcPr>
            <w:tcW w:w="40" w:type="dxa"/>
            <w:vAlign w:val="bottom"/>
          </w:tcPr>
          <w:p>
            <w:pPr>
              <w:spacing w:after="0"/>
              <w:rPr>
                <w:sz w:val="20"/>
                <w:szCs w:val="20"/>
                <w:color w:val="auto"/>
              </w:rPr>
            </w:pPr>
          </w:p>
        </w:tc>
      </w:tr>
      <w:tr>
        <w:trPr>
          <w:trHeight w:val="334"/>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11,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52.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12,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15,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54.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16,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17,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56.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18,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19,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58.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22,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23,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24,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25,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26,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September 29,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8"/>
              </w:rPr>
              <w:t>September 30,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October 1,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9"/>
              </w:rPr>
              <w:t>October 2,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October 3,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68.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9"/>
              </w:rPr>
              <w:t>October 6,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21,182</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October 7,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89"/>
              </w:rPr>
              <w:t>October 8,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October 9,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10,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13,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14,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15,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16,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17,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78.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20,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21,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22,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23,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24,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27,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28,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29,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October 30,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October 31,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88.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November 3,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November 4,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November 5,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91.</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November 6,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92.</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50"/>
              <w:spacing w:after="0"/>
              <w:rPr>
                <w:sz w:val="20"/>
                <w:szCs w:val="20"/>
                <w:color w:val="auto"/>
              </w:rPr>
            </w:pPr>
            <w:r>
              <w:rPr>
                <w:rFonts w:ascii="Arial" w:cs="Arial" w:eastAsia="Arial" w:hAnsi="Arial"/>
                <w:sz w:val="18"/>
                <w:szCs w:val="18"/>
                <w:color w:val="auto"/>
                <w:w w:val="90"/>
              </w:rPr>
              <w:t>November 7,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93.</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November 10,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94.</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1"/>
              </w:rPr>
              <w:t>November 11,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95.</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November 12,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96.</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1"/>
              </w:rPr>
              <w:t>November 13,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97.</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November 14, 2025</w:t>
            </w:r>
          </w:p>
        </w:tc>
        <w:tc>
          <w:tcPr>
            <w:tcW w:w="40" w:type="dxa"/>
            <w:vAlign w:val="bottom"/>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5"/>
              </w:rPr>
              <w:t>98.</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1"/>
              </w:rPr>
              <w:t>November 17, 2025</w:t>
            </w:r>
          </w:p>
        </w:tc>
        <w:tc>
          <w:tcPr>
            <w:tcW w:w="40" w:type="dxa"/>
            <w:vAlign w:val="bottom"/>
          </w:tcPr>
          <w:p>
            <w:pPr>
              <w:spacing w:after="0"/>
              <w:rPr>
                <w:sz w:val="18"/>
                <w:szCs w:val="18"/>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99.</w:t>
            </w:r>
          </w:p>
        </w:tc>
        <w:tc>
          <w:tcPr>
            <w:tcW w:w="3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November 18, 2025</w:t>
            </w:r>
          </w:p>
        </w:tc>
        <w:tc>
          <w:tcPr>
            <w:tcW w:w="40" w:type="dxa"/>
            <w:vAlign w:val="bottom"/>
          </w:tcPr>
          <w:p>
            <w:pPr>
              <w:spacing w:after="0"/>
              <w:rPr>
                <w:sz w:val="18"/>
                <w:szCs w:val="18"/>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680" w:type="dxa"/>
            <w:vAlign w:val="bottom"/>
          </w:tcPr>
          <w:p>
            <w:pPr>
              <w:jc w:val="center"/>
              <w:ind w:left="210"/>
              <w:spacing w:after="0"/>
              <w:rPr>
                <w:sz w:val="20"/>
                <w:szCs w:val="20"/>
                <w:color w:val="auto"/>
              </w:rPr>
            </w:pPr>
            <w:r>
              <w:rPr>
                <w:rFonts w:ascii="Arial" w:cs="Arial" w:eastAsia="Arial" w:hAnsi="Arial"/>
                <w:sz w:val="18"/>
                <w:szCs w:val="18"/>
                <w:color w:val="auto"/>
                <w:w w:val="90"/>
              </w:rPr>
              <w:t>21,183</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1"/>
              </w:rPr>
              <w:t>November 19, 2025</w:t>
            </w:r>
          </w:p>
        </w:tc>
        <w:tc>
          <w:tcPr>
            <w:tcW w:w="40" w:type="dxa"/>
            <w:vAlign w:val="bottom"/>
          </w:tcPr>
          <w:p>
            <w:pPr>
              <w:spacing w:after="0"/>
              <w:rPr>
                <w:sz w:val="20"/>
                <w:szCs w:val="20"/>
                <w:color w:val="auto"/>
              </w:rPr>
            </w:pPr>
          </w:p>
        </w:tc>
      </w:tr>
      <w:tr>
        <w:trPr>
          <w:trHeight w:val="418"/>
        </w:trPr>
        <w:tc>
          <w:tcPr>
            <w:tcW w:w="3740" w:type="dxa"/>
            <w:vAlign w:val="bottom"/>
          </w:tcPr>
          <w:p>
            <w:pPr>
              <w:spacing w:after="0"/>
              <w:rPr>
                <w:sz w:val="24"/>
                <w:szCs w:val="24"/>
                <w:color w:val="auto"/>
              </w:rPr>
            </w:pPr>
          </w:p>
        </w:tc>
        <w:tc>
          <w:tcPr>
            <w:tcW w:w="3680" w:type="dxa"/>
            <w:vAlign w:val="bottom"/>
          </w:tcPr>
          <w:p>
            <w:pPr>
              <w:jc w:val="center"/>
              <w:ind w:left="170"/>
              <w:spacing w:after="0"/>
              <w:rPr>
                <w:sz w:val="20"/>
                <w:szCs w:val="20"/>
                <w:color w:val="auto"/>
              </w:rPr>
            </w:pPr>
            <w:r>
              <w:rPr>
                <w:rFonts w:ascii="Arial" w:cs="Arial" w:eastAsia="Arial" w:hAnsi="Arial"/>
                <w:sz w:val="18"/>
                <w:szCs w:val="18"/>
                <w:color w:val="auto"/>
                <w:w w:val="99"/>
              </w:rPr>
              <w:t>2</w:t>
            </w: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GOLDMAN SACHS &amp; CO. LLC | 200 WEST STREET | NEW YORK, NEW YORK 10282-2198 |TEL: 212-902-1000</w:t>
      </w:r>
    </w:p>
    <w:p>
      <w:pPr>
        <w:spacing w:after="0" w:line="229"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w:t>
      </w:r>
    </w:p>
    <w:p>
      <w:pPr>
        <w:spacing w:after="0" w:line="200" w:lineRule="exact"/>
        <w:rPr>
          <w:sz w:val="20"/>
          <w:szCs w:val="20"/>
          <w:color w:val="auto"/>
        </w:rPr>
      </w:pPr>
    </w:p>
    <w:p>
      <w:pPr>
        <w:sectPr>
          <w:pgSz w:w="11900" w:h="16838" w:orient="portrait"/>
          <w:cols w:equalWidth="0" w:num="2">
            <w:col w:w="440" w:space="720"/>
            <w:col w:w="1026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[Insert Account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Additional Issuer Warrant Transaction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Reference Number]</w:t>
      </w:r>
    </w:p>
    <w:p>
      <w:pPr>
        <w:spacing w:after="0" w:line="200" w:lineRule="exact"/>
        <w:rPr>
          <w:sz w:val="20"/>
          <w:szCs w:val="20"/>
          <w:color w:val="auto"/>
        </w:rPr>
      </w:pPr>
    </w:p>
    <w:p>
      <w:pPr>
        <w:sectPr>
          <w:pgSz w:w="11900" w:h="16838" w:orient="portrait"/>
          <w:cols w:equalWidth="0" w:num="2">
            <w:col w:w="640" w:space="520"/>
            <w:col w:w="10260"/>
          </w:cols>
          <w:pgMar w:left="240" w:top="12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October 30, 2019</w:t>
      </w:r>
    </w:p>
    <w:p>
      <w:pPr>
        <w:spacing w:after="0" w:line="200" w:lineRule="exact"/>
        <w:rPr>
          <w:sz w:val="20"/>
          <w:szCs w:val="20"/>
          <w:color w:val="auto"/>
        </w:rPr>
      </w:pPr>
    </w:p>
    <w:p>
      <w:pPr>
        <w:sectPr>
          <w:pgSz w:w="11900" w:h="16838" w:orient="portrait"/>
          <w:cols w:equalWidth="0" w:num="2">
            <w:col w:w="440" w:space="720"/>
            <w:col w:w="1026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Goldman Sachs &amp; Co. LLC (“</w:t>
      </w:r>
      <w:r>
        <w:rPr>
          <w:rFonts w:ascii="Arial" w:cs="Arial" w:eastAsia="Arial" w:hAnsi="Arial"/>
          <w:sz w:val="18"/>
          <w:szCs w:val="18"/>
          <w:b w:val="1"/>
          <w:bCs w:val="1"/>
          <w:color w:val="auto"/>
        </w:rPr>
        <w:t>Dealer</w:t>
      </w:r>
      <w:r>
        <w:rPr>
          <w:rFonts w:ascii="Arial" w:cs="Arial" w:eastAsia="Arial" w:hAnsi="Arial"/>
          <w:sz w:val="18"/>
          <w:szCs w:val="18"/>
          <w:color w:val="auto"/>
        </w:rPr>
        <w:t>”) and Winnebago Industries, Inc. (“</w:t>
      </w:r>
      <w:r>
        <w:rPr>
          <w:rFonts w:ascii="Arial" w:cs="Arial" w:eastAsia="Arial" w:hAnsi="Arial"/>
          <w:sz w:val="18"/>
          <w:szCs w:val="18"/>
          <w:b w:val="1"/>
          <w:bCs w:val="1"/>
          <w:color w:val="auto"/>
        </w:rPr>
        <w:t>Counterparty</w:t>
      </w:r>
      <w:r>
        <w:rPr>
          <w:rFonts w:ascii="Arial" w:cs="Arial" w:eastAsia="Arial" w:hAnsi="Arial"/>
          <w:sz w:val="18"/>
          <w:szCs w:val="18"/>
          <w:color w:val="auto"/>
        </w:rPr>
        <w:t>”). This communication constitutes a “Confirmation” as referred to in the Agreement specified below.</w:t>
      </w:r>
    </w:p>
    <w:p>
      <w:pPr>
        <w:spacing w:after="0" w:line="176" w:lineRule="exact"/>
        <w:rPr>
          <w:sz w:val="20"/>
          <w:szCs w:val="20"/>
          <w:color w:val="auto"/>
        </w:rPr>
      </w:pPr>
    </w:p>
    <w:p>
      <w:pPr>
        <w:ind w:firstLine="656"/>
        <w:spacing w:after="0" w:line="281" w:lineRule="auto"/>
        <w:tabs>
          <w:tab w:leader="none" w:pos="972"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2006 ISDA Definitions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and together with the 2006 Definitions, the “</w:t>
      </w:r>
      <w:r>
        <w:rPr>
          <w:rFonts w:ascii="Arial" w:cs="Arial" w:eastAsia="Arial" w:hAnsi="Arial"/>
          <w:sz w:val="17"/>
          <w:szCs w:val="17"/>
          <w:b w:val="1"/>
          <w:bCs w:val="1"/>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For purposes of the Equity Definitions, each reference herein to a Warrant shall be deemed to be a reference to a Call Option or an Option, as context requires.</w:t>
      </w:r>
    </w:p>
    <w:p>
      <w:pPr>
        <w:spacing w:after="0" w:line="16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(ii) the replacement of the word “third” in the last line of Section 5(a)(i) of the Agreement with the word “first” and (iii) the election that the “Cross Default” provisions of Section 5(a)(vi) of the Agreement shall apply to Counterparty with a “Threshold Amount” of USD15.0 million).</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14" w:name="page315"/>
    <w:bookmarkEnd w:id="314"/>
    <w:p>
      <w:pPr>
        <w:spacing w:after="0"/>
        <w:rPr>
          <w:sz w:val="20"/>
          <w:szCs w:val="20"/>
          <w:color w:val="auto"/>
        </w:rPr>
      </w:pPr>
      <w:r>
        <w:rPr>
          <w:rFonts w:ascii="Arial" w:cs="Arial" w:eastAsia="Arial" w:hAnsi="Arial"/>
          <w:sz w:val="16"/>
          <w:szCs w:val="16"/>
          <w:color w:val="auto"/>
        </w:rPr>
        <w:t>Definitions shall not be construed to exclude or limit any other provision of this Confirmation, the Agreement, the Equity Definitions or the 2006 Definitions.</w:t>
      </w:r>
    </w:p>
    <w:p>
      <w:pPr>
        <w:spacing w:after="0" w:line="248"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360" w:firstLine="656"/>
        <w:spacing w:after="0" w:line="277" w:lineRule="auto"/>
        <w:tabs>
          <w:tab w:leader="none" w:pos="97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General Terms:</w:t>
            </w:r>
          </w:p>
        </w:tc>
        <w:tc>
          <w:tcPr>
            <w:tcW w:w="8360" w:type="dxa"/>
            <w:vAlign w:val="bottom"/>
          </w:tcPr>
          <w:p>
            <w:pPr>
              <w:spacing w:after="0"/>
              <w:rPr>
                <w:sz w:val="20"/>
                <w:szCs w:val="20"/>
                <w:color w:val="auto"/>
              </w:rPr>
            </w:pP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8360" w:type="dxa"/>
            <w:vAlign w:val="bottom"/>
          </w:tcPr>
          <w:p>
            <w:pPr>
              <w:ind w:left="900"/>
              <w:spacing w:after="0"/>
              <w:rPr>
                <w:sz w:val="20"/>
                <w:szCs w:val="20"/>
                <w:color w:val="auto"/>
              </w:rPr>
            </w:pPr>
            <w:r>
              <w:rPr>
                <w:rFonts w:ascii="Arial" w:cs="Arial" w:eastAsia="Arial" w:hAnsi="Arial"/>
                <w:sz w:val="18"/>
                <w:szCs w:val="18"/>
                <w:color w:val="auto"/>
              </w:rPr>
              <w:t>October 30, 2019</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8360" w:type="dxa"/>
            <w:vAlign w:val="bottom"/>
          </w:tcPr>
          <w:p>
            <w:pPr>
              <w:ind w:left="900"/>
              <w:spacing w:after="0"/>
              <w:rPr>
                <w:sz w:val="20"/>
                <w:szCs w:val="20"/>
                <w:color w:val="auto"/>
              </w:rPr>
            </w:pPr>
            <w:r>
              <w:rPr>
                <w:rFonts w:ascii="Arial" w:cs="Arial" w:eastAsia="Arial" w:hAnsi="Arial"/>
                <w:sz w:val="18"/>
                <w:szCs w:val="18"/>
                <w:color w:val="auto"/>
                <w:w w:val="94"/>
              </w:rPr>
              <w:t>November 1, 2019, or such other date as agreed between the parties, subject to Section 8(l) below</w:t>
            </w:r>
          </w:p>
        </w:tc>
      </w:tr>
      <w:tr>
        <w:trPr>
          <w:trHeight w:val="418"/>
        </w:trPr>
        <w:tc>
          <w:tcPr>
            <w:tcW w:w="3100" w:type="dxa"/>
            <w:vAlign w:val="bottom"/>
          </w:tcPr>
          <w:p>
            <w:pPr>
              <w:ind w:left="660"/>
              <w:spacing w:after="0"/>
              <w:rPr>
                <w:sz w:val="20"/>
                <w:szCs w:val="20"/>
                <w:color w:val="auto"/>
              </w:rPr>
            </w:pPr>
            <w:r>
              <w:rPr>
                <w:rFonts w:ascii="Arial" w:cs="Arial" w:eastAsia="Arial" w:hAnsi="Arial"/>
                <w:sz w:val="18"/>
                <w:szCs w:val="18"/>
                <w:color w:val="auto"/>
              </w:rPr>
              <w:t>Components:</w:t>
            </w:r>
          </w:p>
        </w:tc>
        <w:tc>
          <w:tcPr>
            <w:tcW w:w="8360" w:type="dxa"/>
            <w:vAlign w:val="bottom"/>
          </w:tcPr>
          <w:p>
            <w:pPr>
              <w:ind w:left="900"/>
              <w:spacing w:after="0"/>
              <w:rPr>
                <w:sz w:val="20"/>
                <w:szCs w:val="20"/>
                <w:color w:val="auto"/>
              </w:rPr>
            </w:pPr>
            <w:r>
              <w:rPr>
                <w:rFonts w:ascii="Arial" w:cs="Arial" w:eastAsia="Arial" w:hAnsi="Arial"/>
                <w:sz w:val="18"/>
                <w:szCs w:val="18"/>
                <w:color w:val="auto"/>
                <w:w w:val="98"/>
              </w:rPr>
              <w:t>The Transaction will be divided into individual Components, each with the terms set forth in this</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6"/>
              </w:rPr>
              <w:t>Confirmation, and, in particular, with the Number of Warrants and Expiration Date set forth in this</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6"/>
              </w:rPr>
              <w:t>Confirmation. The payments and deliveries to be made upon settlement of the Transaction will be</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1"/>
              </w:rPr>
              <w:t>determined separately for each Component as if each Component were a separate Transaction under</w:t>
            </w:r>
          </w:p>
        </w:tc>
      </w:tr>
      <w:tr>
        <w:trPr>
          <w:trHeight w:val="230"/>
        </w:trPr>
        <w:tc>
          <w:tcPr>
            <w:tcW w:w="3100" w:type="dxa"/>
            <w:vAlign w:val="bottom"/>
          </w:tcPr>
          <w:p>
            <w:pPr>
              <w:spacing w:after="0"/>
              <w:rPr>
                <w:sz w:val="20"/>
                <w:szCs w:val="20"/>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rPr>
              <w:t>the Agreement.</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Warrant Style:</w:t>
            </w:r>
          </w:p>
        </w:tc>
        <w:tc>
          <w:tcPr>
            <w:tcW w:w="8360" w:type="dxa"/>
            <w:vAlign w:val="bottom"/>
          </w:tcPr>
          <w:p>
            <w:pPr>
              <w:ind w:left="900"/>
              <w:spacing w:after="0"/>
              <w:rPr>
                <w:sz w:val="20"/>
                <w:szCs w:val="20"/>
                <w:color w:val="auto"/>
              </w:rPr>
            </w:pPr>
            <w:r>
              <w:rPr>
                <w:rFonts w:ascii="Arial" w:cs="Arial" w:eastAsia="Arial" w:hAnsi="Arial"/>
                <w:sz w:val="18"/>
                <w:szCs w:val="18"/>
                <w:color w:val="auto"/>
              </w:rPr>
              <w:t>European</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Warrant Type:</w:t>
            </w:r>
          </w:p>
        </w:tc>
        <w:tc>
          <w:tcPr>
            <w:tcW w:w="8360" w:type="dxa"/>
            <w:vAlign w:val="bottom"/>
          </w:tcPr>
          <w:p>
            <w:pPr>
              <w:ind w:left="900"/>
              <w:spacing w:after="0"/>
              <w:rPr>
                <w:sz w:val="20"/>
                <w:szCs w:val="20"/>
                <w:color w:val="auto"/>
              </w:rPr>
            </w:pPr>
            <w:r>
              <w:rPr>
                <w:rFonts w:ascii="Arial" w:cs="Arial" w:eastAsia="Arial" w:hAnsi="Arial"/>
                <w:sz w:val="18"/>
                <w:szCs w:val="18"/>
                <w:color w:val="auto"/>
              </w:rPr>
              <w:t>Call</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Seller:</w:t>
            </w:r>
          </w:p>
        </w:tc>
        <w:tc>
          <w:tcPr>
            <w:tcW w:w="8360" w:type="dxa"/>
            <w:vAlign w:val="bottom"/>
          </w:tcPr>
          <w:p>
            <w:pPr>
              <w:ind w:left="900"/>
              <w:spacing w:after="0"/>
              <w:rPr>
                <w:sz w:val="20"/>
                <w:szCs w:val="20"/>
                <w:color w:val="auto"/>
              </w:rPr>
            </w:pPr>
            <w:r>
              <w:rPr>
                <w:rFonts w:ascii="Arial" w:cs="Arial" w:eastAsia="Arial" w:hAnsi="Arial"/>
                <w:sz w:val="18"/>
                <w:szCs w:val="18"/>
                <w:color w:val="auto"/>
              </w:rPr>
              <w:t>Counterparty</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Buyer:</w:t>
            </w:r>
          </w:p>
        </w:tc>
        <w:tc>
          <w:tcPr>
            <w:tcW w:w="8360" w:type="dxa"/>
            <w:vAlign w:val="bottom"/>
          </w:tcPr>
          <w:p>
            <w:pPr>
              <w:ind w:left="900"/>
              <w:spacing w:after="0"/>
              <w:rPr>
                <w:sz w:val="20"/>
                <w:szCs w:val="20"/>
                <w:color w:val="auto"/>
              </w:rPr>
            </w:pPr>
            <w:r>
              <w:rPr>
                <w:rFonts w:ascii="Arial" w:cs="Arial" w:eastAsia="Arial" w:hAnsi="Arial"/>
                <w:sz w:val="18"/>
                <w:szCs w:val="18"/>
                <w:color w:val="auto"/>
              </w:rPr>
              <w:t>Dealer</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Shares:</w:t>
            </w:r>
          </w:p>
        </w:tc>
        <w:tc>
          <w:tcPr>
            <w:tcW w:w="8360" w:type="dxa"/>
            <w:vAlign w:val="bottom"/>
          </w:tcPr>
          <w:p>
            <w:pPr>
              <w:ind w:left="900"/>
              <w:spacing w:after="0"/>
              <w:rPr>
                <w:sz w:val="20"/>
                <w:szCs w:val="20"/>
                <w:color w:val="auto"/>
              </w:rPr>
            </w:pPr>
            <w:r>
              <w:rPr>
                <w:rFonts w:ascii="Arial" w:cs="Arial" w:eastAsia="Arial" w:hAnsi="Arial"/>
                <w:sz w:val="18"/>
                <w:szCs w:val="18"/>
                <w:color w:val="auto"/>
              </w:rPr>
              <w:t>The Common Stock of Counterparty, par value USD0.50 (Ticker Symbol: “WGO”).</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Number of Warrants:</w:t>
            </w:r>
          </w:p>
        </w:tc>
        <w:tc>
          <w:tcPr>
            <w:tcW w:w="8360" w:type="dxa"/>
            <w:vAlign w:val="bottom"/>
          </w:tcPr>
          <w:p>
            <w:pPr>
              <w:ind w:left="900"/>
              <w:spacing w:after="0"/>
              <w:rPr>
                <w:sz w:val="20"/>
                <w:szCs w:val="20"/>
                <w:color w:val="auto"/>
              </w:rPr>
            </w:pPr>
            <w:r>
              <w:rPr>
                <w:rFonts w:ascii="Arial" w:cs="Arial" w:eastAsia="Arial" w:hAnsi="Arial"/>
                <w:sz w:val="18"/>
                <w:szCs w:val="18"/>
                <w:color w:val="auto"/>
              </w:rPr>
              <w:t>For each Component, as provided in Annex A to this Confirmation.</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Warrant Entitlement:</w:t>
            </w:r>
          </w:p>
        </w:tc>
        <w:tc>
          <w:tcPr>
            <w:tcW w:w="8360" w:type="dxa"/>
            <w:vAlign w:val="bottom"/>
          </w:tcPr>
          <w:p>
            <w:pPr>
              <w:ind w:left="900"/>
              <w:spacing w:after="0"/>
              <w:rPr>
                <w:sz w:val="20"/>
                <w:szCs w:val="20"/>
                <w:color w:val="auto"/>
              </w:rPr>
            </w:pPr>
            <w:r>
              <w:rPr>
                <w:rFonts w:ascii="Arial" w:cs="Arial" w:eastAsia="Arial" w:hAnsi="Arial"/>
                <w:sz w:val="18"/>
                <w:szCs w:val="18"/>
                <w:color w:val="auto"/>
              </w:rPr>
              <w:t>One Share per Warrant</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8360" w:type="dxa"/>
            <w:vAlign w:val="bottom"/>
          </w:tcPr>
          <w:p>
            <w:pPr>
              <w:ind w:left="900"/>
              <w:spacing w:after="0"/>
              <w:rPr>
                <w:sz w:val="20"/>
                <w:szCs w:val="20"/>
                <w:color w:val="auto"/>
              </w:rPr>
            </w:pPr>
            <w:r>
              <w:rPr>
                <w:rFonts w:ascii="Arial" w:cs="Arial" w:eastAsia="Arial" w:hAnsi="Arial"/>
                <w:sz w:val="18"/>
                <w:szCs w:val="18"/>
                <w:color w:val="auto"/>
              </w:rPr>
              <w:t>USD96.2000</w:t>
            </w:r>
          </w:p>
        </w:tc>
      </w:tr>
      <w:tr>
        <w:trPr>
          <w:trHeight w:val="418"/>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rPr>
              <w:t>Notwithstanding anything to the contrary in the Agreement, this Confirmation or the Equity</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4"/>
              </w:rPr>
              <w:t>Definitions, in no event shall the Strike Price be subject to adjustment to the extent that, after giving</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1"/>
              </w:rPr>
              <w:t>effect to such adjustment, the Strike Price would be less than USD 48.1000, except for any adjustment</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4"/>
              </w:rPr>
              <w:t>pursuant to the terms of this Confirmation and the Equity Definitions in connection with a stock split</w:t>
            </w:r>
          </w:p>
        </w:tc>
      </w:tr>
      <w:tr>
        <w:trPr>
          <w:trHeight w:val="230"/>
        </w:trPr>
        <w:tc>
          <w:tcPr>
            <w:tcW w:w="3100" w:type="dxa"/>
            <w:vAlign w:val="bottom"/>
          </w:tcPr>
          <w:p>
            <w:pPr>
              <w:spacing w:after="0"/>
              <w:rPr>
                <w:sz w:val="20"/>
                <w:szCs w:val="20"/>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rPr>
              <w:t>or similar change to Counterparty’s capitalization.</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Number of Shares:</w:t>
            </w:r>
          </w:p>
        </w:tc>
        <w:tc>
          <w:tcPr>
            <w:tcW w:w="8360" w:type="dxa"/>
            <w:vAlign w:val="bottom"/>
          </w:tcPr>
          <w:p>
            <w:pPr>
              <w:ind w:left="900"/>
              <w:spacing w:after="0"/>
              <w:rPr>
                <w:sz w:val="20"/>
                <w:szCs w:val="20"/>
                <w:color w:val="auto"/>
              </w:rPr>
            </w:pPr>
            <w:r>
              <w:rPr>
                <w:rFonts w:ascii="Arial" w:cs="Arial" w:eastAsia="Arial" w:hAnsi="Arial"/>
                <w:sz w:val="18"/>
                <w:szCs w:val="18"/>
                <w:color w:val="auto"/>
              </w:rPr>
              <w:t>As of any date, a number of Shares equal to the</w:t>
            </w:r>
          </w:p>
        </w:tc>
      </w:tr>
      <w:tr>
        <w:trPr>
          <w:trHeight w:val="432"/>
        </w:trPr>
        <w:tc>
          <w:tcPr>
            <w:tcW w:w="3100" w:type="dxa"/>
            <w:vAlign w:val="bottom"/>
          </w:tcPr>
          <w:p>
            <w:pPr>
              <w:spacing w:after="0"/>
              <w:rPr>
                <w:sz w:val="24"/>
                <w:szCs w:val="24"/>
                <w:color w:val="auto"/>
              </w:rPr>
            </w:pPr>
          </w:p>
        </w:tc>
        <w:tc>
          <w:tcPr>
            <w:tcW w:w="8360" w:type="dxa"/>
            <w:vAlign w:val="bottom"/>
          </w:tcPr>
          <w:p>
            <w:pPr>
              <w:ind w:left="2560"/>
              <w:spacing w:after="0"/>
              <w:rPr>
                <w:sz w:val="20"/>
                <w:szCs w:val="20"/>
                <w:color w:val="auto"/>
              </w:rPr>
            </w:pPr>
            <w:r>
              <w:rPr>
                <w:rFonts w:ascii="Arial" w:cs="Arial" w:eastAsia="Arial" w:hAnsi="Arial"/>
                <w:sz w:val="18"/>
                <w:szCs w:val="18"/>
                <w:color w:val="auto"/>
              </w:rPr>
              <w:t>2</w:t>
            </w:r>
          </w:p>
        </w:tc>
      </w:tr>
      <w:tr>
        <w:trPr>
          <w:trHeight w:val="132"/>
        </w:trPr>
        <w:tc>
          <w:tcPr>
            <w:tcW w:w="3100" w:type="dxa"/>
            <w:vAlign w:val="bottom"/>
            <w:tcBorders>
              <w:bottom w:val="single" w:sz="8" w:color="808080"/>
            </w:tcBorders>
          </w:tcPr>
          <w:p>
            <w:pPr>
              <w:spacing w:after="0"/>
              <w:rPr>
                <w:sz w:val="11"/>
                <w:szCs w:val="11"/>
                <w:color w:val="auto"/>
              </w:rPr>
            </w:pPr>
          </w:p>
        </w:tc>
        <w:tc>
          <w:tcPr>
            <w:tcW w:w="8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15" w:name="page316"/>
    <w:bookmarkEnd w:id="315"/>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 Payment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Exercise: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 respect of any Component: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product of the Number of Warrants and the Warrant Entitlement.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USD2,110,500.00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Valuation Time</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Confirmation (or, if such date is not a Scheduled Trading Day, the next following Scheduled Trading Day that is not already an Expiration Date for another Component);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that date is a Disrupted Day, the Expiration Date for such Component shall be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succeeding Scheduled Trading Day that is not a Disrupted Day and is not and is not deemed to be an Expiration Date in respect of any other Component of the Transaction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Expiration Date has not occurred pursuant to the preceding 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 be a Disrupted Day in full</w:t>
      </w:r>
      <w:r>
        <w:rPr>
          <w:rFonts w:ascii="Arial" w:cs="Arial" w:eastAsia="Arial" w:hAnsi="Arial"/>
          <w:sz w:val="16"/>
          <w:szCs w:val="16"/>
          <w:b w:val="1"/>
          <w:bCs w:val="1"/>
          <w:color w:val="auto"/>
        </w:rPr>
        <w:t>.</w:t>
      </w:r>
      <w:r>
        <w:rPr>
          <w:rFonts w:ascii="Arial" w:cs="Arial" w:eastAsia="Arial" w:hAnsi="Arial"/>
          <w:sz w:val="16"/>
          <w:szCs w:val="16"/>
          <w:color w:val="auto"/>
        </w:rPr>
        <w:t xml:space="preserve"> Section 6.6 of the Equity Definitions shall not apply to any Valuation Date occurring on an Expiration Date. “</w:t>
      </w:r>
      <w:r>
        <w:rPr>
          <w:rFonts w:ascii="Arial" w:cs="Arial" w:eastAsia="Arial" w:hAnsi="Arial"/>
          <w:sz w:val="16"/>
          <w:szCs w:val="16"/>
          <w:b w:val="1"/>
          <w:bCs w:val="1"/>
          <w:color w:val="auto"/>
        </w:rPr>
        <w:t>Final Disruption Date</w:t>
      </w:r>
      <w:r>
        <w:rPr>
          <w:rFonts w:ascii="Arial" w:cs="Arial" w:eastAsia="Arial" w:hAnsi="Arial"/>
          <w:sz w:val="16"/>
          <w:szCs w:val="16"/>
          <w:color w:val="auto"/>
        </w:rPr>
        <w:t>” means December 3, 2025.</w:t>
      </w:r>
    </w:p>
    <w:p>
      <w:pPr>
        <w:spacing w:after="0" w:line="18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280" w:space="720"/>
            <w:col w:w="7420"/>
          </w:cols>
          <w:pgMar w:left="240" w:top="341" w:right="239" w:bottom="1440" w:gutter="0" w:footer="0" w:header="0"/>
        </w:sectPr>
      </w:pPr>
    </w:p>
    <w:bookmarkStart w:id="316" w:name="page317"/>
    <w:bookmarkEnd w:id="316"/>
    <w:p>
      <w:pPr>
        <w:ind w:left="660"/>
        <w:spacing w:after="0"/>
        <w:rPr>
          <w:sz w:val="20"/>
          <w:szCs w:val="20"/>
          <w:color w:val="auto"/>
        </w:rPr>
      </w:pPr>
      <w:r>
        <w:rPr>
          <w:rFonts w:ascii="Arial" w:cs="Arial" w:eastAsia="Arial" w:hAnsi="Arial"/>
          <w:sz w:val="18"/>
          <w:szCs w:val="18"/>
          <w:color w:val="auto"/>
        </w:rPr>
        <w:t>Market Disruption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Regulatory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Counterparty’s Telephone Number and Telex and/or Facsimile Number and Contact Details for purpose of Giving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Currency: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Share Settlement:</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event that Dealer, in its discretion, determines makes it appropriate, with regard to any legal, regulatory or self-regulatory requirements or related policies and procedures (whether or not such requirements or related policies and procedures are imposed by law or have been voluntarily adopted by Dealer), for Dealer to refrain from or decrease any market activity in connection with the Transaction.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Section 6(a)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each Settlement Date, Counterparty shall deliver to Dealer a number of Shares equal to the Number of Shares to be Delivered for such Settlement Date to the account specified by Dealer and cash in lieu of any fractional Share valued at the Relevant Price on the Valuation Date corresponding to such Settlement Date. If, in the reasonable opinion of Dealer, based on advice of counsel, for any reason, the Shares deliverable upon Net Share Settlement would not be immediately freely transferable by Dealer under Rule 144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then Dealer may elect to either (x) accept delivery of such Shares notwithstanding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on transfer or (y)</w:t>
      </w:r>
    </w:p>
    <w:p>
      <w:pPr>
        <w:spacing w:after="0" w:line="19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460" w:space="540"/>
            <w:col w:w="7360"/>
          </w:cols>
          <w:pgMar w:left="240" w:top="341" w:right="299" w:bottom="1440" w:gutter="0" w:footer="0" w:header="0"/>
        </w:sectPr>
      </w:pPr>
    </w:p>
    <w:bookmarkStart w:id="317" w:name="page318"/>
    <w:bookmarkEnd w:id="3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Extraordinary 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have the provisions set forth in Section 8(c) below apply.</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Number of Shares to be Delivered shall be delivered by Counterparty to Dealer no later than 12:00 noon (local time in New York City) on the relevant Settlement Date.</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such VWAP Price.</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p>
      <w:pPr>
        <w:spacing w:after="0" w:line="18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provisions of Sections 9.1(c), 9.4, 9.8, 9.9, 9.10, 9.11 and 9.12 of the Equity Definitions will be applicable as if “Physical Settlement” applied to the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any regular dividend period of Counterparty, any dividend or distribution on the Shares with an ex-dividend date occurring during such regular dividend period (other than any dividend or distribution of the</w:t>
      </w:r>
    </w:p>
    <w:p>
      <w:pPr>
        <w:spacing w:after="0" w:line="18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280" w:space="720"/>
            <w:col w:w="7380"/>
          </w:cols>
          <w:pgMar w:left="240" w:top="341" w:right="27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type described in Section 11.2(e)(i) or Section 11.2(e)(ii)(A) of the Equity Definitions) (a “</w:t>
            </w:r>
            <w:r>
              <w:rPr>
                <w:rFonts w:ascii="Arial" w:cs="Arial" w:eastAsia="Arial" w:hAnsi="Arial"/>
                <w:sz w:val="18"/>
                <w:szCs w:val="18"/>
                <w:b w:val="1"/>
                <w:bCs w:val="1"/>
                <w:color w:val="auto"/>
                <w:w w:val="94"/>
              </w:rPr>
              <w:t>Dividend</w:t>
            </w:r>
            <w:r>
              <w:rPr>
                <w:rFonts w:ascii="Arial" w:cs="Arial" w:eastAsia="Arial" w:hAnsi="Arial"/>
                <w:sz w:val="18"/>
                <w:szCs w:val="18"/>
                <w:color w:val="auto"/>
                <w:w w:val="94"/>
              </w:rPr>
              <w:t>”)</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5"/>
              </w:rPr>
              <w:t>the amount or value of which (as determined by the Calculation Agent), when aggregated with the</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amount or value (as determined by the Calculation Agent) of any and all previous Dividends with ex-</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1"/>
              </w:rPr>
              <w:t>dividend dates occurring in the same regular dividend period, exceeds the Ordinary Dividend Amount.</w:t>
            </w:r>
          </w:p>
        </w:tc>
      </w:tr>
      <w:tr>
        <w:trPr>
          <w:trHeight w:val="418"/>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Ordinary Dividend Amount:</w:t>
            </w:r>
          </w:p>
        </w:tc>
        <w:tc>
          <w:tcPr>
            <w:tcW w:w="7940" w:type="dxa"/>
            <w:vAlign w:val="bottom"/>
          </w:tcPr>
          <w:p>
            <w:pPr>
              <w:ind w:left="480"/>
              <w:spacing w:after="0"/>
              <w:rPr>
                <w:sz w:val="20"/>
                <w:szCs w:val="20"/>
                <w:color w:val="auto"/>
              </w:rPr>
            </w:pPr>
            <w:r>
              <w:rPr>
                <w:rFonts w:ascii="Arial" w:cs="Arial" w:eastAsia="Arial" w:hAnsi="Arial"/>
                <w:sz w:val="18"/>
                <w:szCs w:val="18"/>
                <w:color w:val="auto"/>
              </w:rPr>
              <w:t>For the first Dividend on the Shares for which the ex-dividend date occurs during any regular</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6"/>
              </w:rPr>
              <w:t>quarterly dividend period of Counterparty, USD0.11, and for any other Dividend on the Shares for</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which the ex-dividend date occurs during the same regular quarterly dividend period, USD 0.00.</w:t>
            </w: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Extraordinary Events:</w:t>
            </w:r>
          </w:p>
        </w:tc>
        <w:tc>
          <w:tcPr>
            <w:tcW w:w="7940" w:type="dxa"/>
            <w:vAlign w:val="bottom"/>
          </w:tcPr>
          <w:p>
            <w:pPr>
              <w:spacing w:after="0"/>
              <w:rPr>
                <w:sz w:val="24"/>
                <w:szCs w:val="24"/>
                <w:color w:val="auto"/>
              </w:rPr>
            </w:pPr>
          </w:p>
        </w:tc>
      </w:tr>
      <w:tr>
        <w:trPr>
          <w:trHeight w:val="418"/>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New Shares:</w:t>
            </w:r>
          </w:p>
        </w:tc>
        <w:tc>
          <w:tcPr>
            <w:tcW w:w="7940" w:type="dxa"/>
            <w:vAlign w:val="bottom"/>
          </w:tcPr>
          <w:p>
            <w:pPr>
              <w:ind w:left="480"/>
              <w:spacing w:after="0"/>
              <w:rPr>
                <w:sz w:val="20"/>
                <w:szCs w:val="20"/>
                <w:color w:val="auto"/>
              </w:rPr>
            </w:pPr>
            <w:r>
              <w:rPr>
                <w:rFonts w:ascii="Arial" w:cs="Arial" w:eastAsia="Arial" w:hAnsi="Arial"/>
                <w:sz w:val="18"/>
                <w:szCs w:val="18"/>
                <w:color w:val="auto"/>
              </w:rPr>
              <w:t>In the definition of New Shares in Section 12.1(i) of the Equity Definitions, the text in clause</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(i) thereof shall be deleted in its entirety and replaced with “publicly quoted, traded or listed on any of</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The New York Stock Exchange, The NASDAQ Global Market or The NASDAQ Global Select</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1"/>
              </w:rPr>
              <w:t>Market (or their respective successors) and of an entity or person that is a corporation organized under</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the laws of the United States, any State thereof or the District of Columbia”.</w:t>
            </w:r>
          </w:p>
        </w:tc>
      </w:tr>
      <w:tr>
        <w:trPr>
          <w:trHeight w:val="418"/>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Merger Event:</w:t>
            </w:r>
          </w:p>
        </w:tc>
        <w:tc>
          <w:tcPr>
            <w:tcW w:w="7940" w:type="dxa"/>
            <w:vAlign w:val="bottom"/>
          </w:tcPr>
          <w:p>
            <w:pPr>
              <w:ind w:left="4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occurs that constitutes both a Merger Event under</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Section 12.1(b) of the Equity Definitions and an Additional Termination Event under Section 8(k)</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(iv) of this Confirmation, Dealer may elect, in its sole discretion, whether the provisions of</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Section 12.2 of the Equity Definitions or Section 8(k)(iv) will apply.</w:t>
            </w:r>
          </w:p>
        </w:tc>
      </w:tr>
      <w:tr>
        <w:trPr>
          <w:trHeight w:val="432"/>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Consequences of Merger Events:</w:t>
            </w:r>
          </w:p>
        </w:tc>
        <w:tc>
          <w:tcPr>
            <w:tcW w:w="7940" w:type="dxa"/>
            <w:vAlign w:val="bottom"/>
          </w:tcPr>
          <w:p>
            <w:pPr>
              <w:spacing w:after="0"/>
              <w:rPr>
                <w:sz w:val="24"/>
                <w:szCs w:val="24"/>
                <w:color w:val="auto"/>
              </w:rPr>
            </w:pPr>
          </w:p>
        </w:tc>
      </w:tr>
      <w:tr>
        <w:trPr>
          <w:trHeight w:val="432"/>
        </w:trPr>
        <w:tc>
          <w:tcPr>
            <w:tcW w:w="3520" w:type="dxa"/>
            <w:vAlign w:val="bottom"/>
            <w:gridSpan w:val="2"/>
          </w:tcPr>
          <w:p>
            <w:pPr>
              <w:ind w:left="980"/>
              <w:spacing w:after="0"/>
              <w:rPr>
                <w:sz w:val="20"/>
                <w:szCs w:val="20"/>
                <w:color w:val="auto"/>
              </w:rPr>
            </w:pPr>
            <w:r>
              <w:rPr>
                <w:rFonts w:ascii="Arial" w:cs="Arial" w:eastAsia="Arial" w:hAnsi="Arial"/>
                <w:sz w:val="18"/>
                <w:szCs w:val="18"/>
                <w:color w:val="auto"/>
              </w:rPr>
              <w:t>(a)  Share-for-Share:</w:t>
            </w:r>
          </w:p>
        </w:tc>
        <w:tc>
          <w:tcPr>
            <w:tcW w:w="7940" w:type="dxa"/>
            <w:vAlign w:val="bottom"/>
          </w:tcPr>
          <w:p>
            <w:pPr>
              <w:ind w:left="48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1260" w:type="dxa"/>
            <w:vAlign w:val="bottom"/>
          </w:tcPr>
          <w:p>
            <w:pPr>
              <w:ind w:left="980"/>
              <w:spacing w:after="0"/>
              <w:rPr>
                <w:sz w:val="20"/>
                <w:szCs w:val="20"/>
                <w:color w:val="auto"/>
              </w:rPr>
            </w:pPr>
            <w:r>
              <w:rPr>
                <w:rFonts w:ascii="Arial" w:cs="Arial" w:eastAsia="Arial" w:hAnsi="Arial"/>
                <w:sz w:val="18"/>
                <w:szCs w:val="18"/>
                <w:color w:val="auto"/>
              </w:rPr>
              <w:t>(b)</w:t>
            </w:r>
          </w:p>
        </w:tc>
        <w:tc>
          <w:tcPr>
            <w:tcW w:w="2260" w:type="dxa"/>
            <w:vAlign w:val="bottom"/>
          </w:tcPr>
          <w:p>
            <w:pPr>
              <w:ind w:left="60"/>
              <w:spacing w:after="0"/>
              <w:rPr>
                <w:sz w:val="20"/>
                <w:szCs w:val="20"/>
                <w:color w:val="auto"/>
              </w:rPr>
            </w:pPr>
            <w:r>
              <w:rPr>
                <w:rFonts w:ascii="Arial" w:cs="Arial" w:eastAsia="Arial" w:hAnsi="Arial"/>
                <w:sz w:val="18"/>
                <w:szCs w:val="18"/>
                <w:color w:val="auto"/>
              </w:rPr>
              <w:t>Share-for-Other:</w:t>
            </w: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 xml:space="preserve">Cancellation and Payment (Calculation Agent Determination);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Dealer may elect, in its</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sole discretion, that Modified Calculation Agent Adjustment shall apply for all or part of the</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Transaction.</w:t>
            </w:r>
          </w:p>
        </w:tc>
      </w:tr>
      <w:tr>
        <w:trPr>
          <w:trHeight w:val="418"/>
        </w:trPr>
        <w:tc>
          <w:tcPr>
            <w:tcW w:w="1260" w:type="dxa"/>
            <w:vAlign w:val="bottom"/>
          </w:tcPr>
          <w:p>
            <w:pPr>
              <w:ind w:left="980"/>
              <w:spacing w:after="0"/>
              <w:rPr>
                <w:sz w:val="20"/>
                <w:szCs w:val="20"/>
                <w:color w:val="auto"/>
              </w:rPr>
            </w:pPr>
            <w:r>
              <w:rPr>
                <w:rFonts w:ascii="Arial" w:cs="Arial" w:eastAsia="Arial" w:hAnsi="Arial"/>
                <w:sz w:val="18"/>
                <w:szCs w:val="18"/>
                <w:color w:val="auto"/>
              </w:rPr>
              <w:t>(c)</w:t>
            </w:r>
          </w:p>
        </w:tc>
        <w:tc>
          <w:tcPr>
            <w:tcW w:w="2260" w:type="dxa"/>
            <w:vAlign w:val="bottom"/>
          </w:tcPr>
          <w:p>
            <w:pPr>
              <w:ind w:left="60"/>
              <w:spacing w:after="0"/>
              <w:rPr>
                <w:sz w:val="20"/>
                <w:szCs w:val="20"/>
                <w:color w:val="auto"/>
              </w:rPr>
            </w:pPr>
            <w:r>
              <w:rPr>
                <w:rFonts w:ascii="Arial" w:cs="Arial" w:eastAsia="Arial" w:hAnsi="Arial"/>
                <w:sz w:val="18"/>
                <w:szCs w:val="18"/>
                <w:color w:val="auto"/>
              </w:rPr>
              <w:t>Share-for-Combined:</w:t>
            </w: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 xml:space="preserve">Cancellation and Payment (Calculation Agent Determination);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Dealer may elect, in its</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sole discretion, that Modified Calculation Agent Adjustment or Component Adjustment shall apply for</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all or part of the Transaction.</w:t>
            </w:r>
          </w:p>
        </w:tc>
      </w:tr>
      <w:tr>
        <w:trPr>
          <w:trHeight w:val="418"/>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Tender Offer:</w:t>
            </w:r>
          </w:p>
        </w:tc>
        <w:tc>
          <w:tcPr>
            <w:tcW w:w="7940" w:type="dxa"/>
            <w:vAlign w:val="bottom"/>
          </w:tcPr>
          <w:p>
            <w:pPr>
              <w:ind w:left="4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occurs that constitutes both a Tender Offer under</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Section 12.1(d) of the Equity Definitions and an Additional Termination Event under Section 8(k)</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(iii) of this Confirmation, Dealer may elect, in its sole discretion,</w:t>
            </w:r>
          </w:p>
        </w:tc>
      </w:tr>
      <w:tr>
        <w:trPr>
          <w:trHeight w:val="432"/>
        </w:trPr>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940" w:type="dxa"/>
            <w:vAlign w:val="bottom"/>
          </w:tcPr>
          <w:p>
            <w:pPr>
              <w:ind w:left="2140"/>
              <w:spacing w:after="0"/>
              <w:rPr>
                <w:sz w:val="20"/>
                <w:szCs w:val="20"/>
                <w:color w:val="auto"/>
              </w:rPr>
            </w:pPr>
            <w:r>
              <w:rPr>
                <w:rFonts w:ascii="Arial" w:cs="Arial" w:eastAsia="Arial" w:hAnsi="Arial"/>
                <w:sz w:val="18"/>
                <w:szCs w:val="18"/>
                <w:color w:val="auto"/>
              </w:rPr>
              <w:t>6</w:t>
            </w:r>
          </w:p>
        </w:tc>
      </w:tr>
      <w:tr>
        <w:trPr>
          <w:trHeight w:val="132"/>
        </w:trPr>
        <w:tc>
          <w:tcPr>
            <w:tcW w:w="126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7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30"/>
        </w:trPr>
        <w:tc>
          <w:tcPr>
            <w:tcW w:w="3800" w:type="dxa"/>
            <w:vAlign w:val="bottom"/>
            <w:vMerge w:val="restart"/>
          </w:tcPr>
          <w:p>
            <w:pPr>
              <w:ind w:left="660"/>
              <w:spacing w:after="0"/>
              <w:rPr>
                <w:sz w:val="20"/>
                <w:szCs w:val="20"/>
                <w:color w:val="auto"/>
              </w:rPr>
            </w:pPr>
            <w:r>
              <w:rPr>
                <w:rFonts w:ascii="Arial" w:cs="Arial" w:eastAsia="Arial" w:hAnsi="Arial"/>
                <w:sz w:val="18"/>
                <w:szCs w:val="18"/>
                <w:color w:val="auto"/>
              </w:rPr>
              <w:t>Consequences of Tender Offers:</w:t>
            </w:r>
          </w:p>
        </w:tc>
        <w:tc>
          <w:tcPr>
            <w:tcW w:w="7660" w:type="dxa"/>
            <w:vAlign w:val="bottom"/>
          </w:tcPr>
          <w:p>
            <w:pPr>
              <w:ind w:left="200"/>
              <w:spacing w:after="0"/>
              <w:rPr>
                <w:sz w:val="20"/>
                <w:szCs w:val="20"/>
                <w:color w:val="auto"/>
              </w:rPr>
            </w:pPr>
            <w:r>
              <w:rPr>
                <w:rFonts w:ascii="Arial" w:cs="Arial" w:eastAsia="Arial" w:hAnsi="Arial"/>
                <w:sz w:val="18"/>
                <w:szCs w:val="18"/>
                <w:color w:val="auto"/>
              </w:rPr>
              <w:t>whether the provisions of Section 12.3 of the Equity Definitions or Section 8(k)(iii) will apply.</w:t>
            </w:r>
          </w:p>
        </w:tc>
        <w:tc>
          <w:tcPr>
            <w:tcW w:w="0" w:type="dxa"/>
            <w:vAlign w:val="bottom"/>
          </w:tcPr>
          <w:p>
            <w:pPr>
              <w:spacing w:after="0"/>
              <w:rPr>
                <w:sz w:val="1"/>
                <w:szCs w:val="1"/>
                <w:color w:val="auto"/>
              </w:rPr>
            </w:pPr>
          </w:p>
        </w:tc>
      </w:tr>
      <w:tr>
        <w:trPr>
          <w:trHeight w:val="216"/>
        </w:trPr>
        <w:tc>
          <w:tcPr>
            <w:tcW w:w="3800" w:type="dxa"/>
            <w:vAlign w:val="bottom"/>
            <w:vMerge w:val="continue"/>
          </w:tcPr>
          <w:p>
            <w:pPr>
              <w:spacing w:after="0"/>
              <w:rPr>
                <w:sz w:val="18"/>
                <w:szCs w:val="18"/>
                <w:color w:val="auto"/>
              </w:rPr>
            </w:pPr>
          </w:p>
        </w:tc>
        <w:tc>
          <w:tcPr>
            <w:tcW w:w="7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00" w:type="dxa"/>
            <w:vAlign w:val="bottom"/>
          </w:tcPr>
          <w:p>
            <w:pPr>
              <w:ind w:left="980"/>
              <w:spacing w:after="0"/>
              <w:rPr>
                <w:sz w:val="20"/>
                <w:szCs w:val="20"/>
                <w:color w:val="auto"/>
              </w:rPr>
            </w:pPr>
            <w:r>
              <w:rPr>
                <w:rFonts w:ascii="Arial" w:cs="Arial" w:eastAsia="Arial" w:hAnsi="Arial"/>
                <w:sz w:val="18"/>
                <w:szCs w:val="18"/>
                <w:color w:val="auto"/>
              </w:rPr>
              <w:t>(a)  Share-for-Share:</w:t>
            </w:r>
          </w:p>
        </w:tc>
        <w:tc>
          <w:tcPr>
            <w:tcW w:w="7660" w:type="dxa"/>
            <w:vAlign w:val="bottom"/>
          </w:tcPr>
          <w:p>
            <w:pPr>
              <w:ind w:left="200"/>
              <w:spacing w:after="0"/>
              <w:rPr>
                <w:sz w:val="20"/>
                <w:szCs w:val="20"/>
                <w:color w:val="auto"/>
              </w:rPr>
            </w:pPr>
            <w:r>
              <w:rPr>
                <w:rFonts w:ascii="Arial" w:cs="Arial" w:eastAsia="Arial" w:hAnsi="Arial"/>
                <w:sz w:val="18"/>
                <w:szCs w:val="18"/>
                <w:color w:val="auto"/>
              </w:rPr>
              <w:t>Modified Calculation Agent Adjustment</w:t>
            </w:r>
          </w:p>
        </w:tc>
        <w:tc>
          <w:tcPr>
            <w:tcW w:w="0" w:type="dxa"/>
            <w:vAlign w:val="bottom"/>
          </w:tcPr>
          <w:p>
            <w:pPr>
              <w:spacing w:after="0"/>
              <w:rPr>
                <w:sz w:val="1"/>
                <w:szCs w:val="1"/>
                <w:color w:val="auto"/>
              </w:rPr>
            </w:pPr>
          </w:p>
        </w:tc>
      </w:tr>
      <w:tr>
        <w:trPr>
          <w:trHeight w:val="432"/>
        </w:trPr>
        <w:tc>
          <w:tcPr>
            <w:tcW w:w="3800" w:type="dxa"/>
            <w:vAlign w:val="bottom"/>
          </w:tcPr>
          <w:p>
            <w:pPr>
              <w:ind w:left="980"/>
              <w:spacing w:after="0"/>
              <w:rPr>
                <w:sz w:val="20"/>
                <w:szCs w:val="20"/>
                <w:color w:val="auto"/>
              </w:rPr>
            </w:pPr>
            <w:r>
              <w:rPr>
                <w:rFonts w:ascii="Arial" w:cs="Arial" w:eastAsia="Arial" w:hAnsi="Arial"/>
                <w:sz w:val="18"/>
                <w:szCs w:val="18"/>
                <w:color w:val="auto"/>
              </w:rPr>
              <w:t>(b)  Share-for-Other:</w:t>
            </w:r>
          </w:p>
        </w:tc>
        <w:tc>
          <w:tcPr>
            <w:tcW w:w="7660" w:type="dxa"/>
            <w:vAlign w:val="bottom"/>
          </w:tcPr>
          <w:p>
            <w:pPr>
              <w:ind w:left="200"/>
              <w:spacing w:after="0"/>
              <w:rPr>
                <w:sz w:val="20"/>
                <w:szCs w:val="20"/>
                <w:color w:val="auto"/>
              </w:rPr>
            </w:pPr>
            <w:r>
              <w:rPr>
                <w:rFonts w:ascii="Arial" w:cs="Arial" w:eastAsia="Arial" w:hAnsi="Arial"/>
                <w:sz w:val="18"/>
                <w:szCs w:val="18"/>
                <w:color w:val="auto"/>
              </w:rPr>
              <w:t>Modified Calculation Agent Adjustment</w:t>
            </w:r>
          </w:p>
        </w:tc>
        <w:tc>
          <w:tcPr>
            <w:tcW w:w="0" w:type="dxa"/>
            <w:vAlign w:val="bottom"/>
          </w:tcPr>
          <w:p>
            <w:pPr>
              <w:spacing w:after="0"/>
              <w:rPr>
                <w:sz w:val="1"/>
                <w:szCs w:val="1"/>
                <w:color w:val="auto"/>
              </w:rPr>
            </w:pPr>
          </w:p>
        </w:tc>
      </w:tr>
      <w:tr>
        <w:trPr>
          <w:trHeight w:val="432"/>
        </w:trPr>
        <w:tc>
          <w:tcPr>
            <w:tcW w:w="3800" w:type="dxa"/>
            <w:vAlign w:val="bottom"/>
          </w:tcPr>
          <w:p>
            <w:pPr>
              <w:ind w:left="980"/>
              <w:spacing w:after="0"/>
              <w:rPr>
                <w:sz w:val="20"/>
                <w:szCs w:val="20"/>
                <w:color w:val="auto"/>
              </w:rPr>
            </w:pPr>
            <w:r>
              <w:rPr>
                <w:rFonts w:ascii="Arial" w:cs="Arial" w:eastAsia="Arial" w:hAnsi="Arial"/>
                <w:sz w:val="18"/>
                <w:szCs w:val="18"/>
                <w:color w:val="auto"/>
              </w:rPr>
              <w:t>(c)  Share-for-Combined:</w:t>
            </w:r>
          </w:p>
        </w:tc>
        <w:tc>
          <w:tcPr>
            <w:tcW w:w="7660" w:type="dxa"/>
            <w:vAlign w:val="bottom"/>
          </w:tcPr>
          <w:p>
            <w:pPr>
              <w:ind w:left="200"/>
              <w:spacing w:after="0"/>
              <w:rPr>
                <w:sz w:val="20"/>
                <w:szCs w:val="20"/>
                <w:color w:val="auto"/>
              </w:rPr>
            </w:pPr>
            <w:r>
              <w:rPr>
                <w:rFonts w:ascii="Arial" w:cs="Arial" w:eastAsia="Arial" w:hAnsi="Arial"/>
                <w:sz w:val="18"/>
                <w:szCs w:val="18"/>
                <w:color w:val="auto"/>
              </w:rPr>
              <w:t>Modified Calculation Agent Adjustment</w:t>
            </w:r>
          </w:p>
        </w:tc>
        <w:tc>
          <w:tcPr>
            <w:tcW w:w="0" w:type="dxa"/>
            <w:vAlign w:val="bottom"/>
          </w:tcPr>
          <w:p>
            <w:pPr>
              <w:spacing w:after="0"/>
              <w:rPr>
                <w:sz w:val="1"/>
                <w:szCs w:val="1"/>
                <w:color w:val="auto"/>
              </w:rPr>
            </w:pP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w w:val="94"/>
              </w:rPr>
              <w:t>Consequences of Announcement Events:</w:t>
            </w: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Modified Calculation Agent Adjustment as set forth in Section 12.3(d) of the Equity Definitions;</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i w:val="1"/>
                <w:iCs w:val="1"/>
                <w:color w:val="auto"/>
                <w:w w:val="91"/>
              </w:rPr>
              <w:t xml:space="preserve">provided </w:t>
            </w:r>
            <w:r>
              <w:rPr>
                <w:rFonts w:ascii="Arial" w:cs="Arial" w:eastAsia="Arial" w:hAnsi="Arial"/>
                <w:sz w:val="18"/>
                <w:szCs w:val="18"/>
                <w:color w:val="auto"/>
                <w:w w:val="91"/>
              </w:rPr>
              <w:t>that, in respect of an Announcement Event, (x) references to “Tender Offer” shall be replaced</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by references to “Announcement Event” and references to “Tender Offer Date” shall be replaced by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references to “date of such Announcement Event”, (y) the word “shall” in the second line shall be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replaced with “may”, and (z) for the avoidance of doubt, the Calculation Agent may determine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whether the relevant Announcement Event has had an economic effect on any Component (and, if so,</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adjust the terms of such Component accordingly) on one or more occasions on or after the date of the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Announcement Event up to, and including, the Expiration Date, any Early Termination Date and/or</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any other date of cancellation thereof, it being understood that any adjustment in respect of an</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Announcement Event shall take into account any earlier adjustment relating to the same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Announcement Event. An Announcement Event shall be an “Extraordinary Event” for purposes of the</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Equity Definitions, to which Article 12 of the Equity Definitions is applicable.</w:t>
            </w:r>
          </w:p>
        </w:tc>
        <w:tc>
          <w:tcPr>
            <w:tcW w:w="0" w:type="dxa"/>
            <w:vAlign w:val="bottom"/>
          </w:tcPr>
          <w:p>
            <w:pPr>
              <w:spacing w:after="0"/>
              <w:rPr>
                <w:sz w:val="1"/>
                <w:szCs w:val="1"/>
                <w:color w:val="auto"/>
              </w:rPr>
            </w:pP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rPr>
              <w:t>Announcement Event:</w:t>
            </w: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(i) The public announcement by any entity of (x) any transaction or event that, if completed, would</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constitute a Merger Event or Tender Offer, (y) any potential acquisition or disposition by Issuer and/or</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its subsidiaries where the aggregate consideration paid and/or delivered exceeds 15% of the market</w:t>
            </w:r>
          </w:p>
        </w:tc>
        <w:tc>
          <w:tcPr>
            <w:tcW w:w="0" w:type="dxa"/>
            <w:vAlign w:val="bottom"/>
          </w:tcPr>
          <w:p>
            <w:pPr>
              <w:spacing w:after="0"/>
              <w:rPr>
                <w:sz w:val="1"/>
                <w:szCs w:val="1"/>
                <w:color w:val="auto"/>
              </w:rPr>
            </w:pPr>
          </w:p>
        </w:tc>
      </w:tr>
      <w:tr>
        <w:trPr>
          <w:trHeight w:val="220"/>
        </w:trPr>
        <w:tc>
          <w:tcPr>
            <w:tcW w:w="3800" w:type="dxa"/>
            <w:vAlign w:val="bottom"/>
          </w:tcPr>
          <w:p>
            <w:pPr>
              <w:spacing w:after="0"/>
              <w:rPr>
                <w:sz w:val="19"/>
                <w:szCs w:val="19"/>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capitalization of Issuer as of the date of such announcement (an “</w:t>
            </w:r>
            <w:r>
              <w:rPr>
                <w:rFonts w:ascii="Arial" w:cs="Arial" w:eastAsia="Arial" w:hAnsi="Arial"/>
                <w:sz w:val="18"/>
                <w:szCs w:val="18"/>
                <w:b w:val="1"/>
                <w:bCs w:val="1"/>
                <w:color w:val="auto"/>
                <w:w w:val="94"/>
              </w:rPr>
              <w:t>Transformative Transaction</w:t>
            </w:r>
            <w:r>
              <w:rPr>
                <w:rFonts w:ascii="Arial" w:cs="Arial" w:eastAsia="Arial" w:hAnsi="Arial"/>
                <w:sz w:val="18"/>
                <w:szCs w:val="18"/>
                <w:color w:val="auto"/>
                <w:w w:val="94"/>
              </w:rPr>
              <w:t>”) or</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8"/>
              </w:rPr>
              <w:t>(z) the intention to enter into a Merger Event or Tender Offer or an Transformative Transaction,</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(ii) the public announcement by Issuer of an intention to solicit or enter into, or to explore strategic</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8"/>
              </w:rPr>
              <w:t>alternatives or other similar undertaking that may include, a Merger Event or Tender Offer or an</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Transformative Transaction or (iii) any subsequent public announcement by any entity of a change to a</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transaction or intention that is the subject of an announcement of the type described in clause (i) or</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(ii) of this sentence (including, without limitation, a new announcement, whether or not by the same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party, relating to such a transaction or intention or the announcement of a withdrawal from, or the</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abandonment or discontinuation of, such a</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transaction or intention), as determined by the Calculation Agent. For the avoidance of doubt, the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occurrence of an Announcement Event with respect to any transaction or intention shall not preclude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the occurrence of a later Announcement Event with respect to such transaction or intention. For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purposes of this definition of “Announcement Event,” the remainder of the definition of “Merger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Event” in Section 12.1(b) of the Equity Definitions following the definition of “Reverse Merger”</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therein shall be disregarded.</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Modified Calculation Agent Adjustment:</w:t>
            </w: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If, in respect of a Merger Event, the Counterparty under the Transaction following such Merger Event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will not be the issuer of the New Shares, the Dealer may elect (in its sole discretion) for Cancellation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and Payment (Calculation Agent Determination) to apply. In addition, if, in respect of any Merger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Event to which Modified Calculation Agent Adjustment applies, the adjustments to be made in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accordance with Section 12.2(e)(i) of the Equity Definitions would result in Counterparty being</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different from the issuer of the Shares, then with respect to such Merger Event, as a condition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precedent to the adjustments contemplated in Section 12.2(e)(i) of the Equity Definitions,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Counterparty and the issuer of the Shares shall, prior to the Merger Date, have entered into such</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documentation containing representations, warranties and agreements relating to securities law and</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other issues as requested by Dealer that Dealer has determined, in its reasonable discretion, to be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reasonably necessary or appropriate to allow Dealer to continue as a party to the Transaction, as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adjusted under Section 12.2(e)(i) of the Equity Definitions, and to preserve its hedging or hedge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unwind activities in connection with the Transaction in a manner compliant with applicable legal,</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1"/>
              </w:rPr>
              <w:t>regulatory or self-regulatory requirements, or with related policies and procedures applicable to Dealer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0"/>
              </w:rPr>
              <w:t>(whether or not such requirements or related policies and procedures are imposed by law or have been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voluntarily adopted by Dealer), and if such conditions are not met or if the Calculation Agent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5"/>
              </w:rPr>
              <w:t>determines that no adjustment that it could make under Section 12.2(e)(i) of the Equity Definitions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1"/>
              </w:rPr>
              <w:t>will produce a commercially reasonable result, then the consequences set forth in Section 12.2(e)(ii) of</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the Equity Definitions shall apply.</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w w:val="96"/>
              </w:rPr>
              <w:t>Composition of Combined Consideration:</w:t>
            </w: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Notwithstanding anything to the contrary in the Equity Definitions, if the composition of Combined</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1"/>
              </w:rPr>
              <w:t>Consideration in respect of any Share-for-Combined Merger Event could be determined by a holder of</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Shares, Dealer shall determine the composition of such Combined Consideration assumed for</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purposes</w:t>
            </w:r>
          </w:p>
        </w:tc>
      </w:tr>
      <w:tr>
        <w:trPr>
          <w:trHeight w:val="432"/>
        </w:trPr>
        <w:tc>
          <w:tcPr>
            <w:tcW w:w="384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8</w:t>
            </w:r>
          </w:p>
        </w:tc>
      </w:tr>
      <w:tr>
        <w:trPr>
          <w:trHeight w:val="132"/>
        </w:trPr>
        <w:tc>
          <w:tcPr>
            <w:tcW w:w="38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of adjustments and deliveries hereunder in its sole discretion.</w:t>
            </w:r>
          </w:p>
        </w:tc>
      </w:tr>
      <w:tr>
        <w:trPr>
          <w:trHeight w:val="418"/>
        </w:trPr>
        <w:tc>
          <w:tcPr>
            <w:tcW w:w="3800" w:type="dxa"/>
            <w:vAlign w:val="bottom"/>
            <w:gridSpan w:val="2"/>
          </w:tcPr>
          <w:p>
            <w:pPr>
              <w:ind w:left="660"/>
              <w:spacing w:after="0"/>
              <w:rPr>
                <w:sz w:val="20"/>
                <w:szCs w:val="20"/>
                <w:color w:val="auto"/>
              </w:rPr>
            </w:pPr>
            <w:r>
              <w:rPr>
                <w:rFonts w:ascii="Arial" w:cs="Arial" w:eastAsia="Arial" w:hAnsi="Arial"/>
                <w:sz w:val="18"/>
                <w:szCs w:val="18"/>
                <w:color w:val="auto"/>
                <w:w w:val="99"/>
              </w:rPr>
              <w:t>Nationalization, Insolvency or Delisting:</w:t>
            </w:r>
          </w:p>
        </w:tc>
        <w:tc>
          <w:tcPr>
            <w:tcW w:w="7660" w:type="dxa"/>
            <w:vAlign w:val="bottom"/>
          </w:tcPr>
          <w:p>
            <w:pPr>
              <w:ind w:left="20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addition to the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provisions of Section 12.6(a)(iii) of the Equity Definitions, it will also constitute a Delisting if the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Shares are not immediately re-listed, re-traded or re-quoted on any of the New York Stock Exchange,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The NASDAQ Global Select Market or The NASDAQ Global Market (or their respective successors);</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if the Shares are immediately re-listed, re-traded or re-quoted on any such exchange or quotation</w:t>
            </w:r>
          </w:p>
        </w:tc>
      </w:t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system, such exchange or quotation system shall thereafter be deemed to be the Exchange.</w:t>
            </w:r>
          </w:p>
        </w:tc>
      </w:tr>
      <w:tr>
        <w:trPr>
          <w:trHeight w:val="418"/>
        </w:trPr>
        <w:tc>
          <w:tcPr>
            <w:tcW w:w="3800" w:type="dxa"/>
            <w:vAlign w:val="bottom"/>
            <w:gridSpan w:val="2"/>
          </w:tcPr>
          <w:p>
            <w:pPr>
              <w:ind w:left="660"/>
              <w:spacing w:after="0"/>
              <w:rPr>
                <w:sz w:val="20"/>
                <w:szCs w:val="20"/>
                <w:color w:val="auto"/>
              </w:rPr>
            </w:pPr>
            <w:r>
              <w:rPr>
                <w:rFonts w:ascii="Arial" w:cs="Arial" w:eastAsia="Arial" w:hAnsi="Arial"/>
                <w:sz w:val="18"/>
                <w:szCs w:val="18"/>
                <w:color w:val="auto"/>
              </w:rPr>
              <w:t>Additional Termination Event(s):</w:t>
            </w: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Notwithstanding anything to the contrary in the Equity Definitions, if, as a result of an Extraordinary</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Event, the Transaction would be cancelled or terminated (whether in whole or in part) pursuant to</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Article 12 of the Equity Definitions, an Additional Termination Event (with the Transaction (or the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cancelled or terminated portion thereof) being the Affected Transaction and Counterparty being the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sole Affected Party) shall be deemed to occur, and, in lieu of Sections 12.7, 12.8 and 12.9 of the</w:t>
            </w:r>
          </w:p>
        </w:tc>
      </w:t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Equity Definitions, Section 6 of the Agreement shall apply to such Affected Transaction.</w:t>
            </w:r>
          </w:p>
        </w:tc>
      </w:tr>
      <w:tr>
        <w:trPr>
          <w:trHeight w:val="432"/>
        </w:trPr>
        <w:tc>
          <w:tcPr>
            <w:tcW w:w="3800" w:type="dxa"/>
            <w:vAlign w:val="bottom"/>
            <w:gridSpan w:val="2"/>
          </w:tcPr>
          <w:p>
            <w:pPr>
              <w:ind w:left="660"/>
              <w:spacing w:after="0"/>
              <w:rPr>
                <w:sz w:val="20"/>
                <w:szCs w:val="20"/>
                <w:color w:val="auto"/>
              </w:rPr>
            </w:pPr>
            <w:r>
              <w:rPr>
                <w:rFonts w:ascii="Arial" w:cs="Arial" w:eastAsia="Arial" w:hAnsi="Arial"/>
                <w:sz w:val="18"/>
                <w:szCs w:val="18"/>
                <w:color w:val="auto"/>
              </w:rPr>
              <w:t>Additional Disruption Events:</w:t>
            </w:r>
          </w:p>
        </w:tc>
        <w:tc>
          <w:tcPr>
            <w:tcW w:w="7660" w:type="dxa"/>
            <w:vAlign w:val="bottom"/>
          </w:tcPr>
          <w:p>
            <w:pPr>
              <w:spacing w:after="0"/>
              <w:rPr>
                <w:sz w:val="24"/>
                <w:szCs w:val="24"/>
                <w:color w:val="auto"/>
              </w:rPr>
            </w:pPr>
          </w:p>
        </w:tc>
      </w:tr>
      <w:tr>
        <w:trPr>
          <w:trHeight w:val="418"/>
        </w:trPr>
        <w:tc>
          <w:tcPr>
            <w:tcW w:w="1240" w:type="dxa"/>
            <w:vAlign w:val="bottom"/>
          </w:tcPr>
          <w:p>
            <w:pPr>
              <w:ind w:left="980"/>
              <w:spacing w:after="0"/>
              <w:rPr>
                <w:sz w:val="20"/>
                <w:szCs w:val="20"/>
                <w:color w:val="auto"/>
              </w:rPr>
            </w:pPr>
            <w:r>
              <w:rPr>
                <w:rFonts w:ascii="Arial" w:cs="Arial" w:eastAsia="Arial" w:hAnsi="Arial"/>
                <w:sz w:val="18"/>
                <w:szCs w:val="18"/>
                <w:color w:val="auto"/>
              </w:rPr>
              <w:t>(a)</w:t>
            </w:r>
          </w:p>
        </w:tc>
        <w:tc>
          <w:tcPr>
            <w:tcW w:w="2560" w:type="dxa"/>
            <w:vAlign w:val="bottom"/>
          </w:tcPr>
          <w:p>
            <w:pPr>
              <w:ind w:left="60"/>
              <w:spacing w:after="0"/>
              <w:rPr>
                <w:sz w:val="20"/>
                <w:szCs w:val="20"/>
                <w:color w:val="auto"/>
              </w:rPr>
            </w:pPr>
            <w:r>
              <w:rPr>
                <w:rFonts w:ascii="Arial" w:cs="Arial" w:eastAsia="Arial" w:hAnsi="Arial"/>
                <w:sz w:val="18"/>
                <w:szCs w:val="18"/>
                <w:color w:val="auto"/>
              </w:rPr>
              <w:t>Change in Law:</w:t>
            </w:r>
          </w:p>
        </w:tc>
        <w:tc>
          <w:tcPr>
            <w:tcW w:w="7660" w:type="dxa"/>
            <w:vAlign w:val="bottom"/>
          </w:tcPr>
          <w:p>
            <w:pPr>
              <w:ind w:left="200"/>
              <w:spacing w:after="0"/>
              <w:rPr>
                <w:sz w:val="20"/>
                <w:szCs w:val="20"/>
                <w:color w:val="auto"/>
              </w:rPr>
            </w:pPr>
            <w:r>
              <w:rPr>
                <w:rFonts w:ascii="Arial" w:cs="Arial" w:eastAsia="Arial" w:hAnsi="Arial"/>
                <w:sz w:val="18"/>
                <w:szCs w:val="18"/>
                <w:color w:val="auto"/>
              </w:rPr>
              <w:t>Applicable; provided that Section 12.9(a)(ii) of the Equity Definitions is hereby amended by</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(i) replacing the phrase “the interpretation” in the third line thereof with the phrase “, or public</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8"/>
              </w:rPr>
              <w:t>announcement of, the formal or informal interpretation”, (ii) by adding the phrase “and/or Hedge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Position” after the word “Shares” in clause (X) thereof and (iii) by immediately following the word</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“Transaction” in clause (X) thereof, adding the phrase “in the manner contemplated by the Hedging</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Party on the Trade Date”; and provided further that Section 12.9(a)(ii) of the Equity Definitions is</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hereby amended by (i) replacing the parenthetical beginning after the word “regulation” in the second</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line thereof with the phrase “(including, for the avoidance of doubt and without limitation, (x) any tax</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law or (y) adoption or promulgation of new regulations authorized or mandated by existing statute)”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8"/>
              </w:rPr>
              <w:t>and (ii) adding the words “, or holding, acquiring or disposing of Shares or any Hedge Positions</w:t>
            </w:r>
          </w:p>
        </w:tc>
      </w:t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relating to,” after the words “obligations under” in clause (Y) thereof.</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(b)</w:t>
            </w:r>
          </w:p>
        </w:tc>
        <w:tc>
          <w:tcPr>
            <w:tcW w:w="2560" w:type="dxa"/>
            <w:vAlign w:val="bottom"/>
          </w:tcPr>
          <w:p>
            <w:pPr>
              <w:ind w:left="80"/>
              <w:spacing w:after="0"/>
              <w:rPr>
                <w:sz w:val="20"/>
                <w:szCs w:val="20"/>
                <w:color w:val="auto"/>
              </w:rPr>
            </w:pPr>
            <w:r>
              <w:rPr>
                <w:rFonts w:ascii="Arial" w:cs="Arial" w:eastAsia="Arial" w:hAnsi="Arial"/>
                <w:sz w:val="18"/>
                <w:szCs w:val="18"/>
                <w:color w:val="auto"/>
              </w:rPr>
              <w:t>Failure to Deliver:</w:t>
            </w:r>
          </w:p>
        </w:tc>
        <w:tc>
          <w:tcPr>
            <w:tcW w:w="766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(c)</w:t>
            </w:r>
          </w:p>
        </w:tc>
        <w:tc>
          <w:tcPr>
            <w:tcW w:w="2560" w:type="dxa"/>
            <w:vAlign w:val="bottom"/>
          </w:tcPr>
          <w:p>
            <w:pPr>
              <w:ind w:left="80"/>
              <w:spacing w:after="0"/>
              <w:rPr>
                <w:sz w:val="20"/>
                <w:szCs w:val="20"/>
                <w:color w:val="auto"/>
              </w:rPr>
            </w:pPr>
            <w:r>
              <w:rPr>
                <w:rFonts w:ascii="Arial" w:cs="Arial" w:eastAsia="Arial" w:hAnsi="Arial"/>
                <w:sz w:val="18"/>
                <w:szCs w:val="18"/>
                <w:color w:val="auto"/>
              </w:rPr>
              <w:t>Insolvency Filing:</w:t>
            </w:r>
          </w:p>
        </w:tc>
        <w:tc>
          <w:tcPr>
            <w:tcW w:w="7660" w:type="dxa"/>
            <w:vAlign w:val="bottom"/>
          </w:tcPr>
          <w:p>
            <w:pPr>
              <w:ind w:left="200"/>
              <w:spacing w:after="0"/>
              <w:rPr>
                <w:sz w:val="20"/>
                <w:szCs w:val="20"/>
                <w:color w:val="auto"/>
              </w:rPr>
            </w:pPr>
            <w:r>
              <w:rPr>
                <w:rFonts w:ascii="Arial" w:cs="Arial" w:eastAsia="Arial" w:hAnsi="Arial"/>
                <w:sz w:val="18"/>
                <w:szCs w:val="18"/>
                <w:color w:val="auto"/>
              </w:rPr>
              <w:t>Applicable</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(d)</w:t>
            </w:r>
          </w:p>
        </w:tc>
        <w:tc>
          <w:tcPr>
            <w:tcW w:w="2560" w:type="dxa"/>
            <w:vAlign w:val="bottom"/>
          </w:tcPr>
          <w:p>
            <w:pPr>
              <w:ind w:left="80"/>
              <w:spacing w:after="0"/>
              <w:rPr>
                <w:sz w:val="20"/>
                <w:szCs w:val="20"/>
                <w:color w:val="auto"/>
              </w:rPr>
            </w:pPr>
            <w:r>
              <w:rPr>
                <w:rFonts w:ascii="Arial" w:cs="Arial" w:eastAsia="Arial" w:hAnsi="Arial"/>
                <w:sz w:val="18"/>
                <w:szCs w:val="18"/>
                <w:color w:val="auto"/>
              </w:rPr>
              <w:t>Hedging Disruption:</w:t>
            </w:r>
          </w:p>
        </w:tc>
        <w:tc>
          <w:tcPr>
            <w:tcW w:w="7660" w:type="dxa"/>
            <w:vAlign w:val="bottom"/>
          </w:tcPr>
          <w:p>
            <w:pPr>
              <w:ind w:left="20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32"/>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9</w:t>
            </w:r>
          </w:p>
        </w:tc>
      </w:tr>
      <w:tr>
        <w:trPr>
          <w:trHeight w:val="132"/>
        </w:trPr>
        <w:tc>
          <w:tcPr>
            <w:tcW w:w="12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  Section 12.9(a)(v) of the Equity Definitions is hereby amended by</w:t>
            </w:r>
          </w:p>
        </w:tc>
      </w:tr>
      <w:tr>
        <w:trPr>
          <w:trHeight w:val="418"/>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w w:val="95"/>
              </w:rPr>
              <w:t>(a)  inserting the following words at the end of clause (A) thereof: “in the manner contemplated</w:t>
            </w:r>
          </w:p>
        </w:tc>
      </w:t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by the Hedging Party on the Trade Date” and</w:t>
            </w:r>
          </w:p>
        </w:tc>
      </w:tr>
      <w:tr>
        <w:trPr>
          <w:trHeight w:val="432"/>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rPr>
              <w:t>(b)  inserting the following sentence at the end of such Section:</w:t>
            </w:r>
          </w:p>
        </w:tc>
      </w:tr>
      <w:tr>
        <w:trPr>
          <w:trHeight w:val="418"/>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5"/>
              </w:rPr>
              <w:t>“For the avoidance of doubt, (i) the term “equity price risk” shall be deemed to include, but</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shall not be limited to, stock price and volatility risk, and (ii) the transactions or assets</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2"/>
              </w:rPr>
              <w:t>referred to in phrases (A) or (B) above must be available on commercially reasonable pricing</w:t>
            </w:r>
          </w:p>
        </w:tc>
      </w:t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and other terms.”; and</w:t>
            </w:r>
          </w:p>
        </w:tc>
      </w:tr>
      <w:tr>
        <w:trPr>
          <w:trHeight w:val="418"/>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(ii)  Section 12.9(b)(iii) of the Equity Definitions is hereby amended by inserting in the third line</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w w:val="93"/>
              </w:rPr>
              <w:t>thereof, after the words “to terminate the Transaction”, the words “or a portion of the Transaction</w:t>
            </w:r>
          </w:p>
        </w:tc>
      </w:t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rPr>
              <w:t>affected by such Hedging Disruption”.</w:t>
            </w:r>
          </w:p>
        </w:tc>
      </w:tr>
      <w:tr>
        <w:trPr>
          <w:trHeight w:val="418"/>
        </w:trPr>
        <w:tc>
          <w:tcPr>
            <w:tcW w:w="98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(e)  Increased Cost of Hedging:</w:t>
            </w: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the following parenthetical shall be inserted immediately following the word</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“expense” in the third line of Section 12.9(a)(vi) of the Equity Definitions: “(including, for the</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avoidance of doubt, the incurrence of any stock borrow expense in excess of Hedging Party’s</w:t>
            </w:r>
          </w:p>
        </w:tc>
      </w:tr>
      <w:tr>
        <w:trPr>
          <w:trHeight w:val="216"/>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expectation as of the Trade Date, other than to the extent resulting from an Increased Cost of Stock</w:t>
            </w:r>
          </w:p>
        </w:tc>
      </w:tr>
      <w:tr>
        <w:trPr>
          <w:trHeight w:val="230"/>
        </w:trPr>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Borrow)”.</w:t>
            </w:r>
          </w:p>
        </w:tc>
      </w:tr>
      <w:tr>
        <w:trPr>
          <w:trHeight w:val="432"/>
        </w:trPr>
        <w:tc>
          <w:tcPr>
            <w:tcW w:w="98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(f)  Loss of Stock Borrow:</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32"/>
        </w:trPr>
        <w:tc>
          <w:tcPr>
            <w:tcW w:w="980" w:type="dxa"/>
            <w:vAlign w:val="bottom"/>
          </w:tcPr>
          <w:p>
            <w:pPr>
              <w:spacing w:after="0"/>
              <w:rPr>
                <w:sz w:val="24"/>
                <w:szCs w:val="24"/>
                <w:color w:val="auto"/>
              </w:rPr>
            </w:pPr>
          </w:p>
        </w:tc>
        <w:tc>
          <w:tcPr>
            <w:tcW w:w="2860" w:type="dxa"/>
            <w:vAlign w:val="bottom"/>
            <w:gridSpan w:val="3"/>
          </w:tcPr>
          <w:p>
            <w:pPr>
              <w:ind w:left="320"/>
              <w:spacing w:after="0"/>
              <w:rPr>
                <w:sz w:val="20"/>
                <w:szCs w:val="20"/>
                <w:color w:val="auto"/>
              </w:rPr>
            </w:pPr>
            <w:r>
              <w:rPr>
                <w:rFonts w:ascii="Arial" w:cs="Arial" w:eastAsia="Arial" w:hAnsi="Arial"/>
                <w:sz w:val="18"/>
                <w:szCs w:val="18"/>
                <w:color w:val="auto"/>
              </w:rPr>
              <w:t>Maximum Stock Loan Rate:</w:t>
            </w:r>
          </w:p>
        </w:tc>
        <w:tc>
          <w:tcPr>
            <w:tcW w:w="7620" w:type="dxa"/>
            <w:vAlign w:val="bottom"/>
          </w:tcPr>
          <w:p>
            <w:pPr>
              <w:ind w:left="160"/>
              <w:spacing w:after="0"/>
              <w:rPr>
                <w:sz w:val="20"/>
                <w:szCs w:val="20"/>
                <w:color w:val="auto"/>
              </w:rPr>
            </w:pPr>
            <w:r>
              <w:rPr>
                <w:rFonts w:ascii="Arial" w:cs="Arial" w:eastAsia="Arial" w:hAnsi="Arial"/>
                <w:sz w:val="18"/>
                <w:szCs w:val="18"/>
                <w:color w:val="auto"/>
              </w:rPr>
              <w:t>2.00% per annum</w:t>
            </w:r>
          </w:p>
        </w:tc>
      </w:tr>
      <w:tr>
        <w:trPr>
          <w:trHeight w:val="432"/>
        </w:trPr>
        <w:tc>
          <w:tcPr>
            <w:tcW w:w="98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w w:val="97"/>
              </w:rPr>
              <w:t>(g)  Increased Cost of Stock Borrow:</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32"/>
        </w:trPr>
        <w:tc>
          <w:tcPr>
            <w:tcW w:w="980" w:type="dxa"/>
            <w:vAlign w:val="bottom"/>
          </w:tcPr>
          <w:p>
            <w:pPr>
              <w:spacing w:after="0"/>
              <w:rPr>
                <w:sz w:val="24"/>
                <w:szCs w:val="24"/>
                <w:color w:val="auto"/>
              </w:rPr>
            </w:pPr>
          </w:p>
        </w:tc>
        <w:tc>
          <w:tcPr>
            <w:tcW w:w="2860" w:type="dxa"/>
            <w:vAlign w:val="bottom"/>
            <w:gridSpan w:val="3"/>
          </w:tcPr>
          <w:p>
            <w:pPr>
              <w:ind w:left="320"/>
              <w:spacing w:after="0"/>
              <w:rPr>
                <w:sz w:val="20"/>
                <w:szCs w:val="20"/>
                <w:color w:val="auto"/>
              </w:rPr>
            </w:pPr>
            <w:r>
              <w:rPr>
                <w:rFonts w:ascii="Arial" w:cs="Arial" w:eastAsia="Arial" w:hAnsi="Arial"/>
                <w:sz w:val="18"/>
                <w:szCs w:val="18"/>
                <w:color w:val="auto"/>
              </w:rPr>
              <w:t>Initial Stock Loan Rate:</w:t>
            </w:r>
          </w:p>
        </w:tc>
        <w:tc>
          <w:tcPr>
            <w:tcW w:w="7620" w:type="dxa"/>
            <w:vAlign w:val="bottom"/>
          </w:tcPr>
          <w:p>
            <w:pPr>
              <w:ind w:left="160"/>
              <w:spacing w:after="0"/>
              <w:rPr>
                <w:sz w:val="20"/>
                <w:szCs w:val="20"/>
                <w:color w:val="auto"/>
              </w:rPr>
            </w:pPr>
            <w:r>
              <w:rPr>
                <w:rFonts w:ascii="Arial" w:cs="Arial" w:eastAsia="Arial" w:hAnsi="Arial"/>
                <w:sz w:val="18"/>
                <w:szCs w:val="18"/>
                <w:color w:val="auto"/>
              </w:rPr>
              <w:t>Prior to April 2, 2025, 0% per annum, and thereafter, 0.25% per annum.</w:t>
            </w:r>
          </w:p>
        </w:tc>
      </w:tr>
      <w:tr>
        <w:trPr>
          <w:trHeight w:val="432"/>
        </w:trPr>
        <w:tc>
          <w:tcPr>
            <w:tcW w:w="3840" w:type="dxa"/>
            <w:vAlign w:val="bottom"/>
            <w:gridSpan w:val="4"/>
          </w:tcPr>
          <w:p>
            <w:pPr>
              <w:ind w:left="660"/>
              <w:spacing w:after="0"/>
              <w:rPr>
                <w:sz w:val="20"/>
                <w:szCs w:val="20"/>
                <w:color w:val="auto"/>
              </w:rPr>
            </w:pPr>
            <w:r>
              <w:rPr>
                <w:rFonts w:ascii="Arial" w:cs="Arial" w:eastAsia="Arial" w:hAnsi="Arial"/>
                <w:sz w:val="18"/>
                <w:szCs w:val="18"/>
                <w:color w:val="auto"/>
              </w:rPr>
              <w:t>Hedging Party:</w:t>
            </w:r>
          </w:p>
        </w:tc>
        <w:tc>
          <w:tcPr>
            <w:tcW w:w="7620" w:type="dxa"/>
            <w:vAlign w:val="bottom"/>
          </w:tcPr>
          <w:p>
            <w:pPr>
              <w:ind w:left="16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432"/>
        </w:trPr>
        <w:tc>
          <w:tcPr>
            <w:tcW w:w="3840" w:type="dxa"/>
            <w:vAlign w:val="bottom"/>
            <w:gridSpan w:val="4"/>
          </w:tcPr>
          <w:p>
            <w:pPr>
              <w:ind w:left="660"/>
              <w:spacing w:after="0"/>
              <w:rPr>
                <w:sz w:val="20"/>
                <w:szCs w:val="20"/>
                <w:color w:val="auto"/>
              </w:rPr>
            </w:pPr>
            <w:r>
              <w:rPr>
                <w:rFonts w:ascii="Arial" w:cs="Arial" w:eastAsia="Arial" w:hAnsi="Arial"/>
                <w:sz w:val="18"/>
                <w:szCs w:val="18"/>
                <w:color w:val="auto"/>
              </w:rPr>
              <w:t>Determining Party:</w:t>
            </w:r>
          </w:p>
        </w:tc>
        <w:tc>
          <w:tcPr>
            <w:tcW w:w="7620" w:type="dxa"/>
            <w:vAlign w:val="bottom"/>
          </w:tcPr>
          <w:p>
            <w:pPr>
              <w:ind w:left="16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432"/>
        </w:trPr>
        <w:tc>
          <w:tcPr>
            <w:tcW w:w="3840" w:type="dxa"/>
            <w:vAlign w:val="bottom"/>
            <w:gridSpan w:val="4"/>
          </w:tcPr>
          <w:p>
            <w:pPr>
              <w:ind w:left="660"/>
              <w:spacing w:after="0"/>
              <w:rPr>
                <w:sz w:val="20"/>
                <w:szCs w:val="20"/>
                <w:color w:val="auto"/>
              </w:rPr>
            </w:pPr>
            <w:r>
              <w:rPr>
                <w:rFonts w:ascii="Arial" w:cs="Arial" w:eastAsia="Arial" w:hAnsi="Arial"/>
                <w:sz w:val="18"/>
                <w:szCs w:val="18"/>
                <w:color w:val="auto"/>
              </w:rPr>
              <w:t>Non-Reliance:</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18"/>
        </w:trPr>
        <w:tc>
          <w:tcPr>
            <w:tcW w:w="3840" w:type="dxa"/>
            <w:vAlign w:val="bottom"/>
            <w:gridSpan w:val="4"/>
          </w:tcPr>
          <w:p>
            <w:pPr>
              <w:ind w:left="660"/>
              <w:spacing w:after="0"/>
              <w:rPr>
                <w:sz w:val="20"/>
                <w:szCs w:val="20"/>
                <w:color w:val="auto"/>
              </w:rPr>
            </w:pPr>
            <w:r>
              <w:rPr>
                <w:rFonts w:ascii="Arial" w:cs="Arial" w:eastAsia="Arial" w:hAnsi="Arial"/>
                <w:sz w:val="18"/>
                <w:szCs w:val="18"/>
                <w:color w:val="auto"/>
              </w:rPr>
              <w:t>Agreements and Acknowledgments</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230"/>
        </w:trPr>
        <w:tc>
          <w:tcPr>
            <w:tcW w:w="3840" w:type="dxa"/>
            <w:vAlign w:val="bottom"/>
            <w:gridSpan w:val="4"/>
          </w:tcPr>
          <w:p>
            <w:pPr>
              <w:ind w:left="660"/>
              <w:spacing w:after="0"/>
              <w:rPr>
                <w:sz w:val="20"/>
                <w:szCs w:val="20"/>
                <w:color w:val="auto"/>
              </w:rPr>
            </w:pPr>
            <w:r>
              <w:rPr>
                <w:rFonts w:ascii="Arial" w:cs="Arial" w:eastAsia="Arial" w:hAnsi="Arial"/>
                <w:sz w:val="18"/>
                <w:szCs w:val="18"/>
                <w:color w:val="auto"/>
              </w:rPr>
              <w:t>Regarding Hedging Activities:</w:t>
            </w:r>
          </w:p>
        </w:tc>
        <w:tc>
          <w:tcPr>
            <w:tcW w:w="7620" w:type="dxa"/>
            <w:vAlign w:val="bottom"/>
          </w:tcPr>
          <w:p>
            <w:pPr>
              <w:spacing w:after="0"/>
              <w:rPr>
                <w:sz w:val="20"/>
                <w:szCs w:val="20"/>
                <w:color w:val="auto"/>
              </w:rPr>
            </w:pPr>
          </w:p>
        </w:tc>
      </w:tr>
      <w:tr>
        <w:trPr>
          <w:trHeight w:val="432"/>
        </w:trPr>
        <w:tc>
          <w:tcPr>
            <w:tcW w:w="3840" w:type="dxa"/>
            <w:vAlign w:val="bottom"/>
            <w:gridSpan w:val="4"/>
          </w:tcPr>
          <w:p>
            <w:pPr>
              <w:ind w:left="660"/>
              <w:spacing w:after="0"/>
              <w:rPr>
                <w:sz w:val="20"/>
                <w:szCs w:val="20"/>
                <w:color w:val="auto"/>
              </w:rPr>
            </w:pPr>
            <w:r>
              <w:rPr>
                <w:rFonts w:ascii="Arial" w:cs="Arial" w:eastAsia="Arial" w:hAnsi="Arial"/>
                <w:sz w:val="18"/>
                <w:szCs w:val="18"/>
                <w:color w:val="auto"/>
              </w:rPr>
              <w:t>Additional Acknowledgments:</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392"/>
        </w:trPr>
        <w:tc>
          <w:tcPr>
            <w:tcW w:w="980" w:type="dxa"/>
            <w:vAlign w:val="bottom"/>
          </w:tcPr>
          <w:p>
            <w:pPr>
              <w:ind w:left="660"/>
              <w:spacing w:after="0"/>
              <w:rPr>
                <w:sz w:val="20"/>
                <w:szCs w:val="20"/>
                <w:color w:val="auto"/>
              </w:rPr>
            </w:pPr>
            <w:r>
              <w:rPr>
                <w:rFonts w:ascii="Arial" w:cs="Arial" w:eastAsia="Arial" w:hAnsi="Arial"/>
                <w:sz w:val="18"/>
                <w:szCs w:val="18"/>
                <w:color w:val="auto"/>
              </w:rPr>
              <w:t>3.</w:t>
            </w:r>
          </w:p>
        </w:tc>
        <w:tc>
          <w:tcPr>
            <w:tcW w:w="2860" w:type="dxa"/>
            <w:vAlign w:val="bottom"/>
            <w:gridSpan w:val="3"/>
          </w:tcPr>
          <w:p>
            <w:pPr>
              <w:spacing w:after="0"/>
              <w:rPr>
                <w:sz w:val="20"/>
                <w:szCs w:val="20"/>
                <w:color w:val="auto"/>
              </w:rPr>
            </w:pPr>
            <w:r>
              <w:rPr>
                <w:rFonts w:ascii="Arial" w:cs="Arial" w:eastAsia="Arial" w:hAnsi="Arial"/>
                <w:sz w:val="18"/>
                <w:szCs w:val="18"/>
                <w:color w:val="auto"/>
              </w:rPr>
              <w:t>Calculation Agent:</w:t>
            </w:r>
          </w:p>
        </w:tc>
        <w:tc>
          <w:tcPr>
            <w:tcW w:w="7620" w:type="dxa"/>
            <w:vAlign w:val="bottom"/>
          </w:tcPr>
          <w:p>
            <w:pPr>
              <w:ind w:left="160"/>
              <w:spacing w:after="0"/>
              <w:rPr>
                <w:sz w:val="20"/>
                <w:szCs w:val="20"/>
                <w:color w:val="auto"/>
              </w:rPr>
            </w:pPr>
            <w:r>
              <w:rPr>
                <w:rFonts w:ascii="Arial" w:cs="Arial" w:eastAsia="Arial" w:hAnsi="Arial"/>
                <w:sz w:val="18"/>
                <w:szCs w:val="18"/>
                <w:color w:val="auto"/>
              </w:rPr>
              <w:t>Dealer.</w:t>
            </w:r>
          </w:p>
        </w:tc>
      </w:tr>
      <w:tr>
        <w:trPr>
          <w:trHeight w:val="412"/>
        </w:trPr>
        <w:tc>
          <w:tcPr>
            <w:tcW w:w="980" w:type="dxa"/>
            <w:vAlign w:val="bottom"/>
          </w:tcPr>
          <w:p>
            <w:pPr>
              <w:ind w:left="660"/>
              <w:spacing w:after="0"/>
              <w:rPr>
                <w:sz w:val="20"/>
                <w:szCs w:val="20"/>
                <w:color w:val="auto"/>
              </w:rPr>
            </w:pPr>
            <w:r>
              <w:rPr>
                <w:rFonts w:ascii="Arial" w:cs="Arial" w:eastAsia="Arial" w:hAnsi="Arial"/>
                <w:sz w:val="18"/>
                <w:szCs w:val="18"/>
                <w:color w:val="auto"/>
              </w:rPr>
              <w:t>4.</w:t>
            </w: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Account Details:</w:t>
            </w:r>
          </w:p>
        </w:tc>
        <w:tc>
          <w:tcPr>
            <w:tcW w:w="15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Dealer Payment Instructions:</w:t>
            </w:r>
          </w:p>
        </w:tc>
        <w:tc>
          <w:tcPr>
            <w:tcW w:w="762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1780"/>
              <w:spacing w:after="0"/>
              <w:rPr>
                <w:sz w:val="20"/>
                <w:szCs w:val="20"/>
                <w:color w:val="auto"/>
              </w:rPr>
            </w:pPr>
            <w:r>
              <w:rPr>
                <w:rFonts w:ascii="Arial" w:cs="Arial" w:eastAsia="Arial" w:hAnsi="Arial"/>
                <w:sz w:val="18"/>
                <w:szCs w:val="18"/>
                <w:color w:val="auto"/>
              </w:rPr>
              <w:t>10</w:t>
            </w:r>
          </w:p>
        </w:tc>
      </w:tr>
      <w:tr>
        <w:trPr>
          <w:trHeight w:val="132"/>
        </w:trPr>
        <w:tc>
          <w:tcPr>
            <w:tcW w:w="9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23" w:name="page324"/>
    <w:bookmarkEnd w:id="323"/>
    <w:p>
      <w:pPr>
        <w:ind w:left="644"/>
        <w:spacing w:after="0"/>
        <w:rPr>
          <w:sz w:val="20"/>
          <w:szCs w:val="20"/>
          <w:color w:val="auto"/>
        </w:rPr>
      </w:pPr>
      <w:r>
        <w:rPr>
          <w:rFonts w:ascii="Arial" w:cs="Arial" w:eastAsia="Arial" w:hAnsi="Arial"/>
          <w:sz w:val="18"/>
          <w:szCs w:val="18"/>
          <w:color w:val="auto"/>
        </w:rPr>
        <w:t>Chase Manhattan Bank New York</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For A/C Goldman Sachs &amp; Co. LLC</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A/C #930-1-011483</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ABA: 021-000021</w:t>
      </w:r>
    </w:p>
    <w:p>
      <w:pPr>
        <w:spacing w:after="0" w:line="211" w:lineRule="exact"/>
        <w:rPr>
          <w:sz w:val="20"/>
          <w:szCs w:val="20"/>
          <w:color w:val="auto"/>
        </w:rPr>
      </w:pPr>
    </w:p>
    <w:p>
      <w:pPr>
        <w:ind w:left="324"/>
        <w:spacing w:after="0"/>
        <w:rPr>
          <w:sz w:val="20"/>
          <w:szCs w:val="20"/>
          <w:color w:val="auto"/>
        </w:rPr>
      </w:pPr>
      <w:r>
        <w:rPr>
          <w:rFonts w:ascii="Arial" w:cs="Arial" w:eastAsia="Arial" w:hAnsi="Arial"/>
          <w:sz w:val="18"/>
          <w:szCs w:val="18"/>
          <w:color w:val="auto"/>
        </w:rPr>
        <w:t>Account for delivery of Shares to Dealer: To be provided by Dealer</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8"/>
          <w:szCs w:val="18"/>
          <w:color w:val="auto"/>
        </w:rPr>
        <w:t>Counterparty Payment Instructions: To be provided by Counterparty.</w:t>
      </w:r>
    </w:p>
    <w:p>
      <w:pPr>
        <w:spacing w:after="0" w:line="225" w:lineRule="exact"/>
        <w:rPr>
          <w:sz w:val="20"/>
          <w:szCs w:val="20"/>
          <w:color w:val="auto"/>
        </w:rPr>
      </w:pPr>
    </w:p>
    <w:p>
      <w:pPr>
        <w:ind w:left="324" w:hanging="324"/>
        <w:spacing w:after="0"/>
        <w:tabs>
          <w:tab w:leader="none" w:pos="324"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The Office of Dealer for the Transaction is: 200 West Street, New York, New York 10282-2198</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6"/>
          <w:szCs w:val="16"/>
          <w:color w:val="auto"/>
        </w:rPr>
        <w:t>The Office of Counterparty for the Transaction is: Inapplicable, Counterparty is not a Multibranch Party.</w:t>
      </w:r>
    </w:p>
    <w:p>
      <w:pPr>
        <w:spacing w:after="0" w:line="248" w:lineRule="exact"/>
        <w:rPr>
          <w:rFonts w:ascii="Arial" w:cs="Arial" w:eastAsia="Arial" w:hAnsi="Arial"/>
          <w:sz w:val="18"/>
          <w:szCs w:val="18"/>
          <w:color w:val="auto"/>
        </w:rPr>
      </w:pPr>
    </w:p>
    <w:p>
      <w:pPr>
        <w:ind w:left="324" w:hanging="324"/>
        <w:spacing w:after="0"/>
        <w:tabs>
          <w:tab w:leader="none" w:pos="324"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rFonts w:ascii="Arial" w:cs="Arial" w:eastAsia="Arial" w:hAnsi="Arial"/>
          <w:sz w:val="18"/>
          <w:szCs w:val="18"/>
          <w:color w:val="auto"/>
        </w:rPr>
      </w:pPr>
    </w:p>
    <w:p>
      <w:pPr>
        <w:ind w:left="964" w:hanging="315"/>
        <w:spacing w:after="0"/>
        <w:tabs>
          <w:tab w:leader="none" w:pos="964"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13200 Pioneer Trail, Suite 150</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Eden Prarie, MN 55347</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Bert Jameson, Treasurer</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(b)  Address for notices or communications to Dealer:</w:t>
      </w:r>
    </w:p>
    <w:p>
      <w:pPr>
        <w:sectPr>
          <w:pgSz w:w="11900" w:h="16838" w:orient="portrait"/>
          <w:cols w:equalWidth="0" w:num="1">
            <w:col w:w="9563"/>
          </w:cols>
          <w:pgMar w:left="896" w:top="341" w:right="1440" w:bottom="1440" w:gutter="0" w:footer="0" w:header="0"/>
        </w:sectPr>
      </w:pP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644"/>
        <w:spacing w:after="0"/>
        <w:rPr>
          <w:sz w:val="20"/>
          <w:szCs w:val="20"/>
          <w:color w:val="auto"/>
        </w:rPr>
      </w:pPr>
      <w:r>
        <w:rPr>
          <w:rFonts w:ascii="Arial" w:cs="Arial" w:eastAsia="Arial" w:hAnsi="Arial"/>
          <w:sz w:val="17"/>
          <w:szCs w:val="17"/>
          <w:color w:val="auto"/>
        </w:rPr>
        <w:t>Facsimile:</w:t>
      </w:r>
    </w:p>
    <w:p>
      <w:pPr>
        <w:spacing w:after="0" w:line="2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10282-2198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Michael Voris,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212-902-4895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212-291-5027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michael.voris@gs.com</w:t>
      </w:r>
    </w:p>
    <w:p>
      <w:pPr>
        <w:spacing w:after="0" w:line="200" w:lineRule="exact"/>
        <w:rPr>
          <w:sz w:val="20"/>
          <w:szCs w:val="20"/>
          <w:color w:val="auto"/>
        </w:rPr>
      </w:pPr>
    </w:p>
    <w:p>
      <w:pPr>
        <w:sectPr>
          <w:pgSz w:w="11900" w:h="16838" w:orient="portrait"/>
          <w:cols w:equalWidth="0" w:num="2">
            <w:col w:w="2624" w:space="720"/>
            <w:col w:w="6219"/>
          </w:cols>
          <w:pgMar w:left="896" w:top="341" w:right="1440" w:bottom="1440" w:gutter="0" w:footer="0" w:header="0"/>
          <w:type w:val="continuous"/>
        </w:sectPr>
      </w:pPr>
    </w:p>
    <w:p>
      <w:pPr>
        <w:spacing w:after="0" w:line="11"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9563"/>
          </w:cols>
          <w:pgMar w:left="896" w:top="341" w:right="1440" w:bottom="1440" w:gutter="0" w:footer="0" w:header="0"/>
          <w:type w:val="continuous"/>
        </w:sectPr>
      </w:pP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Adam Bilali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212-357-2021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adam.bilali@gs.com</w:t>
      </w:r>
    </w:p>
    <w:p>
      <w:pPr>
        <w:spacing w:after="0" w:line="222" w:lineRule="exact"/>
        <w:rPr>
          <w:sz w:val="20"/>
          <w:szCs w:val="20"/>
          <w:color w:val="auto"/>
        </w:rPr>
      </w:pPr>
    </w:p>
    <w:p>
      <w:pPr>
        <w:sectPr>
          <w:pgSz w:w="11900" w:h="16838" w:orient="portrait"/>
          <w:cols w:equalWidth="0" w:num="2">
            <w:col w:w="2624" w:space="720"/>
            <w:col w:w="6219"/>
          </w:cols>
          <w:pgMar w:left="896" w:top="341" w:right="1440" w:bottom="1440" w:gutter="0" w:footer="0" w:header="0"/>
          <w:type w:val="continuous"/>
        </w:sectPr>
      </w:pPr>
    </w:p>
    <w:p>
      <w:pPr>
        <w:spacing w:after="0" w:line="7" w:lineRule="exact"/>
        <w:rPr>
          <w:sz w:val="20"/>
          <w:szCs w:val="20"/>
          <w:color w:val="auto"/>
        </w:rPr>
      </w:pPr>
    </w:p>
    <w:p>
      <w:pPr>
        <w:ind w:left="644"/>
        <w:spacing w:after="0"/>
        <w:rPr>
          <w:sz w:val="20"/>
          <w:szCs w:val="20"/>
          <w:color w:val="auto"/>
        </w:rPr>
      </w:pPr>
      <w:r>
        <w:rPr>
          <w:rFonts w:ascii="Arial" w:cs="Arial" w:eastAsia="Arial" w:hAnsi="Arial"/>
          <w:sz w:val="18"/>
          <w:szCs w:val="18"/>
          <w:b w:val="1"/>
          <w:bCs w:val="1"/>
          <w:color w:val="auto"/>
        </w:rPr>
        <w:t>And email notification to the following address:</w:t>
      </w:r>
    </w:p>
    <w:p>
      <w:pPr>
        <w:spacing w:after="0" w:line="27" w:lineRule="exact"/>
        <w:rPr>
          <w:sz w:val="20"/>
          <w:szCs w:val="20"/>
          <w:color w:val="auto"/>
        </w:rPr>
      </w:pPr>
    </w:p>
    <w:p>
      <w:pPr>
        <w:ind w:left="644"/>
        <w:spacing w:after="0"/>
        <w:rPr>
          <w:sz w:val="20"/>
          <w:szCs w:val="20"/>
          <w:color w:val="auto"/>
        </w:rPr>
      </w:pPr>
      <w:r>
        <w:rPr>
          <w:rFonts w:ascii="Arial" w:cs="Arial" w:eastAsia="Arial" w:hAnsi="Arial"/>
          <w:sz w:val="18"/>
          <w:szCs w:val="18"/>
          <w:b w:val="1"/>
          <w:bCs w:val="1"/>
          <w:color w:val="auto"/>
        </w:rPr>
        <w:t>Eq-derivs-notifications@am.ibd.gs.com</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95885</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63"/>
          </w:cols>
          <w:pgMar w:left="896" w:top="341" w:right="1440" w:bottom="1440" w:gutter="0" w:footer="0" w:header="0"/>
          <w:type w:val="continuous"/>
        </w:sectPr>
      </w:pPr>
    </w:p>
    <w:bookmarkStart w:id="324" w:name="page325"/>
    <w:bookmarkEnd w:id="324"/>
    <w:p>
      <w:pPr>
        <w:ind w:left="960" w:hanging="324"/>
        <w:spacing w:after="0"/>
        <w:tabs>
          <w:tab w:leader="none" w:pos="96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left="-20" w:right="500" w:firstLine="656"/>
        <w:spacing w:after="0" w:line="277" w:lineRule="auto"/>
        <w:tabs>
          <w:tab w:leader="none" w:pos="127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40" w:right="40" w:firstLine="645"/>
        <w:spacing w:after="0" w:line="255" w:lineRule="auto"/>
        <w:tabs>
          <w:tab w:leader="none" w:pos="195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ind w:left="640" w:right="140" w:firstLine="645"/>
        <w:spacing w:after="0" w:line="257" w:lineRule="auto"/>
        <w:tabs>
          <w:tab w:leader="none" w:pos="1967"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188" w:lineRule="exact"/>
        <w:rPr>
          <w:rFonts w:ascii="Arial" w:cs="Arial" w:eastAsia="Arial" w:hAnsi="Arial"/>
          <w:sz w:val="18"/>
          <w:szCs w:val="18"/>
          <w:color w:val="auto"/>
        </w:rPr>
      </w:pPr>
    </w:p>
    <w:p>
      <w:pPr>
        <w:ind w:left="640" w:right="240" w:firstLine="645"/>
        <w:spacing w:after="0" w:line="297" w:lineRule="auto"/>
        <w:tabs>
          <w:tab w:leader="none" w:pos="1977" w:val="left"/>
        </w:tabs>
        <w:numPr>
          <w:ilvl w:val="1"/>
          <w:numId w:val="349"/>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490.1110 of the Iowa Business Corporation Act as an “interested stockholder”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spacing w:after="0" w:line="158" w:lineRule="exact"/>
        <w:rPr>
          <w:rFonts w:ascii="Arial" w:cs="Arial" w:eastAsia="Arial" w:hAnsi="Arial"/>
          <w:sz w:val="16"/>
          <w:szCs w:val="16"/>
          <w:color w:val="auto"/>
        </w:rPr>
      </w:pPr>
    </w:p>
    <w:p>
      <w:pPr>
        <w:ind w:left="640" w:right="40" w:firstLine="645"/>
        <w:spacing w:after="0" w:line="264" w:lineRule="auto"/>
        <w:tabs>
          <w:tab w:leader="none" w:pos="1953"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40" w:right="800" w:firstLine="645"/>
        <w:spacing w:after="0" w:line="277" w:lineRule="auto"/>
        <w:tabs>
          <w:tab w:leader="none" w:pos="1944"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40" w:right="300" w:firstLine="645"/>
        <w:spacing w:after="0" w:line="291" w:lineRule="auto"/>
        <w:tabs>
          <w:tab w:leader="none" w:pos="1953" w:val="left"/>
        </w:tabs>
        <w:numPr>
          <w:ilvl w:val="1"/>
          <w:numId w:val="349"/>
        </w:numPr>
        <w:rPr>
          <w:rFonts w:ascii="Arial" w:cs="Arial" w:eastAsia="Arial" w:hAnsi="Arial"/>
          <w:sz w:val="16"/>
          <w:szCs w:val="16"/>
          <w:color w:val="auto"/>
        </w:rPr>
      </w:pPr>
      <w:r>
        <w:rPr>
          <w:rFonts w:ascii="Arial" w:cs="Arial" w:eastAsia="Arial" w:hAnsi="Arial"/>
          <w:sz w:val="16"/>
          <w:szCs w:val="16"/>
          <w:color w:val="auto"/>
        </w:rPr>
        <w:t>On the Trade Date and the Premium Payment Date (A) the assets of Counterparty at their fair valuation exceed the liabilities of Counterparty, including contingent liabilities, (B) the capital of Counterparty is adequate to conduct the business of Counterparty and</w:t>
      </w:r>
    </w:p>
    <w:p>
      <w:pPr>
        <w:ind w:left="640" w:right="320"/>
        <w:spacing w:after="0" w:line="261" w:lineRule="auto"/>
        <w:rPr>
          <w:rFonts w:ascii="Arial" w:cs="Arial" w:eastAsia="Arial" w:hAnsi="Arial"/>
          <w:sz w:val="16"/>
          <w:szCs w:val="16"/>
          <w:color w:val="auto"/>
        </w:rPr>
      </w:pPr>
      <w:r>
        <w:rPr>
          <w:rFonts w:ascii="Arial" w:cs="Arial" w:eastAsia="Arial" w:hAnsi="Arial"/>
          <w:sz w:val="18"/>
          <w:szCs w:val="18"/>
          <w:color w:val="auto"/>
        </w:rPr>
        <w:t>(C) Counterparty has the ability to pay its debts and obligations as such debts mature and does not intend to, or does not believe that it will, incur debt beyond its ability to pay as such debts mature.</w:t>
      </w:r>
    </w:p>
    <w:p>
      <w:pPr>
        <w:spacing w:after="0" w:line="183" w:lineRule="exact"/>
        <w:rPr>
          <w:rFonts w:ascii="Arial" w:cs="Arial" w:eastAsia="Arial" w:hAnsi="Arial"/>
          <w:sz w:val="16"/>
          <w:szCs w:val="16"/>
          <w:color w:val="auto"/>
        </w:rPr>
      </w:pPr>
    </w:p>
    <w:p>
      <w:pPr>
        <w:ind w:left="640" w:firstLine="645"/>
        <w:spacing w:after="0" w:line="264" w:lineRule="auto"/>
        <w:tabs>
          <w:tab w:leader="none" w:pos="1963"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Counterparty shall not take any action to decrease the number of Available Shares below the Capped Number (each as defined below, but without giving effect to the limitation on adjustments to the Capped Number set forth in the proviso in the first sentence of Section </w:t>
      </w:r>
      <w:r>
        <w:rPr>
          <w:rFonts w:ascii="Arial" w:cs="Arial" w:eastAsia="Arial" w:hAnsi="Arial"/>
          <w:sz w:val="18"/>
          <w:szCs w:val="18"/>
          <w:b w:val="1"/>
          <w:bCs w:val="1"/>
          <w:color w:val="auto"/>
        </w:rPr>
        <w:t>Error!</w:t>
      </w:r>
      <w:r>
        <w:rPr>
          <w:rFonts w:ascii="Arial" w:cs="Arial" w:eastAsia="Arial" w:hAnsi="Arial"/>
          <w:sz w:val="18"/>
          <w:szCs w:val="18"/>
          <w:color w:val="auto"/>
        </w:rPr>
        <w:t xml:space="preserve"> </w:t>
      </w:r>
      <w:r>
        <w:rPr>
          <w:rFonts w:ascii="Arial" w:cs="Arial" w:eastAsia="Arial" w:hAnsi="Arial"/>
          <w:sz w:val="18"/>
          <w:szCs w:val="18"/>
          <w:b w:val="1"/>
          <w:bCs w:val="1"/>
          <w:color w:val="auto"/>
        </w:rPr>
        <w:t>Reference source not found.</w:t>
      </w:r>
      <w:r>
        <w:rPr>
          <w:rFonts w:ascii="Arial" w:cs="Arial" w:eastAsia="Arial" w:hAnsi="Arial"/>
          <w:sz w:val="18"/>
          <w:szCs w:val="18"/>
          <w:color w:val="auto"/>
        </w:rPr>
        <w:t>8(f)).</w:t>
      </w:r>
    </w:p>
    <w:p>
      <w:pPr>
        <w:spacing w:after="0" w:line="181" w:lineRule="exact"/>
        <w:rPr>
          <w:rFonts w:ascii="Arial" w:cs="Arial" w:eastAsia="Arial" w:hAnsi="Arial"/>
          <w:sz w:val="18"/>
          <w:szCs w:val="18"/>
          <w:color w:val="auto"/>
        </w:rPr>
      </w:pPr>
    </w:p>
    <w:p>
      <w:pPr>
        <w:ind w:left="640" w:right="580" w:firstLine="645"/>
        <w:spacing w:after="0" w:line="259" w:lineRule="auto"/>
        <w:tabs>
          <w:tab w:leader="none" w:pos="1972"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representations and warranties of Counterparty set forth in Section 3 of the Agreement and Section 1 of the Purchase Agreement dated as of the Trade Date between Goldman Sachs &amp; Co. LLC and BMO Capital Markets Corp. as the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Initial Purchasers and Counterparty (the “</w:t>
      </w:r>
      <w:r>
        <w:rPr>
          <w:rFonts w:ascii="Arial" w:cs="Arial" w:eastAsia="Arial" w:hAnsi="Arial"/>
          <w:sz w:val="18"/>
          <w:szCs w:val="18"/>
          <w:b w:val="1"/>
          <w:bCs w:val="1"/>
          <w:color w:val="auto"/>
        </w:rPr>
        <w:t>Purchase Agreement</w:t>
      </w:r>
      <w:r>
        <w:rPr>
          <w:rFonts w:ascii="Arial" w:cs="Arial" w:eastAsia="Arial" w:hAnsi="Arial"/>
          <w:sz w:val="18"/>
          <w:szCs w:val="18"/>
          <w:color w:val="auto"/>
        </w:rPr>
        <w:t>”) are true and correct as of the Trade Date and the Effective Date and are hereby deemed to be repeated to Dealer as if set forth 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325" w:name="page326"/>
    <w:bookmarkEnd w:id="325"/>
    <w:p>
      <w:pPr>
        <w:ind w:left="4" w:right="20" w:firstLine="645"/>
        <w:spacing w:after="0" w:line="274" w:lineRule="auto"/>
        <w:tabs>
          <w:tab w:leader="none" w:pos="1317" w:val="left"/>
        </w:tabs>
        <w:numPr>
          <w:ilvl w:val="1"/>
          <w:numId w:val="350"/>
        </w:numPr>
        <w:rPr>
          <w:rFonts w:ascii="Arial" w:cs="Arial" w:eastAsia="Arial" w:hAnsi="Arial"/>
          <w:sz w:val="17"/>
          <w:szCs w:val="17"/>
          <w:color w:val="auto"/>
        </w:rPr>
      </w:pPr>
      <w:r>
        <w:rPr>
          <w:rFonts w:ascii="Arial" w:cs="Arial" w:eastAsia="Arial" w:hAnsi="Arial"/>
          <w:sz w:val="17"/>
          <w:szCs w:val="17"/>
          <w:color w:val="auto"/>
        </w:rPr>
        <w:t>(x) (A) On the Trade Date,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and</w:t>
      </w:r>
    </w:p>
    <w:p>
      <w:pPr>
        <w:ind w:left="4" w:hanging="4"/>
        <w:spacing w:after="0" w:line="270" w:lineRule="auto"/>
        <w:tabs>
          <w:tab w:leader="none" w:pos="289" w:val="left"/>
        </w:tabs>
        <w:numPr>
          <w:ilvl w:val="0"/>
          <w:numId w:val="351"/>
        </w:numPr>
        <w:rPr>
          <w:rFonts w:ascii="Arial" w:cs="Arial" w:eastAsia="Arial" w:hAnsi="Arial"/>
          <w:sz w:val="17"/>
          <w:szCs w:val="17"/>
          <w:color w:val="auto"/>
        </w:rPr>
      </w:pPr>
      <w:r>
        <w:rPr>
          <w:rFonts w:ascii="Arial" w:cs="Arial" w:eastAsia="Arial" w:hAnsi="Arial"/>
          <w:sz w:val="17"/>
          <w:szCs w:val="17"/>
          <w:color w:val="auto"/>
        </w:rPr>
        <w:t>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Arial" w:cs="Arial" w:eastAsia="Arial" w:hAnsi="Arial"/>
          <w:sz w:val="17"/>
          <w:szCs w:val="17"/>
          <w:b w:val="1"/>
          <w:bCs w:val="1"/>
          <w:color w:val="auto"/>
        </w:rPr>
        <w:t>Settlement Period</w:t>
      </w:r>
      <w:r>
        <w:rPr>
          <w:rFonts w:ascii="Arial" w:cs="Arial" w:eastAsia="Arial" w:hAnsi="Arial"/>
          <w:sz w:val="17"/>
          <w:szCs w:val="17"/>
          <w:color w:val="auto"/>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spacing w:after="0" w:line="178" w:lineRule="exact"/>
        <w:rPr>
          <w:rFonts w:ascii="Arial" w:cs="Arial" w:eastAsia="Arial" w:hAnsi="Arial"/>
          <w:sz w:val="17"/>
          <w:szCs w:val="17"/>
          <w:color w:val="auto"/>
        </w:rPr>
      </w:pPr>
    </w:p>
    <w:p>
      <w:pPr>
        <w:ind w:left="4" w:right="160" w:firstLine="645"/>
        <w:spacing w:after="0" w:line="297" w:lineRule="auto"/>
        <w:tabs>
          <w:tab w:leader="none" w:pos="130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(x) On the Trade Date, (y) during the Settlement Period and (z) on any other Exercise Date, neither Counterparty nor any “affiliate” or “affiliated purchaser” (each as defined in Rule 10b-18 of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158" w:lineRule="exact"/>
        <w:rPr>
          <w:rFonts w:ascii="Arial" w:cs="Arial" w:eastAsia="Arial" w:hAnsi="Arial"/>
          <w:sz w:val="16"/>
          <w:szCs w:val="16"/>
          <w:color w:val="auto"/>
        </w:rPr>
      </w:pPr>
    </w:p>
    <w:p>
      <w:pPr>
        <w:ind w:left="4" w:right="140" w:firstLine="645"/>
        <w:spacing w:after="0" w:line="269" w:lineRule="auto"/>
        <w:tabs>
          <w:tab w:leader="none" w:pos="1317" w:val="left"/>
        </w:tabs>
        <w:numPr>
          <w:ilvl w:val="1"/>
          <w:numId w:val="351"/>
        </w:numPr>
        <w:rPr>
          <w:rFonts w:ascii="Arial" w:cs="Arial" w:eastAsia="Arial" w:hAnsi="Arial"/>
          <w:sz w:val="17"/>
          <w:szCs w:val="17"/>
          <w:color w:val="auto"/>
        </w:rPr>
      </w:pPr>
      <w:r>
        <w:rPr>
          <w:rFonts w:ascii="Arial" w:cs="Arial" w:eastAsia="Arial" w:hAnsi="Arial"/>
          <w:sz w:val="17"/>
          <w:szCs w:val="17"/>
          <w:color w:val="auto"/>
        </w:rPr>
        <w:t>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Arial" w:cs="Arial" w:eastAsia="Arial" w:hAnsi="Arial"/>
          <w:sz w:val="17"/>
          <w:szCs w:val="17"/>
          <w:b w:val="1"/>
          <w:bCs w:val="1"/>
          <w:color w:val="auto"/>
        </w:rPr>
        <w:t>Merger Transaction</w:t>
      </w:r>
      <w:r>
        <w:rPr>
          <w:rFonts w:ascii="Arial" w:cs="Arial" w:eastAsia="Arial" w:hAnsi="Arial"/>
          <w:sz w:val="17"/>
          <w:szCs w:val="17"/>
          <w:color w:val="auto"/>
        </w:rPr>
        <w:t>” means any merger, acquisition or similar transaction involving a recapitalization as contemplated by Rule 10b-18(a)(13) (iv) under the Exchange Act.</w:t>
      </w:r>
    </w:p>
    <w:p>
      <w:pPr>
        <w:spacing w:after="0" w:line="179" w:lineRule="exact"/>
        <w:rPr>
          <w:rFonts w:ascii="Arial" w:cs="Arial" w:eastAsia="Arial" w:hAnsi="Arial"/>
          <w:sz w:val="17"/>
          <w:szCs w:val="17"/>
          <w:color w:val="auto"/>
        </w:rPr>
      </w:pPr>
    </w:p>
    <w:p>
      <w:pPr>
        <w:ind w:left="4" w:firstLine="645"/>
        <w:spacing w:after="0" w:line="255" w:lineRule="auto"/>
        <w:tabs>
          <w:tab w:leader="none" w:pos="1327"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spacing w:after="0" w:line="189" w:lineRule="exact"/>
        <w:rPr>
          <w:rFonts w:ascii="Arial" w:cs="Arial" w:eastAsia="Arial" w:hAnsi="Arial"/>
          <w:sz w:val="18"/>
          <w:szCs w:val="18"/>
          <w:color w:val="auto"/>
        </w:rPr>
      </w:pPr>
    </w:p>
    <w:p>
      <w:pPr>
        <w:ind w:left="4" w:right="80" w:firstLine="645"/>
        <w:spacing w:after="0" w:line="286" w:lineRule="auto"/>
        <w:tabs>
          <w:tab w:leader="none" w:pos="1336" w:val="left"/>
        </w:tabs>
        <w:numPr>
          <w:ilvl w:val="1"/>
          <w:numId w:val="351"/>
        </w:numPr>
        <w:rPr>
          <w:rFonts w:ascii="Arial" w:cs="Arial" w:eastAsia="Arial" w:hAnsi="Arial"/>
          <w:sz w:val="17"/>
          <w:szCs w:val="17"/>
          <w:color w:val="auto"/>
        </w:rPr>
      </w:pPr>
      <w:r>
        <w:rPr>
          <w:rFonts w:ascii="Arial" w:cs="Arial" w:eastAsia="Arial" w:hAnsi="Arial"/>
          <w:sz w:val="17"/>
          <w:szCs w:val="17"/>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holding (however defined) or having a right to acquire Shares.</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26" w:name="page327"/>
    <w:bookmarkEnd w:id="326"/>
    <w:p>
      <w:pPr>
        <w:jc w:val="both"/>
        <w:ind w:left="660" w:right="180" w:firstLine="645"/>
        <w:spacing w:after="0" w:line="286" w:lineRule="auto"/>
        <w:tabs>
          <w:tab w:leader="none" w:pos="1969" w:val="left"/>
        </w:tabs>
        <w:numPr>
          <w:ilvl w:val="1"/>
          <w:numId w:val="352"/>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w:t>
      </w:r>
    </w:p>
    <w:p>
      <w:pPr>
        <w:spacing w:after="0" w:line="1" w:lineRule="exact"/>
        <w:rPr>
          <w:rFonts w:ascii="Arial" w:cs="Arial" w:eastAsia="Arial" w:hAnsi="Arial"/>
          <w:sz w:val="16"/>
          <w:szCs w:val="16"/>
          <w:color w:val="auto"/>
        </w:rPr>
      </w:pPr>
    </w:p>
    <w:p>
      <w:pPr>
        <w:ind w:left="660" w:right="420" w:hanging="4"/>
        <w:spacing w:after="0" w:line="261" w:lineRule="auto"/>
        <w:tabs>
          <w:tab w:leader="none" w:pos="94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has total assets of at least $50 million. Counterparty will notify Dealer if the immediately preceding statement contained in this Section 7(a) (xiv) ceases to be true.</w:t>
      </w:r>
    </w:p>
    <w:p>
      <w:pPr>
        <w:spacing w:after="0" w:line="183" w:lineRule="exact"/>
        <w:rPr>
          <w:rFonts w:ascii="Arial" w:cs="Arial" w:eastAsia="Arial" w:hAnsi="Arial"/>
          <w:sz w:val="18"/>
          <w:szCs w:val="18"/>
          <w:color w:val="auto"/>
        </w:rPr>
      </w:pPr>
    </w:p>
    <w:p>
      <w:pPr>
        <w:ind w:left="660" w:right="40" w:firstLine="645"/>
        <w:spacing w:after="0" w:line="272" w:lineRule="auto"/>
        <w:tabs>
          <w:tab w:leader="none" w:pos="1959" w:val="left"/>
        </w:tabs>
        <w:numPr>
          <w:ilvl w:val="1"/>
          <w:numId w:val="353"/>
        </w:numPr>
        <w:rPr>
          <w:rFonts w:ascii="Arial" w:cs="Arial" w:eastAsia="Arial" w:hAnsi="Arial"/>
          <w:sz w:val="17"/>
          <w:szCs w:val="17"/>
          <w:color w:val="auto"/>
        </w:rPr>
      </w:pPr>
      <w:r>
        <w:rPr>
          <w:rFonts w:ascii="Arial" w:cs="Arial" w:eastAsia="Arial" w:hAnsi="Arial"/>
          <w:sz w:val="17"/>
          <w:szCs w:val="17"/>
          <w:color w:val="auto"/>
        </w:rPr>
        <w:t>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31, 2019,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78" w:lineRule="exact"/>
        <w:rPr>
          <w:sz w:val="20"/>
          <w:szCs w:val="20"/>
          <w:color w:val="auto"/>
        </w:rPr>
      </w:pPr>
    </w:p>
    <w:p>
      <w:pPr>
        <w:ind w:firstLine="656"/>
        <w:spacing w:after="0" w:line="264" w:lineRule="auto"/>
        <w:tabs>
          <w:tab w:leader="none" w:pos="1304" w:val="left"/>
        </w:tabs>
        <w:numPr>
          <w:ilvl w:val="1"/>
          <w:numId w:val="354"/>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right="40" w:firstLine="656"/>
        <w:spacing w:after="0" w:line="284" w:lineRule="auto"/>
        <w:tabs>
          <w:tab w:leader="none" w:pos="1307" w:val="left"/>
        </w:tabs>
        <w:numPr>
          <w:ilvl w:val="1"/>
          <w:numId w:val="354"/>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w:t>
      </w:r>
    </w:p>
    <w:p>
      <w:pPr>
        <w:spacing w:after="0" w:line="4" w:lineRule="exact"/>
        <w:rPr>
          <w:rFonts w:ascii="Arial" w:cs="Arial" w:eastAsia="Arial" w:hAnsi="Arial"/>
          <w:sz w:val="16"/>
          <w:szCs w:val="16"/>
          <w:color w:val="auto"/>
        </w:rPr>
      </w:pPr>
    </w:p>
    <w:p>
      <w:pPr>
        <w:ind w:right="60" w:firstLine="8"/>
        <w:spacing w:after="0" w:line="253" w:lineRule="auto"/>
        <w:tabs>
          <w:tab w:leader="none" w:pos="30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Arial" w:cs="Arial" w:eastAsia="Arial" w:hAnsi="Arial"/>
          <w:sz w:val="18"/>
          <w:szCs w:val="18"/>
          <w:color w:val="auto"/>
        </w:rPr>
      </w:pPr>
    </w:p>
    <w:p>
      <w:pPr>
        <w:ind w:right="20" w:firstLine="656"/>
        <w:spacing w:after="0" w:line="293" w:lineRule="auto"/>
        <w:tabs>
          <w:tab w:leader="none" w:pos="1304" w:val="left"/>
        </w:tabs>
        <w:numPr>
          <w:ilvl w:val="1"/>
          <w:numId w:val="355"/>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and “financial participant” within the meaning of Sections 101(22)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164" w:lineRule="exact"/>
        <w:rPr>
          <w:rFonts w:ascii="Arial" w:cs="Arial" w:eastAsia="Arial" w:hAnsi="Arial"/>
          <w:sz w:val="16"/>
          <w:szCs w:val="16"/>
          <w:color w:val="auto"/>
        </w:rPr>
      </w:pPr>
    </w:p>
    <w:p>
      <w:pPr>
        <w:ind w:right="20" w:firstLine="656"/>
        <w:spacing w:after="0" w:line="291" w:lineRule="auto"/>
        <w:tabs>
          <w:tab w:leader="none" w:pos="1307" w:val="left"/>
        </w:tabs>
        <w:numPr>
          <w:ilvl w:val="1"/>
          <w:numId w:val="355"/>
        </w:numPr>
        <w:rPr>
          <w:rFonts w:ascii="Arial" w:cs="Arial" w:eastAsia="Arial" w:hAnsi="Arial"/>
          <w:sz w:val="16"/>
          <w:szCs w:val="16"/>
          <w:color w:val="auto"/>
        </w:rPr>
      </w:pPr>
      <w:r>
        <w:rPr>
          <w:rFonts w:ascii="Arial" w:cs="Arial" w:eastAsia="Arial" w:hAnsi="Arial"/>
          <w:sz w:val="16"/>
          <w:szCs w:val="16"/>
          <w:color w:val="auto"/>
        </w:rPr>
        <w:t>Counterparty shall deliver to Dealer (i) an incumbency certificate, dated as of the Trade Date, of Counterparty in customary form and (ii) an opinion of counsel, dated as of the Trade Date and reasonably acceptable to Dealer in form and substance, with respect to the matters set forth in</w:t>
      </w:r>
    </w:p>
    <w:p>
      <w:pPr>
        <w:spacing w:after="0"/>
        <w:rPr>
          <w:rFonts w:ascii="Arial" w:cs="Arial" w:eastAsia="Arial" w:hAnsi="Arial"/>
          <w:sz w:val="16"/>
          <w:szCs w:val="16"/>
          <w:color w:val="auto"/>
        </w:rPr>
      </w:pPr>
      <w:r>
        <w:rPr>
          <w:rFonts w:ascii="Arial" w:cs="Arial" w:eastAsia="Arial" w:hAnsi="Arial"/>
          <w:sz w:val="16"/>
          <w:szCs w:val="16"/>
          <w:color w:val="auto"/>
        </w:rPr>
        <w:t>Section 3(a) of the Agreement and Sections 7(a)(v), 7(a)(xii) and 7(a)(xv) of this Confirmation and such other matters as Dealer may reasonably request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evidence that the listing of the Shares issuable upon exercise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color w:val="auto"/>
        </w:rPr>
        <w:t>termination of the Warrants on the Exchange has been approved by the Exchange, subject only to official notice of issuance.</w:t>
      </w:r>
    </w:p>
    <w:p>
      <w:pPr>
        <w:spacing w:after="0" w:line="225" w:lineRule="exact"/>
        <w:rPr>
          <w:sz w:val="20"/>
          <w:szCs w:val="20"/>
          <w:color w:val="auto"/>
        </w:rPr>
      </w:pPr>
    </w:p>
    <w:p>
      <w:pPr>
        <w:ind w:right="80" w:firstLine="656"/>
        <w:spacing w:after="0" w:line="312" w:lineRule="auto"/>
        <w:tabs>
          <w:tab w:leader="none" w:pos="1301" w:val="left"/>
        </w:tabs>
        <w:numPr>
          <w:ilvl w:val="0"/>
          <w:numId w:val="357"/>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spacing w:after="0" w:line="142" w:lineRule="exact"/>
        <w:rPr>
          <w:rFonts w:ascii="Arial" w:cs="Arial" w:eastAsia="Arial" w:hAnsi="Arial"/>
          <w:sz w:val="16"/>
          <w:szCs w:val="16"/>
          <w:color w:val="auto"/>
        </w:rPr>
      </w:pPr>
    </w:p>
    <w:p>
      <w:pPr>
        <w:ind w:right="200" w:firstLine="656"/>
        <w:spacing w:after="0" w:line="347" w:lineRule="auto"/>
        <w:tabs>
          <w:tab w:leader="none" w:pos="1317"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Counterparty represents and warrants that 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280" w:firstLine="656"/>
        <w:spacing w:after="0" w:line="277" w:lineRule="auto"/>
        <w:tabs>
          <w:tab w:leader="none" w:pos="130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sz w:val="20"/>
          <w:szCs w:val="20"/>
          <w:color w:val="auto"/>
        </w:rPr>
      </w:pPr>
    </w:p>
    <w:p>
      <w:pPr>
        <w:ind w:left="980" w:hanging="324"/>
        <w:spacing w:after="0"/>
        <w:tabs>
          <w:tab w:leader="none" w:pos="98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90" w:lineRule="auto"/>
        <w:tabs>
          <w:tab w:leader="none" w:pos="1294" w:val="left"/>
        </w:tabs>
        <w:numPr>
          <w:ilvl w:val="0"/>
          <w:numId w:val="359"/>
        </w:numPr>
        <w:rPr>
          <w:rFonts w:ascii="Arial" w:cs="Arial" w:eastAsia="Arial" w:hAnsi="Arial"/>
          <w:sz w:val="16"/>
          <w:szCs w:val="16"/>
          <w:color w:val="auto"/>
        </w:rPr>
      </w:pPr>
      <w:r>
        <w:rPr>
          <w:rFonts w:ascii="Arial" w:cs="Arial" w:eastAsia="Arial" w:hAnsi="Arial"/>
          <w:sz w:val="16"/>
          <w:szCs w:val="16"/>
          <w:i w:val="1"/>
          <w:iCs w:val="1"/>
          <w:color w:val="auto"/>
        </w:rPr>
        <w:t>Right to Extend</w:t>
      </w:r>
      <w:r>
        <w:rPr>
          <w:rFonts w:ascii="Arial" w:cs="Arial" w:eastAsia="Arial" w:hAnsi="Arial"/>
          <w:sz w:val="16"/>
          <w:szCs w:val="16"/>
          <w:color w:val="auto"/>
        </w:rPr>
        <w:t>. Dealer may postpone or add, in whole or in part, any Expiration Date or Settlement Date or any other date of valuation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w:t>
      </w:r>
    </w:p>
    <w:p>
      <w:pPr>
        <w:spacing w:after="0" w:line="166" w:lineRule="exact"/>
        <w:rPr>
          <w:rFonts w:ascii="Arial" w:cs="Arial" w:eastAsia="Arial" w:hAnsi="Arial"/>
          <w:sz w:val="16"/>
          <w:szCs w:val="16"/>
          <w:color w:val="auto"/>
        </w:rPr>
      </w:pPr>
    </w:p>
    <w:p>
      <w:pPr>
        <w:ind w:right="40" w:firstLine="656"/>
        <w:spacing w:after="0" w:line="286" w:lineRule="auto"/>
        <w:tabs>
          <w:tab w:leader="none" w:pos="1304" w:val="left"/>
        </w:tabs>
        <w:numPr>
          <w:ilvl w:val="0"/>
          <w:numId w:val="359"/>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Counterparty shall owe Dealer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pursuant to Section 6(d)(ii) of the Agreement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Merger Date, Tender Offer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8320" w:type="dxa"/>
            <w:vAlign w:val="bottom"/>
          </w:tcPr>
          <w:p>
            <w:pPr>
              <w:ind w:left="880"/>
              <w:spacing w:after="0"/>
              <w:rPr>
                <w:sz w:val="20"/>
                <w:szCs w:val="20"/>
                <w:color w:val="auto"/>
              </w:rPr>
            </w:pPr>
            <w:r>
              <w:rPr>
                <w:rFonts w:ascii="Arial" w:cs="Arial" w:eastAsia="Arial" w:hAnsi="Arial"/>
                <w:sz w:val="18"/>
                <w:szCs w:val="18"/>
                <w:color w:val="auto"/>
                <w:w w:val="91"/>
              </w:rPr>
              <w:t>If applicable, means that Counterparty shall deliver to Dealer the Share Termination Delivery Property</w:t>
            </w:r>
          </w:p>
        </w:tc>
      </w:tr>
      <w:tr>
        <w:trPr>
          <w:trHeight w:val="216"/>
        </w:trPr>
        <w:tc>
          <w:tcPr>
            <w:tcW w:w="3140" w:type="dxa"/>
            <w:vAlign w:val="bottom"/>
          </w:tcPr>
          <w:p>
            <w:pPr>
              <w:spacing w:after="0"/>
              <w:rPr>
                <w:sz w:val="18"/>
                <w:szCs w:val="18"/>
                <w:color w:val="auto"/>
              </w:rPr>
            </w:pPr>
          </w:p>
        </w:tc>
        <w:tc>
          <w:tcPr>
            <w:tcW w:w="8320" w:type="dxa"/>
            <w:vAlign w:val="bottom"/>
          </w:tcPr>
          <w:p>
            <w:pPr>
              <w:ind w:left="880"/>
              <w:spacing w:after="0"/>
              <w:rPr>
                <w:sz w:val="20"/>
                <w:szCs w:val="20"/>
                <w:color w:val="auto"/>
              </w:rPr>
            </w:pPr>
            <w:r>
              <w:rPr>
                <w:rFonts w:ascii="Arial" w:cs="Arial" w:eastAsia="Arial" w:hAnsi="Arial"/>
                <w:sz w:val="18"/>
                <w:szCs w:val="18"/>
                <w:color w:val="auto"/>
                <w:w w:val="93"/>
              </w:rPr>
              <w:t>on the date on which the Payment Obligation would otherwise be due pursuant to Section 6(d)(ii) of</w:t>
            </w:r>
          </w:p>
        </w:tc>
      </w:tr>
      <w:tr>
        <w:trPr>
          <w:trHeight w:val="212"/>
        </w:trPr>
        <w:tc>
          <w:tcPr>
            <w:tcW w:w="3140" w:type="dxa"/>
            <w:vAlign w:val="bottom"/>
          </w:tcPr>
          <w:p>
            <w:pPr>
              <w:spacing w:after="0"/>
              <w:rPr>
                <w:sz w:val="18"/>
                <w:szCs w:val="18"/>
                <w:color w:val="auto"/>
              </w:rPr>
            </w:pPr>
          </w:p>
        </w:tc>
        <w:tc>
          <w:tcPr>
            <w:tcW w:w="8320" w:type="dxa"/>
            <w:vAlign w:val="bottom"/>
          </w:tcPr>
          <w:p>
            <w:pPr>
              <w:ind w:left="880"/>
              <w:spacing w:after="0"/>
              <w:rPr>
                <w:sz w:val="20"/>
                <w:szCs w:val="20"/>
                <w:color w:val="auto"/>
              </w:rPr>
            </w:pPr>
            <w:r>
              <w:rPr>
                <w:rFonts w:ascii="Arial" w:cs="Arial" w:eastAsia="Arial" w:hAnsi="Arial"/>
                <w:sz w:val="18"/>
                <w:szCs w:val="18"/>
                <w:color w:val="auto"/>
                <w:w w:val="93"/>
              </w:rPr>
              <w:t>the Agreement, or such later date or dates as the Calculation Agent may reasonably determine (the</w:t>
            </w:r>
          </w:p>
        </w:tc>
      </w:tr>
      <w:tr>
        <w:trPr>
          <w:trHeight w:val="234"/>
        </w:trPr>
        <w:tc>
          <w:tcPr>
            <w:tcW w:w="3140" w:type="dxa"/>
            <w:vAlign w:val="bottom"/>
          </w:tcPr>
          <w:p>
            <w:pPr>
              <w:spacing w:after="0"/>
              <w:rPr>
                <w:sz w:val="20"/>
                <w:szCs w:val="20"/>
                <w:color w:val="auto"/>
              </w:rPr>
            </w:pPr>
          </w:p>
        </w:tc>
        <w:tc>
          <w:tcPr>
            <w:tcW w:w="8320" w:type="dxa"/>
            <w:vAlign w:val="bottom"/>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Termination Payment Date</w:t>
            </w:r>
            <w:r>
              <w:rPr>
                <w:rFonts w:ascii="Arial" w:cs="Arial" w:eastAsia="Arial" w:hAnsi="Arial"/>
                <w:sz w:val="18"/>
                <w:szCs w:val="18"/>
                <w:color w:val="auto"/>
              </w:rPr>
              <w:t>”), in</w:t>
            </w:r>
          </w:p>
        </w:tc>
      </w:tr>
      <w:tr>
        <w:trPr>
          <w:trHeight w:val="432"/>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Arial" w:cs="Arial" w:eastAsia="Arial" w:hAnsi="Arial"/>
                <w:sz w:val="18"/>
                <w:szCs w:val="18"/>
                <w:color w:val="auto"/>
              </w:rPr>
              <w:t>15</w:t>
            </w:r>
          </w:p>
        </w:tc>
      </w:tr>
      <w:tr>
        <w:trPr>
          <w:trHeight w:val="132"/>
        </w:trPr>
        <w:tc>
          <w:tcPr>
            <w:tcW w:w="3140" w:type="dxa"/>
            <w:vAlign w:val="bottom"/>
            <w:tcBorders>
              <w:bottom w:val="single" w:sz="8" w:color="808080"/>
            </w:tcBorders>
          </w:tcPr>
          <w:p>
            <w:pPr>
              <w:spacing w:after="0"/>
              <w:rPr>
                <w:sz w:val="11"/>
                <w:szCs w:val="11"/>
                <w:color w:val="auto"/>
              </w:rPr>
            </w:pPr>
          </w:p>
        </w:tc>
        <w:tc>
          <w:tcPr>
            <w:tcW w:w="83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28" w:name="page329"/>
    <w:bookmarkEnd w:id="328"/>
    <w:p>
      <w:pPr>
        <w:jc w:val="center"/>
        <w:ind w:right="20"/>
        <w:spacing w:after="0"/>
        <w:rPr>
          <w:sz w:val="20"/>
          <w:szCs w:val="20"/>
          <w:color w:val="auto"/>
        </w:rPr>
      </w:pPr>
      <w:r>
        <w:rPr>
          <w:rFonts w:ascii="Arial" w:cs="Arial" w:eastAsia="Arial" w:hAnsi="Arial"/>
          <w:sz w:val="16"/>
          <w:szCs w:val="16"/>
          <w:color w:val="auto"/>
        </w:rPr>
        <w:t>satisfaction of the Payment Obligation.</w:t>
      </w:r>
    </w:p>
    <w:p>
      <w:pPr>
        <w:sectPr>
          <w:pgSz w:w="11900" w:h="16838" w:orient="portrait"/>
          <w:cols w:equalWidth="0" w:num="1">
            <w:col w:w="11400"/>
          </w:cols>
          <w:pgMar w:left="240" w:top="341"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Delivery Property: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p>
      <w:pPr>
        <w:spacing w:after="0" w:line="158" w:lineRule="exact"/>
        <w:rPr>
          <w:sz w:val="20"/>
          <w:szCs w:val="20"/>
          <w:color w:val="auto"/>
        </w:rPr>
      </w:pPr>
    </w:p>
    <w:p>
      <w:pPr>
        <w:sectPr>
          <w:pgSz w:w="11900" w:h="16838" w:orient="portrait"/>
          <w:cols w:equalWidth="0" w:num="2">
            <w:col w:w="3500" w:space="720"/>
            <w:col w:w="7180"/>
          </w:cols>
          <w:pgMar w:left="240" w:top="3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p>
      <w:pPr>
        <w:spacing w:after="0" w:line="187" w:lineRule="exact"/>
        <w:rPr>
          <w:sz w:val="20"/>
          <w:szCs w:val="20"/>
          <w:color w:val="auto"/>
        </w:rPr>
      </w:pPr>
    </w:p>
    <w:p>
      <w:pPr>
        <w:sectPr>
          <w:pgSz w:w="11900" w:h="16838" w:orient="portrait"/>
          <w:cols w:equalWidth="0" w:num="2">
            <w:col w:w="3500" w:space="720"/>
            <w:col w:w="7180"/>
          </w:cols>
          <w:pgMar w:left="240" w:top="3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8"/>
          <w:szCs w:val="18"/>
          <w:color w:val="auto"/>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p>
      <w:pPr>
        <w:spacing w:after="0" w:line="197" w:lineRule="exact"/>
        <w:rPr>
          <w:sz w:val="20"/>
          <w:szCs w:val="20"/>
          <w:color w:val="auto"/>
        </w:rPr>
      </w:pPr>
    </w:p>
    <w:p>
      <w:pPr>
        <w:sectPr>
          <w:pgSz w:w="11900" w:h="16838" w:orient="portrait"/>
          <w:cols w:equalWidth="0" w:num="2">
            <w:col w:w="3500" w:space="720"/>
            <w:col w:w="7180"/>
          </w:cols>
          <w:pgMar w:left="240" w:top="341" w:right="259" w:bottom="1440" w:gutter="0" w:footer="0" w:header="0"/>
          <w:type w:val="continuous"/>
        </w:sect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3500" w:space="720"/>
            <w:col w:w="7180"/>
          </w:cols>
          <w:pgMar w:left="240" w:top="341"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p>
      <w:pPr>
        <w:spacing w:after="0" w:line="188" w:lineRule="exact"/>
        <w:rPr>
          <w:sz w:val="20"/>
          <w:szCs w:val="20"/>
          <w:color w:val="auto"/>
        </w:rPr>
      </w:pPr>
    </w:p>
    <w:p>
      <w:pPr>
        <w:sectPr>
          <w:pgSz w:w="11900" w:h="16838" w:orient="portrait"/>
          <w:cols w:equalWidth="0" w:num="2">
            <w:col w:w="3500" w:space="720"/>
            <w:col w:w="7180"/>
          </w:cols>
          <w:pgMar w:left="240" w:top="341" w:right="259" w:bottom="1440" w:gutter="0" w:footer="0" w:header="0"/>
          <w:type w:val="continuous"/>
        </w:sectPr>
      </w:pPr>
    </w:p>
    <w:p>
      <w:pPr>
        <w:ind w:right="60" w:firstLine="656"/>
        <w:spacing w:after="0" w:line="255" w:lineRule="auto"/>
        <w:tabs>
          <w:tab w:leader="none" w:pos="1388"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Registration/Private Placement Procedures</w:t>
      </w:r>
      <w:r>
        <w:rPr>
          <w:rFonts w:ascii="Arial" w:cs="Arial" w:eastAsia="Arial" w:hAnsi="Arial"/>
          <w:sz w:val="18"/>
          <w:szCs w:val="18"/>
          <w:color w:val="auto"/>
        </w:rPr>
        <w:t>. (i) With respect to the Transaction, the following provisions shall apply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329" w:name="page330"/>
    <w:bookmarkEnd w:id="329"/>
    <w:p>
      <w:pPr>
        <w:ind w:right="40"/>
        <w:spacing w:after="0" w:line="271" w:lineRule="auto"/>
        <w:rPr>
          <w:sz w:val="20"/>
          <w:szCs w:val="20"/>
          <w:color w:val="auto"/>
        </w:rPr>
      </w:pPr>
      <w:r>
        <w:rPr>
          <w:rFonts w:ascii="Arial" w:cs="Arial" w:eastAsia="Arial" w:hAnsi="Arial"/>
          <w:sz w:val="17"/>
          <w:szCs w:val="17"/>
          <w:color w:val="auto"/>
        </w:rPr>
        <w:t>corresponding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Arial" w:cs="Arial" w:eastAsia="Arial" w:hAnsi="Arial"/>
          <w:sz w:val="17"/>
          <w:szCs w:val="17"/>
          <w:b w:val="1"/>
          <w:bCs w:val="1"/>
          <w:color w:val="auto"/>
        </w:rPr>
        <w:t>Freely Tradeable 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spacing w:after="0" w:line="178" w:lineRule="exact"/>
        <w:rPr>
          <w:sz w:val="20"/>
          <w:szCs w:val="20"/>
          <w:color w:val="auto"/>
        </w:rPr>
      </w:pPr>
    </w:p>
    <w:p>
      <w:pPr>
        <w:ind w:left="1340" w:hanging="684"/>
        <w:spacing w:after="0"/>
        <w:tabs>
          <w:tab w:leader="none" w:pos="13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It shall be a condition to Counterparty’s right to make the election described in clause (c)(i)(A) that:</w:t>
      </w:r>
    </w:p>
    <w:p>
      <w:pPr>
        <w:spacing w:after="0" w:line="225" w:lineRule="exact"/>
        <w:rPr>
          <w:rFonts w:ascii="Arial" w:cs="Arial" w:eastAsia="Arial" w:hAnsi="Arial"/>
          <w:sz w:val="18"/>
          <w:szCs w:val="18"/>
          <w:color w:val="auto"/>
        </w:rPr>
      </w:pPr>
    </w:p>
    <w:p>
      <w:pPr>
        <w:ind w:left="660" w:right="300" w:firstLine="645"/>
        <w:spacing w:after="0" w:line="264" w:lineRule="auto"/>
        <w:tabs>
          <w:tab w:leader="none" w:pos="1977" w:val="left"/>
        </w:tabs>
        <w:numPr>
          <w:ilvl w:val="1"/>
          <w:numId w:val="361"/>
        </w:numPr>
        <w:rPr>
          <w:rFonts w:ascii="Arial" w:cs="Arial" w:eastAsia="Arial" w:hAnsi="Arial"/>
          <w:sz w:val="18"/>
          <w:szCs w:val="18"/>
          <w:color w:val="auto"/>
        </w:rPr>
      </w:pPr>
      <w:r>
        <w:rPr>
          <w:rFonts w:ascii="Arial" w:cs="Arial" w:eastAsia="Arial" w:hAnsi="Arial"/>
          <w:sz w:val="18"/>
          <w:szCs w:val="18"/>
          <w:color w:val="auto"/>
        </w:rPr>
        <w:t>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spacing w:after="0" w:line="177" w:lineRule="exact"/>
        <w:rPr>
          <w:rFonts w:ascii="Arial" w:cs="Arial" w:eastAsia="Arial" w:hAnsi="Arial"/>
          <w:sz w:val="18"/>
          <w:szCs w:val="18"/>
          <w:color w:val="auto"/>
        </w:rPr>
      </w:pPr>
    </w:p>
    <w:p>
      <w:pPr>
        <w:ind w:left="660" w:firstLine="645"/>
        <w:spacing w:after="0" w:line="271" w:lineRule="auto"/>
        <w:tabs>
          <w:tab w:leader="none" w:pos="1967" w:val="left"/>
        </w:tabs>
        <w:numPr>
          <w:ilvl w:val="1"/>
          <w:numId w:val="361"/>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Counterparty shall enter into an agreement (a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commercially reasonable terms in connection with the public resale of such Shares or Share Termination Delivery Units, as the case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spacing w:after="0" w:line="178" w:lineRule="exact"/>
        <w:rPr>
          <w:rFonts w:ascii="Arial" w:cs="Arial" w:eastAsia="Arial" w:hAnsi="Arial"/>
          <w:sz w:val="17"/>
          <w:szCs w:val="17"/>
          <w:color w:val="auto"/>
        </w:rPr>
      </w:pPr>
    </w:p>
    <w:p>
      <w:pPr>
        <w:ind w:left="1340" w:hanging="684"/>
        <w:spacing w:after="0"/>
        <w:tabs>
          <w:tab w:leader="none" w:pos="13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Counterparty makes the election described in clause (c)(i)(B) above:</w:t>
      </w:r>
    </w:p>
    <w:p>
      <w:pPr>
        <w:spacing w:after="0" w:line="225" w:lineRule="exact"/>
        <w:rPr>
          <w:rFonts w:ascii="Arial" w:cs="Arial" w:eastAsia="Arial" w:hAnsi="Arial"/>
          <w:sz w:val="18"/>
          <w:szCs w:val="18"/>
          <w:color w:val="auto"/>
        </w:rPr>
      </w:pPr>
    </w:p>
    <w:p>
      <w:pPr>
        <w:ind w:left="660" w:right="100" w:firstLine="645"/>
        <w:spacing w:after="0" w:line="273" w:lineRule="auto"/>
        <w:tabs>
          <w:tab w:leader="none" w:pos="1977" w:val="left"/>
        </w:tabs>
        <w:numPr>
          <w:ilvl w:val="1"/>
          <w:numId w:val="361"/>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spacing w:after="0" w:line="174" w:lineRule="exact"/>
        <w:rPr>
          <w:rFonts w:ascii="Arial" w:cs="Arial" w:eastAsia="Arial" w:hAnsi="Arial"/>
          <w:sz w:val="17"/>
          <w:szCs w:val="17"/>
          <w:color w:val="auto"/>
        </w:rPr>
      </w:pPr>
    </w:p>
    <w:p>
      <w:pPr>
        <w:ind w:left="660" w:firstLine="645"/>
        <w:spacing w:after="0" w:line="272" w:lineRule="auto"/>
        <w:tabs>
          <w:tab w:leader="none" w:pos="1967" w:val="left"/>
        </w:tabs>
        <w:numPr>
          <w:ilvl w:val="1"/>
          <w:numId w:val="361"/>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Counterparty shall enter into an agreement (a “</w:t>
      </w:r>
      <w:r>
        <w:rPr>
          <w:rFonts w:ascii="Arial" w:cs="Arial" w:eastAsia="Arial" w:hAnsi="Arial"/>
          <w:sz w:val="17"/>
          <w:szCs w:val="17"/>
          <w:b w:val="1"/>
          <w:bCs w:val="1"/>
          <w:color w:val="auto"/>
        </w:rPr>
        <w:t>Private Placement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commercially reasonable terms in connection with the private placement of such Shares or Share Termination Delivery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0" w:name="page331"/>
    <w:bookmarkEnd w:id="330"/>
    <w:p>
      <w:pPr>
        <w:ind w:left="620" w:right="380"/>
        <w:spacing w:after="0" w:line="302" w:lineRule="auto"/>
        <w:rPr>
          <w:sz w:val="20"/>
          <w:szCs w:val="20"/>
          <w:color w:val="auto"/>
        </w:rPr>
      </w:pPr>
      <w:r>
        <w:rPr>
          <w:rFonts w:ascii="Arial" w:cs="Arial" w:eastAsia="Arial" w:hAnsi="Arial"/>
          <w:sz w:val="16"/>
          <w:szCs w:val="16"/>
          <w:color w:val="auto"/>
        </w:rPr>
        <w:t>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spacing w:after="0" w:line="154" w:lineRule="exact"/>
        <w:rPr>
          <w:sz w:val="20"/>
          <w:szCs w:val="20"/>
          <w:color w:val="auto"/>
        </w:rPr>
      </w:pPr>
    </w:p>
    <w:p>
      <w:pPr>
        <w:ind w:left="620" w:right="80" w:firstLine="645"/>
        <w:spacing w:after="0" w:line="272" w:lineRule="auto"/>
        <w:tabs>
          <w:tab w:leader="none" w:pos="1927" w:val="left"/>
        </w:tabs>
        <w:numPr>
          <w:ilvl w:val="1"/>
          <w:numId w:val="362"/>
        </w:numPr>
        <w:rPr>
          <w:rFonts w:ascii="Arial" w:cs="Arial" w:eastAsia="Arial" w:hAnsi="Arial"/>
          <w:sz w:val="17"/>
          <w:szCs w:val="17"/>
          <w:color w:val="auto"/>
        </w:rPr>
      </w:pPr>
      <w:r>
        <w:rPr>
          <w:rFonts w:ascii="Arial" w:cs="Arial" w:eastAsia="Arial" w:hAnsi="Arial"/>
          <w:sz w:val="17"/>
          <w:szCs w:val="17"/>
          <w:color w:val="auto"/>
        </w:rPr>
        <w:t>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spacing w:after="0" w:line="177" w:lineRule="exact"/>
        <w:rPr>
          <w:rFonts w:ascii="Arial" w:cs="Arial" w:eastAsia="Arial" w:hAnsi="Arial"/>
          <w:sz w:val="17"/>
          <w:szCs w:val="17"/>
          <w:color w:val="auto"/>
        </w:rPr>
      </w:pPr>
    </w:p>
    <w:p>
      <w:pPr>
        <w:ind w:left="620" w:right="20" w:firstLine="645"/>
        <w:spacing w:after="0" w:line="279" w:lineRule="auto"/>
        <w:tabs>
          <w:tab w:leader="none" w:pos="1937" w:val="left"/>
        </w:tabs>
        <w:numPr>
          <w:ilvl w:val="1"/>
          <w:numId w:val="362"/>
        </w:numPr>
        <w:rPr>
          <w:rFonts w:ascii="Arial" w:cs="Arial" w:eastAsia="Arial" w:hAnsi="Arial"/>
          <w:sz w:val="17"/>
          <w:szCs w:val="17"/>
          <w:color w:val="auto"/>
        </w:rPr>
      </w:pPr>
      <w:r>
        <w:rPr>
          <w:rFonts w:ascii="Arial" w:cs="Arial" w:eastAsia="Arial" w:hAnsi="Arial"/>
          <w:sz w:val="17"/>
          <w:szCs w:val="17"/>
          <w:color w:val="auto"/>
        </w:rPr>
        <w:t>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spacing w:after="0" w:line="171" w:lineRule="exact"/>
        <w:rPr>
          <w:rFonts w:ascii="Arial" w:cs="Arial" w:eastAsia="Arial" w:hAnsi="Arial"/>
          <w:sz w:val="17"/>
          <w:szCs w:val="17"/>
          <w:color w:val="auto"/>
        </w:rPr>
      </w:pPr>
    </w:p>
    <w:p>
      <w:pPr>
        <w:ind w:left="-40" w:firstLine="656"/>
        <w:spacing w:after="0" w:line="286" w:lineRule="auto"/>
        <w:tabs>
          <w:tab w:leader="none" w:pos="1264" w:val="left"/>
        </w:tabs>
        <w:numPr>
          <w:ilvl w:val="0"/>
          <w:numId w:val="363"/>
        </w:numPr>
        <w:rPr>
          <w:rFonts w:ascii="Arial" w:cs="Arial" w:eastAsia="Arial" w:hAnsi="Arial"/>
          <w:sz w:val="16"/>
          <w:szCs w:val="16"/>
          <w:color w:val="auto"/>
        </w:rPr>
      </w:pPr>
      <w:r>
        <w:rPr>
          <w:rFonts w:ascii="Arial" w:cs="Arial" w:eastAsia="Arial" w:hAnsi="Arial"/>
          <w:sz w:val="16"/>
          <w:szCs w:val="16"/>
          <w:i w:val="1"/>
          <w:iCs w:val="1"/>
          <w:color w:val="auto"/>
        </w:rPr>
        <w:t>Make-whole Shares</w:t>
      </w:r>
      <w:r>
        <w:rPr>
          <w:rFonts w:ascii="Arial" w:cs="Arial" w:eastAsia="Arial" w:hAnsi="Arial"/>
          <w:sz w:val="16"/>
          <w:szCs w:val="16"/>
          <w:color w:val="auto"/>
        </w:rPr>
        <w:t>. If Counterparty makes the election described in clause (i)(B) of paragraph (c) of this Section 8, then Dealer or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may sell (which sale shall be made in a commercially reasonable manner) such Shares or Share Termination Delivery Units, as the case may be,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 (without giving effect to any extension thereof pursuant to the immediately succeeding sentence), the amount of such excess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in cash or in a number of additional Shares or Share Termination Delivery Units, as the case may be, (“</w:t>
      </w:r>
      <w:r>
        <w:rPr>
          <w:rFonts w:ascii="Arial" w:cs="Arial" w:eastAsia="Arial" w:hAnsi="Arial"/>
          <w:sz w:val="16"/>
          <w:szCs w:val="16"/>
          <w:b w:val="1"/>
          <w:bCs w:val="1"/>
          <w:color w:val="auto"/>
        </w:rPr>
        <w:t>Make-whole Shares</w:t>
      </w:r>
      <w:r>
        <w:rPr>
          <w:rFonts w:ascii="Arial" w:cs="Arial" w:eastAsia="Arial" w:hAnsi="Arial"/>
          <w:sz w:val="16"/>
          <w:szCs w:val="16"/>
          <w:color w:val="auto"/>
        </w:rPr>
        <w:t>”) in an amount that,</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spacing w:after="0" w:line="174" w:lineRule="exact"/>
        <w:rPr>
          <w:rFonts w:ascii="Arial" w:cs="Arial" w:eastAsia="Arial" w:hAnsi="Arial"/>
          <w:sz w:val="16"/>
          <w:szCs w:val="16"/>
          <w:color w:val="auto"/>
        </w:rPr>
      </w:pPr>
    </w:p>
    <w:p>
      <w:pPr>
        <w:ind w:left="-40" w:firstLine="656"/>
        <w:spacing w:after="0" w:line="253" w:lineRule="auto"/>
        <w:tabs>
          <w:tab w:leader="none" w:pos="1267"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Beneficial Ownership</w:t>
      </w:r>
      <w:r>
        <w:rPr>
          <w:rFonts w:ascii="Arial" w:cs="Arial" w:eastAsia="Arial" w:hAnsi="Arial"/>
          <w:sz w:val="18"/>
          <w:szCs w:val="18"/>
          <w:color w:val="auto"/>
        </w:rPr>
        <w:t>. Notwithstanding anything to the contrary in the Agreement or this Confirmation, in no event shall Dealer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Arial" w:cs="Arial" w:eastAsia="Arial" w:hAnsi="Arial"/>
          <w:sz w:val="18"/>
          <w:szCs w:val="18"/>
          <w:b w:val="1"/>
          <w:bCs w:val="1"/>
          <w:color w:val="auto"/>
        </w:rPr>
        <w:t>Dealer Group</w:t>
      </w:r>
      <w:r>
        <w:rPr>
          <w:rFonts w:ascii="Arial" w:cs="Arial" w:eastAsia="Arial" w:hAnsi="Arial"/>
          <w:sz w:val="18"/>
          <w:szCs w:val="18"/>
          <w:color w:val="auto"/>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331" w:name="page332"/>
    <w:bookmarkEnd w:id="331"/>
    <w:p>
      <w:pPr>
        <w:ind w:right="80"/>
        <w:spacing w:after="0" w:line="269" w:lineRule="auto"/>
        <w:rPr>
          <w:sz w:val="20"/>
          <w:szCs w:val="20"/>
          <w:color w:val="auto"/>
        </w:rPr>
      </w:pPr>
      <w:r>
        <w:rPr>
          <w:rFonts w:ascii="Arial" w:cs="Arial" w:eastAsia="Arial" w:hAnsi="Arial"/>
          <w:sz w:val="17"/>
          <w:szCs w:val="17"/>
          <w:color w:val="auto"/>
        </w:rPr>
        <w:t>ownership position would be aggregated with that of Dealer or Dealer Group (Dealer, Dealer Group or any such person, a “</w:t>
      </w:r>
      <w:r>
        <w:rPr>
          <w:rFonts w:ascii="Arial" w:cs="Arial" w:eastAsia="Arial" w:hAnsi="Arial"/>
          <w:sz w:val="17"/>
          <w:szCs w:val="17"/>
          <w:b w:val="1"/>
          <w:bCs w:val="1"/>
          <w:color w:val="auto"/>
        </w:rPr>
        <w:t>Dealer Person</w:t>
      </w:r>
      <w:r>
        <w:rPr>
          <w:rFonts w:ascii="Arial" w:cs="Arial" w:eastAsia="Arial" w:hAnsi="Arial"/>
          <w:sz w:val="17"/>
          <w:szCs w:val="17"/>
          <w:color w:val="auto"/>
        </w:rPr>
        <w:t>”) under the Iowa Business Corporation Act or other federal, state or local law, rule, regulation or regulatory order or organizational documents or contracts of Counterparty applicable to ownership of Shares (“</w:t>
      </w:r>
      <w:r>
        <w:rPr>
          <w:rFonts w:ascii="Arial" w:cs="Arial" w:eastAsia="Arial" w:hAnsi="Arial"/>
          <w:sz w:val="17"/>
          <w:szCs w:val="17"/>
          <w:b w:val="1"/>
          <w:bCs w:val="1"/>
          <w:color w:val="auto"/>
        </w:rPr>
        <w:t>Applicable Restrictions</w:t>
      </w:r>
      <w:r>
        <w:rPr>
          <w:rFonts w:ascii="Arial" w:cs="Arial" w:eastAsia="Arial" w:hAnsi="Arial"/>
          <w:sz w:val="17"/>
          <w:szCs w:val="17"/>
          <w:color w:val="auto"/>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1.0% of the number of Shares outstanding on the date of determination (either such condition described in clause (i) or (ii), an “</w:t>
      </w:r>
      <w:r>
        <w:rPr>
          <w:rFonts w:ascii="Arial" w:cs="Arial" w:eastAsia="Arial" w:hAnsi="Arial"/>
          <w:sz w:val="17"/>
          <w:szCs w:val="17"/>
          <w:b w:val="1"/>
          <w:bCs w:val="1"/>
          <w:color w:val="auto"/>
        </w:rPr>
        <w:t>Excess Ownership Position</w:t>
      </w:r>
      <w:r>
        <w:rPr>
          <w:rFonts w:ascii="Arial" w:cs="Arial" w:eastAsia="Arial" w:hAnsi="Arial"/>
          <w:sz w:val="17"/>
          <w:szCs w:val="17"/>
          <w:color w:val="auto"/>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spacing w:after="0" w:line="184" w:lineRule="exact"/>
        <w:rPr>
          <w:sz w:val="20"/>
          <w:szCs w:val="20"/>
          <w:color w:val="auto"/>
        </w:rPr>
      </w:pPr>
    </w:p>
    <w:p>
      <w:pPr>
        <w:ind w:firstLine="656"/>
        <w:spacing w:after="0" w:line="284" w:lineRule="auto"/>
        <w:tabs>
          <w:tab w:leader="none" w:pos="1301"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t>Limitations on Settlement by Counterparty</w:t>
      </w:r>
      <w:r>
        <w:rPr>
          <w:rFonts w:ascii="Arial" w:cs="Arial" w:eastAsia="Arial" w:hAnsi="Arial"/>
          <w:sz w:val="16"/>
          <w:szCs w:val="16"/>
          <w:color w:val="auto"/>
        </w:rPr>
        <w:t>. Notwithstanding anything herein or in the Agreement to the contrary (except as set forth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8(f)), in no event shall Counterparty be required to deliver Shares in connection with the Transaction in excess of 470,718 Shares, as such number may be adjusted from time to time in accordance with the provisions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adjustment shall cause the Capped Number to exceed the Available Shares (as in effect from time to time), other than as a result of actions of Counterparty or events within Counterparty’s control (the “</w:t>
      </w:r>
      <w:r>
        <w:rPr>
          <w:rFonts w:ascii="Arial" w:cs="Arial" w:eastAsia="Arial" w:hAnsi="Arial"/>
          <w:sz w:val="16"/>
          <w:szCs w:val="16"/>
          <w:b w:val="1"/>
          <w:bCs w:val="1"/>
          <w:color w:val="auto"/>
        </w:rPr>
        <w:t>Capped</w:t>
      </w:r>
      <w:r>
        <w:rPr>
          <w:rFonts w:ascii="Arial" w:cs="Arial" w:eastAsia="Arial" w:hAnsi="Arial"/>
          <w:sz w:val="16"/>
          <w:szCs w:val="16"/>
          <w:color w:val="auto"/>
        </w:rPr>
        <w:t xml:space="preserve"> </w:t>
      </w:r>
      <w:r>
        <w:rPr>
          <w:rFonts w:ascii="Arial" w:cs="Arial" w:eastAsia="Arial" w:hAnsi="Arial"/>
          <w:sz w:val="16"/>
          <w:szCs w:val="16"/>
          <w:b w:val="1"/>
          <w:bCs w:val="1"/>
          <w:color w:val="auto"/>
        </w:rPr>
        <w:t>Number</w:t>
      </w:r>
      <w:r>
        <w:rPr>
          <w:rFonts w:ascii="Arial" w:cs="Arial" w:eastAsia="Arial" w:hAnsi="Arial"/>
          <w:sz w:val="16"/>
          <w:szCs w:val="16"/>
          <w:color w:val="auto"/>
        </w:rPr>
        <w:t>”). Notwithstanding anything to the contrary in the Agreement or the Equity Definitions, such limitation shall not affect the calculation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Obligation (as defined in Section </w:t>
      </w:r>
      <w:r>
        <w:rPr>
          <w:rFonts w:ascii="Arial" w:cs="Arial" w:eastAsia="Arial" w:hAnsi="Arial"/>
          <w:sz w:val="16"/>
          <w:szCs w:val="16"/>
          <w:b w:val="1"/>
          <w:bCs w:val="1"/>
          <w:color w:val="auto"/>
        </w:rPr>
        <w:t>Error! Reference source not found.</w:t>
      </w:r>
      <w:r>
        <w:rPr>
          <w:rFonts w:ascii="Arial" w:cs="Arial" w:eastAsia="Arial" w:hAnsi="Arial"/>
          <w:sz w:val="16"/>
          <w:szCs w:val="16"/>
          <w:color w:val="auto"/>
        </w:rPr>
        <w:t>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Arial" w:cs="Arial" w:eastAsia="Arial" w:hAnsi="Arial"/>
          <w:sz w:val="16"/>
          <w:szCs w:val="16"/>
          <w:b w:val="1"/>
          <w:bCs w:val="1"/>
          <w:color w:val="auto"/>
        </w:rPr>
        <w:t>Available Shares</w:t>
      </w:r>
      <w:r>
        <w:rPr>
          <w:rFonts w:ascii="Arial" w:cs="Arial" w:eastAsia="Arial" w:hAnsi="Arial"/>
          <w:sz w:val="16"/>
          <w:szCs w:val="16"/>
          <w:color w:val="auto"/>
        </w:rPr>
        <w:t>”). In the event Counterparty shall not have delivered the full number of Shares otherwise deliverable as a result of this Section 8(f) (the resulting deficit, the “</w:t>
      </w:r>
      <w:r>
        <w:rPr>
          <w:rFonts w:ascii="Arial" w:cs="Arial" w:eastAsia="Arial" w:hAnsi="Arial"/>
          <w:sz w:val="16"/>
          <w:szCs w:val="16"/>
          <w:b w:val="1"/>
          <w:bCs w:val="1"/>
          <w:color w:val="auto"/>
        </w:rPr>
        <w:t>Deficit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Counterparty shall be continually obligated to deliver Shares, from time to time until the full number of Deficit Shares have been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paragraph, when, 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Arial" w:cs="Arial" w:eastAsia="Arial" w:hAnsi="Arial"/>
          <w:sz w:val="16"/>
          <w:szCs w:val="16"/>
          <w:b w:val="1"/>
          <w:bCs w:val="1"/>
          <w:color w:val="auto"/>
        </w:rPr>
        <w:t>Share Issuance Events</w:t>
      </w:r>
      <w:r>
        <w:rPr>
          <w:rFonts w:ascii="Arial" w:cs="Arial" w:eastAsia="Arial" w:hAnsi="Arial"/>
          <w:sz w:val="16"/>
          <w:szCs w:val="16"/>
          <w:color w:val="auto"/>
        </w:rPr>
        <w:t xml:space="preserve">”). In the event that there are any Deficit Shares 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32" w:name="page333"/>
    <w:bookmarkEnd w:id="332"/>
    <w:p>
      <w:pPr>
        <w:ind w:left="-20" w:right="20" w:firstLine="656"/>
        <w:spacing w:after="0" w:line="255" w:lineRule="auto"/>
        <w:tabs>
          <w:tab w:leader="none" w:pos="1378"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Equity Rights</w:t>
      </w:r>
      <w:r>
        <w:rPr>
          <w:rFonts w:ascii="Arial" w:cs="Arial" w:eastAsia="Arial" w:hAnsi="Arial"/>
          <w:sz w:val="18"/>
          <w:szCs w:val="18"/>
          <w:color w:val="auto"/>
        </w:rPr>
        <w:t>. Dealer acknowledges and agrees that this Confirmation is not intended to convey to it rights with respect to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93" w:lineRule="exact"/>
        <w:rPr>
          <w:rFonts w:ascii="Arial" w:cs="Arial" w:eastAsia="Arial" w:hAnsi="Arial"/>
          <w:sz w:val="18"/>
          <w:szCs w:val="18"/>
          <w:color w:val="auto"/>
        </w:rPr>
      </w:pPr>
    </w:p>
    <w:p>
      <w:pPr>
        <w:ind w:left="1380" w:hanging="744"/>
        <w:spacing w:after="0"/>
        <w:tabs>
          <w:tab w:leader="none" w:pos="138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Amendments to Equity Definitions</w:t>
      </w:r>
      <w:r>
        <w:rPr>
          <w:rFonts w:ascii="Arial" w:cs="Arial" w:eastAsia="Arial" w:hAnsi="Arial"/>
          <w:sz w:val="18"/>
          <w:szCs w:val="18"/>
          <w:color w:val="auto"/>
        </w:rPr>
        <w:t>. The following amendments shall be made to the Equity Definitions:</w:t>
      </w:r>
    </w:p>
    <w:p>
      <w:pPr>
        <w:spacing w:after="0" w:line="225" w:lineRule="exact"/>
        <w:rPr>
          <w:rFonts w:ascii="Arial" w:cs="Arial" w:eastAsia="Arial" w:hAnsi="Arial"/>
          <w:sz w:val="18"/>
          <w:szCs w:val="18"/>
          <w:color w:val="auto"/>
        </w:rPr>
      </w:pPr>
    </w:p>
    <w:p>
      <w:pPr>
        <w:ind w:left="640" w:right="100" w:firstLine="645"/>
        <w:spacing w:after="0" w:line="253" w:lineRule="auto"/>
        <w:tabs>
          <w:tab w:leader="none" w:pos="195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spacing w:after="0" w:line="197" w:lineRule="exact"/>
        <w:rPr>
          <w:rFonts w:ascii="Arial" w:cs="Arial" w:eastAsia="Arial" w:hAnsi="Arial"/>
          <w:sz w:val="18"/>
          <w:szCs w:val="18"/>
          <w:color w:val="auto"/>
        </w:rPr>
      </w:pPr>
    </w:p>
    <w:p>
      <w:pPr>
        <w:jc w:val="both"/>
        <w:ind w:left="640" w:right="40" w:firstLine="645"/>
        <w:spacing w:after="0" w:line="264" w:lineRule="auto"/>
        <w:tabs>
          <w:tab w:leader="none" w:pos="1967" w:val="left"/>
        </w:tabs>
        <w:numPr>
          <w:ilvl w:val="1"/>
          <w:numId w:val="365"/>
        </w:numPr>
        <w:rPr>
          <w:rFonts w:ascii="Arial" w:cs="Arial" w:eastAsia="Arial" w:hAnsi="Arial"/>
          <w:sz w:val="18"/>
          <w:szCs w:val="18"/>
          <w:color w:val="auto"/>
        </w:rPr>
      </w:pPr>
      <w:r>
        <w:rPr>
          <w:rFonts w:ascii="Arial" w:cs="Arial" w:eastAsia="Arial" w:hAnsi="Arial"/>
          <w:sz w:val="18"/>
          <w:szCs w:val="18"/>
          <w:color w:val="auto"/>
        </w:rPr>
        <w:t>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spacing w:after="0" w:line="181" w:lineRule="exact"/>
        <w:rPr>
          <w:rFonts w:ascii="Arial" w:cs="Arial" w:eastAsia="Arial" w:hAnsi="Arial"/>
          <w:sz w:val="18"/>
          <w:szCs w:val="18"/>
          <w:color w:val="auto"/>
        </w:rPr>
      </w:pPr>
    </w:p>
    <w:p>
      <w:pPr>
        <w:jc w:val="both"/>
        <w:ind w:left="640" w:right="520" w:firstLine="645"/>
        <w:spacing w:after="0" w:line="342" w:lineRule="auto"/>
        <w:tabs>
          <w:tab w:leader="none" w:pos="1977" w:val="left"/>
        </w:tabs>
        <w:numPr>
          <w:ilvl w:val="1"/>
          <w:numId w:val="365"/>
        </w:numPr>
        <w:rPr>
          <w:rFonts w:ascii="Arial" w:cs="Arial" w:eastAsia="Arial" w:hAnsi="Arial"/>
          <w:sz w:val="16"/>
          <w:szCs w:val="16"/>
          <w:color w:val="auto"/>
        </w:rPr>
      </w:pPr>
      <w:r>
        <w:rPr>
          <w:rFonts w:ascii="Arial" w:cs="Arial" w:eastAsia="Arial" w:hAnsi="Arial"/>
          <w:sz w:val="16"/>
          <w:szCs w:val="16"/>
          <w:color w:val="auto"/>
        </w:rPr>
        <w:t>Section 12.7(b) of the Equity Definitions is hereby amended by deleting the words “(and in any event within five Exchange Business Days) by the parties after” appearing after the words “agreed promptly” and replacing with the words “by the parties on or prior to”;</w:t>
      </w:r>
    </w:p>
    <w:p>
      <w:pPr>
        <w:spacing w:after="0" w:line="123" w:lineRule="exact"/>
        <w:rPr>
          <w:rFonts w:ascii="Arial" w:cs="Arial" w:eastAsia="Arial" w:hAnsi="Arial"/>
          <w:sz w:val="16"/>
          <w:szCs w:val="16"/>
          <w:color w:val="auto"/>
        </w:rPr>
      </w:pPr>
    </w:p>
    <w:p>
      <w:pPr>
        <w:ind w:left="640" w:firstLine="645"/>
        <w:spacing w:after="0" w:line="274" w:lineRule="auto"/>
        <w:tabs>
          <w:tab w:leader="none" w:pos="1953" w:val="left"/>
        </w:tabs>
        <w:numPr>
          <w:ilvl w:val="1"/>
          <w:numId w:val="365"/>
        </w:numPr>
        <w:rPr>
          <w:rFonts w:ascii="Arial" w:cs="Arial" w:eastAsia="Arial" w:hAnsi="Arial"/>
          <w:sz w:val="17"/>
          <w:szCs w:val="17"/>
          <w:color w:val="auto"/>
        </w:rPr>
      </w:pPr>
      <w:r>
        <w:rPr>
          <w:rFonts w:ascii="Arial" w:cs="Arial" w:eastAsia="Arial" w:hAnsi="Arial"/>
          <w:sz w:val="17"/>
          <w:szCs w:val="17"/>
          <w:color w:val="auto"/>
        </w:rPr>
        <w:t>Section 12.9(b)(iv) of the Equity Definitions is hereby amended by (A) deleting (1) subsection (A) in its entirety, (2) the phrase “or (B)” following subsection (A) and (3) the phrase “in each case” in subsection (B); (B) replacing “will lend” with “lends” in subsection (B); and</w:t>
      </w:r>
    </w:p>
    <w:p>
      <w:pPr>
        <w:ind w:left="640"/>
        <w:spacing w:after="0" w:line="270" w:lineRule="auto"/>
        <w:rPr>
          <w:rFonts w:ascii="Arial" w:cs="Arial" w:eastAsia="Arial" w:hAnsi="Arial"/>
          <w:sz w:val="17"/>
          <w:szCs w:val="17"/>
          <w:color w:val="auto"/>
        </w:rPr>
      </w:pPr>
      <w:r>
        <w:rPr>
          <w:rFonts w:ascii="Arial" w:cs="Arial" w:eastAsia="Arial" w:hAnsi="Arial"/>
          <w:sz w:val="17"/>
          <w:szCs w:val="17"/>
          <w:color w:val="auto"/>
        </w:rPr>
        <w:t>(C) deleting the phrase “neither the Non-Hedging Party nor the Lending Party lends Shares in the amount of the Hedging Shares or” in the penultimate sentence; “</w:t>
      </w:r>
      <w:r>
        <w:rPr>
          <w:rFonts w:ascii="Arial" w:cs="Arial" w:eastAsia="Arial" w:hAnsi="Arial"/>
          <w:sz w:val="17"/>
          <w:szCs w:val="17"/>
          <w:b w:val="1"/>
          <w:bCs w:val="1"/>
          <w:color w:val="auto"/>
        </w:rPr>
        <w:t>Lending Party</w:t>
      </w:r>
      <w:r>
        <w:rPr>
          <w:rFonts w:ascii="Arial" w:cs="Arial" w:eastAsia="Arial" w:hAnsi="Arial"/>
          <w:sz w:val="17"/>
          <w:szCs w:val="17"/>
          <w:color w:val="auto"/>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spacing w:after="0" w:line="178" w:lineRule="exact"/>
        <w:rPr>
          <w:rFonts w:ascii="Arial" w:cs="Arial" w:eastAsia="Arial" w:hAnsi="Arial"/>
          <w:sz w:val="17"/>
          <w:szCs w:val="17"/>
          <w:color w:val="auto"/>
        </w:rPr>
      </w:pPr>
    </w:p>
    <w:p>
      <w:pPr>
        <w:ind w:left="640" w:right="120" w:firstLine="645"/>
        <w:spacing w:after="0" w:line="259" w:lineRule="auto"/>
        <w:tabs>
          <w:tab w:leader="none" w:pos="1944" w:val="left"/>
        </w:tabs>
        <w:numPr>
          <w:ilvl w:val="1"/>
          <w:numId w:val="365"/>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spacing w:after="0" w:line="186" w:lineRule="exact"/>
        <w:rPr>
          <w:rFonts w:ascii="Arial" w:cs="Arial" w:eastAsia="Arial" w:hAnsi="Arial"/>
          <w:sz w:val="18"/>
          <w:szCs w:val="18"/>
          <w:color w:val="auto"/>
        </w:rPr>
      </w:pPr>
    </w:p>
    <w:p>
      <w:pPr>
        <w:ind w:left="-20" w:right="320" w:firstLine="656"/>
        <w:spacing w:after="0" w:line="277" w:lineRule="auto"/>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Transfer and Assignment</w:t>
      </w:r>
      <w:r>
        <w:rPr>
          <w:rFonts w:ascii="Arial" w:cs="Arial" w:eastAsia="Arial" w:hAnsi="Arial"/>
          <w:sz w:val="18"/>
          <w:szCs w:val="18"/>
          <w:color w:val="auto"/>
        </w:rPr>
        <w:t>. Dealer may transfer or assign its rights and obligations hereunder and under the Agreement,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at any time without the consent of Counterparty.</w:t>
      </w:r>
    </w:p>
    <w:p>
      <w:pPr>
        <w:spacing w:after="0" w:line="170" w:lineRule="exact"/>
        <w:rPr>
          <w:rFonts w:ascii="Arial" w:cs="Arial" w:eastAsia="Arial" w:hAnsi="Arial"/>
          <w:sz w:val="18"/>
          <w:szCs w:val="18"/>
          <w:color w:val="auto"/>
        </w:rPr>
      </w:pPr>
    </w:p>
    <w:p>
      <w:pPr>
        <w:ind w:left="-20" w:right="460" w:firstLine="656"/>
        <w:spacing w:after="0" w:line="264" w:lineRule="auto"/>
        <w:tabs>
          <w:tab w:leader="none" w:pos="1446"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333" w:name="page334"/>
    <w:bookmarkEnd w:id="333"/>
    <w:p>
      <w:pPr>
        <w:spacing w:after="0"/>
        <w:rPr>
          <w:sz w:val="20"/>
          <w:szCs w:val="20"/>
          <w:color w:val="auto"/>
        </w:rPr>
      </w:pPr>
      <w:r>
        <w:rPr>
          <w:rFonts w:ascii="Arial" w:cs="Arial" w:eastAsia="Arial" w:hAnsi="Arial"/>
          <w:sz w:val="17"/>
          <w:szCs w:val="17"/>
          <w:color w:val="auto"/>
        </w:rPr>
        <w:t>materials of any kind (including opinions or other tax analyses) that are provided to Counterparty relating to such tax treatment and tax structure.</w:t>
      </w:r>
    </w:p>
    <w:p>
      <w:pPr>
        <w:spacing w:after="0" w:line="237" w:lineRule="exact"/>
        <w:rPr>
          <w:sz w:val="20"/>
          <w:szCs w:val="20"/>
          <w:color w:val="auto"/>
        </w:rPr>
      </w:pPr>
    </w:p>
    <w:p>
      <w:pPr>
        <w:ind w:right="280" w:firstLine="656"/>
        <w:spacing w:after="0" w:line="293" w:lineRule="auto"/>
        <w:tabs>
          <w:tab w:leader="none" w:pos="1304" w:val="left"/>
        </w:tabs>
        <w:numPr>
          <w:ilvl w:val="0"/>
          <w:numId w:val="366"/>
        </w:numPr>
        <w:rPr>
          <w:rFonts w:ascii="Arial" w:cs="Arial" w:eastAsia="Arial" w:hAnsi="Arial"/>
          <w:sz w:val="16"/>
          <w:szCs w:val="16"/>
          <w:color w:val="auto"/>
        </w:rPr>
      </w:pPr>
      <w:r>
        <w:rPr>
          <w:rFonts w:ascii="Arial" w:cs="Arial" w:eastAsia="Arial" w:hAnsi="Arial"/>
          <w:sz w:val="16"/>
          <w:szCs w:val="16"/>
          <w:i w:val="1"/>
          <w:iCs w:val="1"/>
          <w:color w:val="auto"/>
        </w:rPr>
        <w:t>Additional Termination Events</w:t>
      </w:r>
      <w:r>
        <w:rPr>
          <w:rFonts w:ascii="Arial" w:cs="Arial" w:eastAsia="Arial" w:hAnsi="Arial"/>
          <w:sz w:val="16"/>
          <w:szCs w:val="16"/>
          <w:color w:val="auto"/>
        </w:rPr>
        <w:t>. The occurrence of any of the following shall constitute an Additional Termination Event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spacing w:after="0" w:line="164" w:lineRule="exact"/>
        <w:rPr>
          <w:rFonts w:ascii="Arial" w:cs="Arial" w:eastAsia="Arial" w:hAnsi="Arial"/>
          <w:sz w:val="16"/>
          <w:szCs w:val="16"/>
          <w:color w:val="auto"/>
        </w:rPr>
      </w:pPr>
    </w:p>
    <w:p>
      <w:pPr>
        <w:ind w:left="640" w:firstLine="652"/>
        <w:spacing w:after="0" w:line="276" w:lineRule="auto"/>
        <w:tabs>
          <w:tab w:leader="none" w:pos="1971" w:val="left"/>
        </w:tabs>
        <w:numPr>
          <w:ilvl w:val="1"/>
          <w:numId w:val="366"/>
        </w:numPr>
        <w:rPr>
          <w:rFonts w:ascii="Arial" w:cs="Arial" w:eastAsia="Arial" w:hAnsi="Arial"/>
          <w:sz w:val="17"/>
          <w:szCs w:val="17"/>
          <w:color w:val="auto"/>
        </w:rPr>
      </w:pPr>
      <w:r>
        <w:rPr>
          <w:rFonts w:ascii="Arial" w:cs="Arial" w:eastAsia="Arial" w:hAnsi="Arial"/>
          <w:sz w:val="17"/>
          <w:szCs w:val="17"/>
          <w:color w:val="auto"/>
        </w:rPr>
        <w:t>Dealer reasonably determines that it is advisable to terminate a portion of the Transaction so that Dealer’s related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spacing w:after="0" w:line="172" w:lineRule="exact"/>
        <w:rPr>
          <w:rFonts w:ascii="Arial" w:cs="Arial" w:eastAsia="Arial" w:hAnsi="Arial"/>
          <w:sz w:val="17"/>
          <w:szCs w:val="17"/>
          <w:color w:val="auto"/>
        </w:rPr>
      </w:pPr>
    </w:p>
    <w:p>
      <w:pPr>
        <w:ind w:left="640" w:right="40" w:firstLine="652"/>
        <w:spacing w:after="0" w:line="255" w:lineRule="auto"/>
        <w:tabs>
          <w:tab w:leader="none" w:pos="198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spacing w:after="0" w:line="193" w:lineRule="exact"/>
        <w:rPr>
          <w:rFonts w:ascii="Arial" w:cs="Arial" w:eastAsia="Arial" w:hAnsi="Arial"/>
          <w:sz w:val="18"/>
          <w:szCs w:val="18"/>
          <w:color w:val="auto"/>
        </w:rPr>
      </w:pPr>
    </w:p>
    <w:p>
      <w:pPr>
        <w:ind w:left="640" w:right="140" w:firstLine="652"/>
        <w:spacing w:after="0" w:line="264" w:lineRule="auto"/>
        <w:tabs>
          <w:tab w:leader="none" w:pos="199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spacing w:after="0" w:line="181" w:lineRule="exact"/>
        <w:rPr>
          <w:rFonts w:ascii="Arial" w:cs="Arial" w:eastAsia="Arial" w:hAnsi="Arial"/>
          <w:sz w:val="18"/>
          <w:szCs w:val="18"/>
          <w:color w:val="auto"/>
        </w:rPr>
      </w:pPr>
    </w:p>
    <w:p>
      <w:pPr>
        <w:ind w:left="640" w:right="60" w:firstLine="652"/>
        <w:spacing w:after="0" w:line="302" w:lineRule="auto"/>
        <w:tabs>
          <w:tab w:leader="none" w:pos="1967" w:val="left"/>
        </w:tabs>
        <w:numPr>
          <w:ilvl w:val="1"/>
          <w:numId w:val="366"/>
        </w:numPr>
        <w:rPr>
          <w:rFonts w:ascii="Arial" w:cs="Arial" w:eastAsia="Arial" w:hAnsi="Arial"/>
          <w:sz w:val="16"/>
          <w:szCs w:val="16"/>
          <w:color w:val="auto"/>
        </w:rPr>
      </w:pPr>
      <w:r>
        <w:rPr>
          <w:rFonts w:ascii="Arial" w:cs="Arial" w:eastAsia="Arial" w:hAnsi="Arial"/>
          <w:sz w:val="16"/>
          <w:szCs w:val="16"/>
          <w:color w:val="auto"/>
        </w:rPr>
        <w:t>(1) any sale, lease or other transfer, in one transaction or a series of transactions, of all or substantially all of the assets of Counterparty and its subsidiaries, taken as a whole, to any 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spacing w:after="0" w:line="154" w:lineRule="exact"/>
        <w:rPr>
          <w:sz w:val="20"/>
          <w:szCs w:val="20"/>
          <w:color w:val="auto"/>
        </w:rPr>
      </w:pPr>
    </w:p>
    <w:p>
      <w:pPr>
        <w:ind w:left="640" w:right="60"/>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notwithstanding the foregoing, any transaction or event set forth in the immediately preceding clause (iv) shall not constitute an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Termination Event if (x)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(y)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4" w:name="page335"/>
    <w:bookmarkEnd w:id="334"/>
    <w:p>
      <w:pPr>
        <w:ind w:left="1880" w:hanging="668"/>
        <w:spacing w:after="0"/>
        <w:tabs>
          <w:tab w:leader="none" w:pos="188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holders of Shares approve any plan or proposal for Counterparty’s liquidation or dissolution (other than in a transaction described</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in (iv) above).</w:t>
      </w:r>
    </w:p>
    <w:p>
      <w:pPr>
        <w:spacing w:after="0" w:line="210" w:lineRule="exact"/>
        <w:rPr>
          <w:rFonts w:ascii="Arial" w:cs="Arial" w:eastAsia="Arial" w:hAnsi="Arial"/>
          <w:sz w:val="16"/>
          <w:szCs w:val="16"/>
          <w:color w:val="auto"/>
        </w:rPr>
      </w:pPr>
    </w:p>
    <w:p>
      <w:pPr>
        <w:ind w:left="-80" w:right="100" w:firstLine="656"/>
        <w:spacing w:after="0" w:line="287" w:lineRule="auto"/>
        <w:tabs>
          <w:tab w:leader="none" w:pos="1238" w:val="left"/>
        </w:tabs>
        <w:numPr>
          <w:ilvl w:val="0"/>
          <w:numId w:val="368"/>
        </w:numPr>
        <w:rPr>
          <w:rFonts w:ascii="Arial" w:cs="Arial" w:eastAsia="Arial" w:hAnsi="Arial"/>
          <w:sz w:val="16"/>
          <w:szCs w:val="16"/>
          <w:color w:val="auto"/>
        </w:rPr>
      </w:pPr>
      <w:r>
        <w:rPr>
          <w:rFonts w:ascii="Arial" w:cs="Arial" w:eastAsia="Arial" w:hAnsi="Arial"/>
          <w:sz w:val="16"/>
          <w:szCs w:val="16"/>
          <w:i w:val="1"/>
          <w:iCs w:val="1"/>
          <w:color w:val="auto"/>
        </w:rPr>
        <w:t>Early Unwind</w:t>
      </w:r>
      <w:r>
        <w:rPr>
          <w:rFonts w:ascii="Arial" w:cs="Arial" w:eastAsia="Arial" w:hAnsi="Arial"/>
          <w:sz w:val="16"/>
          <w:szCs w:val="16"/>
          <w:color w:val="auto"/>
        </w:rPr>
        <w:t>. In the event the sale by Counterparty of the Optional Securities (defined under the Purchase Agreement)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consummated pursuant to the Purchase Agreement for any reason by the close of business in New York on November 1, 2019 (or such later date as agreed upon by the parties) (November 1, 2019 or such later date being the “</w:t>
      </w:r>
      <w:r>
        <w:rPr>
          <w:rFonts w:ascii="Arial" w:cs="Arial" w:eastAsia="Arial" w:hAnsi="Arial"/>
          <w:sz w:val="16"/>
          <w:szCs w:val="16"/>
          <w:b w:val="1"/>
          <w:bCs w:val="1"/>
          <w:color w:val="auto"/>
        </w:rPr>
        <w:t>Early Unwind Date</w:t>
      </w:r>
      <w:r>
        <w:rPr>
          <w:rFonts w:ascii="Arial" w:cs="Arial" w:eastAsia="Arial" w:hAnsi="Arial"/>
          <w:sz w:val="16"/>
          <w:szCs w:val="16"/>
          <w:color w:val="auto"/>
        </w:rPr>
        <w:t>”), the Transaction shall automatically terminate (the “</w:t>
      </w:r>
      <w:r>
        <w:rPr>
          <w:rFonts w:ascii="Arial" w:cs="Arial" w:eastAsia="Arial" w:hAnsi="Arial"/>
          <w:sz w:val="16"/>
          <w:szCs w:val="16"/>
          <w:b w:val="1"/>
          <w:bCs w:val="1"/>
          <w:color w:val="auto"/>
        </w:rPr>
        <w:t>Early</w:t>
      </w:r>
      <w:r>
        <w:rPr>
          <w:rFonts w:ascii="Arial" w:cs="Arial" w:eastAsia="Arial" w:hAnsi="Arial"/>
          <w:sz w:val="16"/>
          <w:szCs w:val="16"/>
          <w:color w:val="auto"/>
        </w:rPr>
        <w:t xml:space="preserve"> </w:t>
      </w:r>
      <w:r>
        <w:rPr>
          <w:rFonts w:ascii="Arial" w:cs="Arial" w:eastAsia="Arial" w:hAnsi="Arial"/>
          <w:sz w:val="16"/>
          <w:szCs w:val="16"/>
          <w:b w:val="1"/>
          <w:bCs w:val="1"/>
          <w:color w:val="auto"/>
        </w:rPr>
        <w:t>Unwind</w:t>
      </w:r>
      <w:r>
        <w:rPr>
          <w:rFonts w:ascii="Arial" w:cs="Arial" w:eastAsia="Arial" w:hAnsi="Arial"/>
          <w:sz w:val="16"/>
          <w:szCs w:val="16"/>
          <w:color w:val="auto"/>
        </w:rPr>
        <w:t>”) on the Early Unwind Date and (i) the Transaction and all of the respective rights and obligations of Dealer and Counterparty thereunder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and terminated and (ii)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spacing w:after="0" w:line="172" w:lineRule="exact"/>
        <w:rPr>
          <w:rFonts w:ascii="Arial" w:cs="Arial" w:eastAsia="Arial" w:hAnsi="Arial"/>
          <w:sz w:val="16"/>
          <w:szCs w:val="16"/>
          <w:color w:val="auto"/>
        </w:rPr>
      </w:pPr>
    </w:p>
    <w:p>
      <w:pPr>
        <w:ind w:left="-80" w:right="80" w:firstLine="656"/>
        <w:spacing w:after="0" w:line="312" w:lineRule="auto"/>
        <w:tabs>
          <w:tab w:leader="none" w:pos="1220" w:val="left"/>
        </w:tabs>
        <w:numPr>
          <w:ilvl w:val="0"/>
          <w:numId w:val="368"/>
        </w:numPr>
        <w:rPr>
          <w:rFonts w:ascii="Arial" w:cs="Arial" w:eastAsia="Arial" w:hAnsi="Arial"/>
          <w:sz w:val="16"/>
          <w:szCs w:val="16"/>
          <w:color w:val="auto"/>
        </w:rPr>
      </w:pPr>
      <w:r>
        <w:rPr>
          <w:rFonts w:ascii="Arial" w:cs="Arial" w:eastAsia="Arial" w:hAnsi="Arial"/>
          <w:sz w:val="16"/>
          <w:szCs w:val="16"/>
          <w:i w:val="1"/>
          <w:iCs w:val="1"/>
          <w:color w:val="auto"/>
        </w:rPr>
        <w:t>No Netting and Set-off</w:t>
      </w:r>
      <w:r>
        <w:rPr>
          <w:rFonts w:ascii="Arial" w:cs="Arial" w:eastAsia="Arial" w:hAnsi="Arial"/>
          <w:sz w:val="16"/>
          <w:szCs w:val="16"/>
          <w:color w:val="auto"/>
        </w:rPr>
        <w:t>. 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6" w:lineRule="exact"/>
        <w:rPr>
          <w:rFonts w:ascii="Arial" w:cs="Arial" w:eastAsia="Arial" w:hAnsi="Arial"/>
          <w:sz w:val="16"/>
          <w:szCs w:val="16"/>
          <w:color w:val="auto"/>
        </w:rPr>
      </w:pPr>
    </w:p>
    <w:p>
      <w:pPr>
        <w:ind w:left="-80" w:firstLine="656"/>
        <w:spacing w:after="0" w:line="257" w:lineRule="auto"/>
        <w:tabs>
          <w:tab w:leader="none" w:pos="1224"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Delivery of Cash</w:t>
      </w:r>
      <w:r>
        <w:rPr>
          <w:rFonts w:ascii="Arial" w:cs="Arial" w:eastAsia="Arial" w:hAnsi="Arial"/>
          <w:sz w:val="18"/>
          <w:szCs w:val="18"/>
          <w:color w:val="auto"/>
        </w:rPr>
        <w:t>. For the avoidance of doubt, nothing in this Confirmation shall be interpreted as requiring the Counterparty to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spacing w:after="0" w:line="188" w:lineRule="exact"/>
        <w:rPr>
          <w:rFonts w:ascii="Arial" w:cs="Arial" w:eastAsia="Arial" w:hAnsi="Arial"/>
          <w:sz w:val="18"/>
          <w:szCs w:val="18"/>
          <w:color w:val="auto"/>
        </w:rPr>
      </w:pPr>
    </w:p>
    <w:p>
      <w:pPr>
        <w:ind w:left="-80" w:right="40" w:firstLine="656"/>
        <w:spacing w:after="0" w:line="289" w:lineRule="auto"/>
        <w:tabs>
          <w:tab w:leader="none" w:pos="1224" w:val="left"/>
        </w:tabs>
        <w:numPr>
          <w:ilvl w:val="0"/>
          <w:numId w:val="368"/>
        </w:numPr>
        <w:rPr>
          <w:rFonts w:ascii="Arial" w:cs="Arial" w:eastAsia="Arial" w:hAnsi="Arial"/>
          <w:sz w:val="16"/>
          <w:szCs w:val="16"/>
          <w:color w:val="auto"/>
        </w:rPr>
      </w:pPr>
      <w:r>
        <w:rPr>
          <w:rFonts w:ascii="Arial" w:cs="Arial" w:eastAsia="Arial" w:hAnsi="Arial"/>
          <w:sz w:val="16"/>
          <w:szCs w:val="16"/>
          <w:i w:val="1"/>
          <w:iCs w:val="1"/>
          <w:color w:val="auto"/>
        </w:rPr>
        <w:t>Agreements and Acknowledgements Regarding Hedging</w:t>
      </w:r>
      <w:r>
        <w:rPr>
          <w:rFonts w:ascii="Arial" w:cs="Arial" w:eastAsia="Arial" w:hAnsi="Arial"/>
          <w:sz w:val="16"/>
          <w:szCs w:val="16"/>
          <w:color w:val="auto"/>
        </w:rPr>
        <w:t>. Counterparty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66" w:lineRule="exact"/>
        <w:rPr>
          <w:rFonts w:ascii="Arial" w:cs="Arial" w:eastAsia="Arial" w:hAnsi="Arial"/>
          <w:sz w:val="16"/>
          <w:szCs w:val="16"/>
          <w:color w:val="auto"/>
        </w:rPr>
      </w:pPr>
    </w:p>
    <w:p>
      <w:pPr>
        <w:ind w:left="-80" w:firstLine="656"/>
        <w:spacing w:after="0" w:line="293" w:lineRule="auto"/>
        <w:tabs>
          <w:tab w:leader="none" w:pos="1224" w:val="left"/>
        </w:tabs>
        <w:numPr>
          <w:ilvl w:val="0"/>
          <w:numId w:val="368"/>
        </w:numPr>
        <w:rPr>
          <w:rFonts w:ascii="Arial" w:cs="Arial" w:eastAsia="Arial" w:hAnsi="Arial"/>
          <w:sz w:val="16"/>
          <w:szCs w:val="16"/>
          <w:color w:val="auto"/>
        </w:rPr>
      </w:pPr>
      <w:r>
        <w:rPr>
          <w:rFonts w:ascii="Arial" w:cs="Arial" w:eastAsia="Arial" w:hAnsi="Arial"/>
          <w:sz w:val="16"/>
          <w:szCs w:val="16"/>
          <w:i w:val="1"/>
          <w:iCs w:val="1"/>
          <w:color w:val="auto"/>
        </w:rPr>
        <w:t>Wall Street Transparency and Accountability Act</w:t>
      </w:r>
      <w:r>
        <w:rPr>
          <w:rFonts w:ascii="Arial" w:cs="Arial" w:eastAsia="Arial" w:hAnsi="Arial"/>
          <w:sz w:val="16"/>
          <w:szCs w:val="16"/>
          <w:color w:val="auto"/>
        </w:rPr>
        <w:t>. In connection with Section 739 of the Wall Street Transparency and Accountability Act</w:t>
      </w:r>
      <w:r>
        <w:rPr>
          <w:rFonts w:ascii="Arial" w:cs="Arial" w:eastAsia="Arial" w:hAnsi="Arial"/>
          <w:sz w:val="16"/>
          <w:szCs w:val="16"/>
          <w:i w:val="1"/>
          <w:iCs w:val="1"/>
          <w:color w:val="auto"/>
        </w:rPr>
        <w:t xml:space="preserve"> </w:t>
      </w:r>
      <w:r>
        <w:rPr>
          <w:rFonts w:ascii="Arial" w:cs="Arial" w:eastAsia="Arial" w:hAnsi="Arial"/>
          <w:sz w:val="16"/>
          <w:szCs w:val="16"/>
          <w:color w:val="auto"/>
        </w:rPr>
        <w:t>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335" w:name="page336"/>
    <w:bookmarkEnd w:id="335"/>
    <w:p>
      <w:pPr>
        <w:ind w:right="180"/>
        <w:spacing w:after="0" w:line="277" w:lineRule="auto"/>
        <w:rPr>
          <w:sz w:val="20"/>
          <w:szCs w:val="20"/>
          <w:color w:val="auto"/>
        </w:rPr>
      </w:pPr>
      <w:r>
        <w:rPr>
          <w:rFonts w:ascii="Arial" w:cs="Arial" w:eastAsia="Arial" w:hAnsi="Arial"/>
          <w:sz w:val="18"/>
          <w:szCs w:val="18"/>
          <w:color w:val="auto"/>
        </w:rPr>
        <w:t>Definitions incorporated herein, or the Agreement (including, but not limited to, rights arising from Change in Law, Hedging Disruption, Increased Cost of Hedging or Illegality).</w:t>
      </w:r>
    </w:p>
    <w:p>
      <w:pPr>
        <w:spacing w:after="0" w:line="170" w:lineRule="exact"/>
        <w:rPr>
          <w:sz w:val="20"/>
          <w:szCs w:val="20"/>
          <w:color w:val="auto"/>
        </w:rPr>
      </w:pPr>
    </w:p>
    <w:p>
      <w:pPr>
        <w:ind w:right="120" w:firstLine="656"/>
        <w:spacing w:after="0" w:line="259" w:lineRule="auto"/>
        <w:tabs>
          <w:tab w:leader="none" w:pos="1304" w:val="left"/>
        </w:tabs>
        <w:numPr>
          <w:ilvl w:val="0"/>
          <w:numId w:val="36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AGREEMENT, THIS CONFIRMATION AND ALL MATTERS ARISING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86" w:lineRule="exact"/>
        <w:rPr>
          <w:rFonts w:ascii="Arial" w:cs="Arial" w:eastAsia="Arial" w:hAnsi="Arial"/>
          <w:sz w:val="18"/>
          <w:szCs w:val="18"/>
          <w:color w:val="auto"/>
        </w:rPr>
      </w:pPr>
    </w:p>
    <w:p>
      <w:pPr>
        <w:ind w:right="40" w:firstLine="656"/>
        <w:spacing w:after="0" w:line="277" w:lineRule="auto"/>
        <w:tabs>
          <w:tab w:leader="none" w:pos="1314" w:val="left"/>
        </w:tabs>
        <w:numPr>
          <w:ilvl w:val="0"/>
          <w:numId w:val="369"/>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Counterparty and Dealer.</w:t>
      </w:r>
    </w:p>
    <w:p>
      <w:pPr>
        <w:spacing w:after="0" w:line="170" w:lineRule="exact"/>
        <w:rPr>
          <w:rFonts w:ascii="Arial" w:cs="Arial" w:eastAsia="Arial" w:hAnsi="Arial"/>
          <w:sz w:val="18"/>
          <w:szCs w:val="18"/>
          <w:color w:val="auto"/>
        </w:rPr>
      </w:pPr>
    </w:p>
    <w:p>
      <w:pPr>
        <w:ind w:right="420" w:firstLine="656"/>
        <w:spacing w:after="0" w:line="277" w:lineRule="auto"/>
        <w:tabs>
          <w:tab w:leader="none" w:pos="1311" w:val="left"/>
        </w:tabs>
        <w:numPr>
          <w:ilvl w:val="0"/>
          <w:numId w:val="36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69"/>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72" w:lineRule="auto"/>
        <w:tabs>
          <w:tab w:leader="none" w:pos="1978" w:val="left"/>
        </w:tabs>
        <w:numPr>
          <w:ilvl w:val="1"/>
          <w:numId w:val="369"/>
        </w:numPr>
        <w:rPr>
          <w:rFonts w:ascii="Arial" w:cs="Arial" w:eastAsia="Arial" w:hAnsi="Arial"/>
          <w:sz w:val="17"/>
          <w:szCs w:val="17"/>
          <w:color w:val="auto"/>
        </w:rPr>
      </w:pPr>
      <w:r>
        <w:rPr>
          <w:rFonts w:ascii="Arial" w:cs="Arial" w:eastAsia="Arial" w:hAnsi="Arial"/>
          <w:sz w:val="17"/>
          <w:szCs w:val="17"/>
          <w:color w:val="auto"/>
        </w:rPr>
        <w:t>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7" w:lineRule="exact"/>
        <w:rPr>
          <w:rFonts w:ascii="Arial" w:cs="Arial" w:eastAsia="Arial" w:hAnsi="Arial"/>
          <w:sz w:val="17"/>
          <w:szCs w:val="17"/>
          <w:color w:val="auto"/>
        </w:rPr>
      </w:pPr>
    </w:p>
    <w:p>
      <w:pPr>
        <w:ind w:left="660" w:firstLine="645"/>
        <w:spacing w:after="0" w:line="271" w:lineRule="auto"/>
        <w:tabs>
          <w:tab w:leader="none" w:pos="1987" w:val="left"/>
        </w:tabs>
        <w:numPr>
          <w:ilvl w:val="1"/>
          <w:numId w:val="369"/>
        </w:numPr>
        <w:rPr>
          <w:rFonts w:ascii="Arial" w:cs="Arial" w:eastAsia="Arial" w:hAnsi="Arial"/>
          <w:sz w:val="17"/>
          <w:szCs w:val="17"/>
          <w:color w:val="auto"/>
        </w:rPr>
      </w:pPr>
      <w:r>
        <w:rPr>
          <w:rFonts w:ascii="Arial" w:cs="Arial" w:eastAsia="Arial" w:hAnsi="Arial"/>
          <w:sz w:val="17"/>
          <w:szCs w:val="17"/>
          <w:color w:val="auto"/>
        </w:rPr>
        <w:t>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Arial" w:cs="Arial" w:eastAsia="Arial" w:hAnsi="Arial"/>
          <w:sz w:val="17"/>
          <w:szCs w:val="17"/>
          <w:b w:val="1"/>
          <w:bCs w:val="1"/>
          <w:color w:val="auto"/>
        </w:rPr>
        <w:t>871(m) Protocol</w:t>
      </w:r>
      <w:r>
        <w:rPr>
          <w:rFonts w:ascii="Arial" w:cs="Arial" w:eastAsia="Arial" w:hAnsi="Arial"/>
          <w:sz w:val="17"/>
          <w:szCs w:val="17"/>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78" w:lineRule="exact"/>
        <w:rPr>
          <w:rFonts w:ascii="Arial" w:cs="Arial" w:eastAsia="Arial" w:hAnsi="Arial"/>
          <w:sz w:val="17"/>
          <w:szCs w:val="17"/>
          <w:color w:val="auto"/>
        </w:rPr>
      </w:pPr>
    </w:p>
    <w:p>
      <w:pPr>
        <w:ind w:left="660" w:right="160" w:firstLine="645"/>
        <w:spacing w:after="0" w:line="297" w:lineRule="auto"/>
        <w:tabs>
          <w:tab w:leader="none" w:pos="1997" w:val="left"/>
        </w:tabs>
        <w:numPr>
          <w:ilvl w:val="1"/>
          <w:numId w:val="369"/>
        </w:numPr>
        <w:rPr>
          <w:rFonts w:ascii="Arial" w:cs="Arial" w:eastAsia="Arial" w:hAnsi="Arial"/>
          <w:sz w:val="16"/>
          <w:szCs w:val="16"/>
          <w:color w:val="auto"/>
        </w:rPr>
      </w:pPr>
      <w:r>
        <w:rPr>
          <w:rFonts w:ascii="Arial" w:cs="Arial" w:eastAsia="Arial" w:hAnsi="Arial"/>
          <w:sz w:val="16"/>
          <w:szCs w:val="16"/>
          <w:color w:val="auto"/>
        </w:rPr>
        <w:t>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spacing w:after="0" w:line="158" w:lineRule="exact"/>
        <w:rPr>
          <w:rFonts w:ascii="Arial" w:cs="Arial" w:eastAsia="Arial" w:hAnsi="Arial"/>
          <w:sz w:val="16"/>
          <w:szCs w:val="16"/>
          <w:color w:val="auto"/>
        </w:rPr>
      </w:pPr>
    </w:p>
    <w:p>
      <w:pPr>
        <w:ind w:left="660" w:firstLine="645"/>
        <w:spacing w:after="0" w:line="273" w:lineRule="auto"/>
        <w:tabs>
          <w:tab w:leader="none" w:pos="1973" w:val="left"/>
        </w:tabs>
        <w:numPr>
          <w:ilvl w:val="1"/>
          <w:numId w:val="369"/>
        </w:numPr>
        <w:rPr>
          <w:rFonts w:ascii="Arial" w:cs="Arial" w:eastAsia="Arial" w:hAnsi="Arial"/>
          <w:sz w:val="17"/>
          <w:szCs w:val="17"/>
          <w:color w:val="auto"/>
        </w:rPr>
      </w:pPr>
      <w:r>
        <w:rPr>
          <w:rFonts w:ascii="Arial" w:cs="Arial" w:eastAsia="Arial" w:hAnsi="Arial"/>
          <w:sz w:val="17"/>
          <w:szCs w:val="17"/>
          <w:color w:val="auto"/>
        </w:rPr>
        <w:t>Tax Representations. For the purpose of Section 3(f) of the Agreement, Counterparty is a corporation for U.S. federal income tax purposes and is organized under the laws of the State of Iowa.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36" w:name="page337"/>
    <w:bookmarkEnd w:id="336"/>
    <w:p>
      <w:pPr>
        <w:ind w:left="664" w:hanging="664"/>
        <w:spacing w:after="0"/>
        <w:tabs>
          <w:tab w:leader="none" w:pos="664" w:val="left"/>
        </w:tabs>
        <w:numPr>
          <w:ilvl w:val="0"/>
          <w:numId w:val="370"/>
        </w:numPr>
        <w:rPr>
          <w:rFonts w:ascii="Arial" w:cs="Arial" w:eastAsia="Arial" w:hAnsi="Arial"/>
          <w:sz w:val="18"/>
          <w:szCs w:val="18"/>
          <w:color w:val="auto"/>
        </w:rPr>
      </w:pPr>
      <w:r>
        <w:rPr>
          <w:rFonts w:ascii="Arial" w:cs="Arial" w:eastAsia="Arial" w:hAnsi="Arial"/>
          <w:sz w:val="18"/>
          <w:szCs w:val="18"/>
          <w:i w:val="1"/>
          <w:iCs w:val="1"/>
          <w:color w:val="auto"/>
        </w:rPr>
        <w:t>QFC Stay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289" w:lineRule="auto"/>
        <w:tabs>
          <w:tab w:leader="none" w:pos="1322"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spacing w:after="0" w:line="166" w:lineRule="exact"/>
        <w:rPr>
          <w:rFonts w:ascii="Arial" w:cs="Arial" w:eastAsia="Arial" w:hAnsi="Arial"/>
          <w:sz w:val="16"/>
          <w:szCs w:val="16"/>
          <w:color w:val="auto"/>
        </w:rPr>
      </w:pPr>
    </w:p>
    <w:p>
      <w:pPr>
        <w:ind w:left="4" w:right="20" w:firstLine="645"/>
        <w:spacing w:after="0" w:line="271" w:lineRule="auto"/>
        <w:tabs>
          <w:tab w:leader="none" w:pos="1331" w:val="left"/>
        </w:tabs>
        <w:numPr>
          <w:ilvl w:val="1"/>
          <w:numId w:val="37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Arial" w:cs="Arial" w:eastAsia="Arial" w:hAnsi="Arial"/>
          <w:sz w:val="17"/>
          <w:szCs w:val="17"/>
          <w:b w:val="1"/>
          <w:bCs w:val="1"/>
          <w:color w:val="auto"/>
        </w:rPr>
        <w:t>Insolvency</w:t>
      </w:r>
      <w:r>
        <w:rPr>
          <w:rFonts w:ascii="Arial" w:cs="Arial" w:eastAsia="Arial" w:hAnsi="Arial"/>
          <w:sz w:val="17"/>
          <w:szCs w:val="17"/>
          <w:color w:val="auto"/>
        </w:rPr>
        <w:t xml:space="preserve"> </w:t>
      </w:r>
      <w:r>
        <w:rPr>
          <w:rFonts w:ascii="Arial" w:cs="Arial" w:eastAsia="Arial" w:hAnsi="Arial"/>
          <w:sz w:val="17"/>
          <w:szCs w:val="17"/>
          <w:b w:val="1"/>
          <w:bCs w:val="1"/>
          <w:color w:val="auto"/>
        </w:rPr>
        <w:t>Proceeding</w:t>
      </w:r>
      <w:r>
        <w:rPr>
          <w:rFonts w:ascii="Arial" w:cs="Arial" w:eastAsia="Arial" w:hAnsi="Arial"/>
          <w:sz w:val="17"/>
          <w:szCs w:val="17"/>
          <w:color w:val="auto"/>
        </w:rPr>
        <w:t>”), except to the extent that the exercise of such Default Right would be permitted under the provisions of 12 C.F.R. 252.84, 12 C.F.R.</w:t>
      </w:r>
      <w:r>
        <w:rPr>
          <w:rFonts w:ascii="Arial" w:cs="Arial" w:eastAsia="Arial" w:hAnsi="Arial"/>
          <w:sz w:val="17"/>
          <w:szCs w:val="17"/>
          <w:b w:val="1"/>
          <w:bCs w:val="1"/>
          <w:color w:val="auto"/>
        </w:rPr>
        <w:t xml:space="preserve"> </w:t>
      </w:r>
      <w:r>
        <w:rPr>
          <w:rFonts w:ascii="Arial" w:cs="Arial" w:eastAsia="Arial" w:hAnsi="Arial"/>
          <w:sz w:val="17"/>
          <w:szCs w:val="17"/>
          <w:color w:val="auto"/>
        </w:rPr>
        <w:t>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spacing w:after="0" w:line="178" w:lineRule="exact"/>
        <w:rPr>
          <w:rFonts w:ascii="Arial" w:cs="Arial" w:eastAsia="Arial" w:hAnsi="Arial"/>
          <w:sz w:val="17"/>
          <w:szCs w:val="17"/>
          <w:color w:val="auto"/>
        </w:rPr>
      </w:pPr>
    </w:p>
    <w:p>
      <w:pPr>
        <w:ind w:left="4" w:right="80" w:firstLine="645"/>
        <w:spacing w:after="0" w:line="273" w:lineRule="auto"/>
        <w:tabs>
          <w:tab w:leader="none" w:pos="1341" w:val="left"/>
        </w:tabs>
        <w:numPr>
          <w:ilvl w:val="1"/>
          <w:numId w:val="370"/>
        </w:numPr>
        <w:rPr>
          <w:rFonts w:ascii="Arial" w:cs="Arial" w:eastAsia="Arial" w:hAnsi="Arial"/>
          <w:sz w:val="17"/>
          <w:szCs w:val="17"/>
          <w:color w:val="auto"/>
        </w:rPr>
      </w:pPr>
      <w:r>
        <w:rPr>
          <w:rFonts w:ascii="Arial" w:cs="Arial" w:eastAsia="Arial" w:hAnsi="Arial"/>
          <w:sz w:val="17"/>
          <w:szCs w:val="17"/>
          <w:color w:val="auto"/>
        </w:rPr>
        <w:t>If Counterparty has previously adhered to, or subsequently adheres to, the ISDA 2018 U.S. Resolution Stay Protocol as published by the International Swaps and Derivatives Association, Inc. as of July 31, 2018 (the “</w:t>
      </w:r>
      <w:r>
        <w:rPr>
          <w:rFonts w:ascii="Arial" w:cs="Arial" w:eastAsia="Arial" w:hAnsi="Arial"/>
          <w:sz w:val="17"/>
          <w:szCs w:val="17"/>
          <w:b w:val="1"/>
          <w:bCs w:val="1"/>
          <w:color w:val="auto"/>
        </w:rPr>
        <w:t>ISDA U.S. Protocol</w:t>
      </w:r>
      <w:r>
        <w:rPr>
          <w:rFonts w:ascii="Arial" w:cs="Arial" w:eastAsia="Arial" w:hAnsi="Arial"/>
          <w:sz w:val="17"/>
          <w:szCs w:val="17"/>
          <w:color w:val="auto"/>
        </w:rPr>
        <w:t>”), the terms of such protocol shall be incorporated into and form a part of this Confirmation and the terms of the ISDA U.S. Protocol shall supersede and replace the terms of this Section 8(u).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spacing w:after="0" w:line="178" w:lineRule="exact"/>
        <w:rPr>
          <w:rFonts w:ascii="Arial" w:cs="Arial" w:eastAsia="Arial" w:hAnsi="Arial"/>
          <w:sz w:val="17"/>
          <w:szCs w:val="17"/>
          <w:color w:val="auto"/>
        </w:rPr>
      </w:pPr>
    </w:p>
    <w:p>
      <w:pPr>
        <w:ind w:left="4" w:right="60" w:firstLine="645"/>
        <w:spacing w:after="0" w:line="257" w:lineRule="auto"/>
        <w:tabs>
          <w:tab w:leader="none" w:pos="131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Arial" w:cs="Arial" w:eastAsia="Arial" w:hAnsi="Arial"/>
          <w:sz w:val="18"/>
          <w:szCs w:val="18"/>
          <w:b w:val="1"/>
          <w:bCs w:val="1"/>
          <w:color w:val="auto"/>
        </w:rPr>
        <w:t>Preexisting In-Scope Agreement</w:t>
      </w:r>
      <w:r>
        <w:rPr>
          <w:rFonts w:ascii="Arial" w:cs="Arial" w:eastAsia="Arial" w:hAnsi="Arial"/>
          <w:sz w:val="18"/>
          <w:szCs w:val="18"/>
          <w:color w:val="auto"/>
        </w:rPr>
        <w:t>”), then each such Preexisting In-Scope Agreement is hereby amended to include the foregoing provisions in this Section 8(u), with references to “this Confirmation” being understood to be references to the applicable Preexisting In-Scope Agreement.</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For purposes of this Section 8(u):</w:t>
      </w:r>
    </w:p>
    <w:p>
      <w:pPr>
        <w:spacing w:after="0" w:line="22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defined in, and shall be interpreted in accordance with, 12 U.S.C. § 1841(k).</w:t>
      </w:r>
    </w:p>
    <w:p>
      <w:pPr>
        <w:spacing w:after="0" w:line="225" w:lineRule="exact"/>
        <w:rPr>
          <w:sz w:val="20"/>
          <w:szCs w:val="20"/>
          <w:color w:val="auto"/>
        </w:rPr>
      </w:pPr>
    </w:p>
    <w:p>
      <w:pPr>
        <w:ind w:left="644"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w:t>
      </w:r>
      <w:r>
        <w:rPr>
          <w:rFonts w:ascii="Arial" w:cs="Arial" w:eastAsia="Arial" w:hAnsi="Arial"/>
          <w:sz w:val="18"/>
          <w:szCs w:val="18"/>
          <w:color w:val="auto"/>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337" w:name="page338"/>
    <w:bookmarkEnd w:id="337"/>
    <w:p>
      <w:pPr>
        <w:ind w:left="980" w:hanging="324"/>
        <w:spacing w:after="0"/>
        <w:tabs>
          <w:tab w:leader="none" w:pos="98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225" w:lineRule="exact"/>
        <w:rPr>
          <w:sz w:val="20"/>
          <w:szCs w:val="20"/>
          <w:color w:val="auto"/>
        </w:rPr>
      </w:pPr>
    </w:p>
    <w:p>
      <w:pPr>
        <w:ind w:right="300" w:firstLine="656"/>
        <w:spacing w:after="0" w:line="282" w:lineRule="auto"/>
        <w:tabs>
          <w:tab w:leader="none" w:pos="1304" w:val="left"/>
        </w:tabs>
        <w:numPr>
          <w:ilvl w:val="1"/>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372"/>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awards are generally final and binding; a party’s ability to have a court reverse or modify an arbitration award is very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limited.</w:t>
      </w:r>
    </w:p>
    <w:p>
      <w:pPr>
        <w:spacing w:after="0" w:line="206" w:lineRule="exact"/>
        <w:rPr>
          <w:rFonts w:ascii="Arial" w:cs="Arial" w:eastAsia="Arial" w:hAnsi="Arial"/>
          <w:sz w:val="16"/>
          <w:szCs w:val="16"/>
          <w:b w:val="1"/>
          <w:bCs w:val="1"/>
          <w:color w:val="auto"/>
        </w:rPr>
      </w:pPr>
    </w:p>
    <w:p>
      <w:pPr>
        <w:ind w:right="80" w:firstLine="656"/>
        <w:spacing w:after="0" w:line="282" w:lineRule="auto"/>
        <w:tabs>
          <w:tab w:leader="none" w:pos="1307" w:val="left"/>
        </w:tabs>
        <w:numPr>
          <w:ilvl w:val="1"/>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the parties to obtain documents, witness statements and other discovery is generally more limited in arbitration than in court proceedings.</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do not have to explain the reason(s) for their award.</w:t>
      </w:r>
    </w:p>
    <w:p>
      <w:pPr>
        <w:spacing w:after="0" w:line="225" w:lineRule="exact"/>
        <w:rPr>
          <w:rFonts w:ascii="Arial" w:cs="Arial" w:eastAsia="Arial" w:hAnsi="Arial"/>
          <w:sz w:val="18"/>
          <w:szCs w:val="18"/>
          <w:b w:val="1"/>
          <w:bCs w:val="1"/>
          <w:color w:val="auto"/>
        </w:rPr>
      </w:pPr>
    </w:p>
    <w:p>
      <w:pPr>
        <w:jc w:val="both"/>
        <w:ind w:right="460" w:firstLine="656"/>
        <w:spacing w:after="0" w:line="266" w:lineRule="auto"/>
        <w:tabs>
          <w:tab w:leader="none" w:pos="1307" w:val="left"/>
        </w:tabs>
        <w:numPr>
          <w:ilvl w:val="1"/>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6" w:lineRule="exact"/>
        <w:rPr>
          <w:rFonts w:ascii="Arial" w:cs="Arial" w:eastAsia="Arial" w:hAnsi="Arial"/>
          <w:sz w:val="18"/>
          <w:szCs w:val="18"/>
          <w:b w:val="1"/>
          <w:bCs w:val="1"/>
          <w:color w:val="auto"/>
        </w:rPr>
      </w:pPr>
    </w:p>
    <w:p>
      <w:pPr>
        <w:ind w:right="420" w:firstLine="656"/>
        <w:spacing w:after="0" w:line="282" w:lineRule="auto"/>
        <w:tabs>
          <w:tab w:leader="none" w:pos="1301" w:val="left"/>
        </w:tabs>
        <w:numPr>
          <w:ilvl w:val="1"/>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The rules of some arbitration forums may impose time limits for bringing a claim in arbitration. In some cases, a claim that is ineligible for arbitration may be brought in court.</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372"/>
        </w:numPr>
        <w:rPr>
          <w:rFonts w:ascii="Arial" w:cs="Arial" w:eastAsia="Arial" w:hAnsi="Arial"/>
          <w:sz w:val="17"/>
          <w:szCs w:val="17"/>
          <w:b w:val="1"/>
          <w:bCs w:val="1"/>
          <w:color w:val="auto"/>
        </w:rPr>
      </w:pPr>
      <w:r>
        <w:rPr>
          <w:rFonts w:ascii="Arial" w:cs="Arial" w:eastAsia="Arial" w:hAnsi="Arial"/>
          <w:sz w:val="17"/>
          <w:szCs w:val="17"/>
          <w:b w:val="1"/>
          <w:bCs w:val="1"/>
          <w:color w:val="auto"/>
        </w:rPr>
        <w:t>The rules of the arbitration forum in which the claim is filed, and any amendments thereto, shall be incorporated into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Confirmation.</w:t>
      </w:r>
    </w:p>
    <w:p>
      <w:pPr>
        <w:spacing w:after="0" w:line="206" w:lineRule="exact"/>
        <w:rPr>
          <w:rFonts w:ascii="Arial" w:cs="Arial" w:eastAsia="Arial" w:hAnsi="Arial"/>
          <w:sz w:val="17"/>
          <w:szCs w:val="17"/>
          <w:b w:val="1"/>
          <w:bCs w:val="1"/>
          <w:color w:val="auto"/>
        </w:rPr>
      </w:pPr>
    </w:p>
    <w:p>
      <w:pPr>
        <w:ind w:firstLine="656"/>
        <w:spacing w:after="0" w:line="258" w:lineRule="auto"/>
        <w:tabs>
          <w:tab w:leader="none" w:pos="1314" w:val="left"/>
        </w:tabs>
        <w:numPr>
          <w:ilvl w:val="1"/>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83" w:lineRule="exact"/>
        <w:rPr>
          <w:rFonts w:ascii="Arial" w:cs="Arial" w:eastAsia="Arial" w:hAnsi="Arial"/>
          <w:sz w:val="18"/>
          <w:szCs w:val="18"/>
          <w:b w:val="1"/>
          <w:bCs w:val="1"/>
          <w:color w:val="auto"/>
        </w:rPr>
      </w:pPr>
    </w:p>
    <w:p>
      <w:pPr>
        <w:jc w:val="both"/>
        <w:ind w:right="180" w:firstLine="656"/>
        <w:spacing w:after="0" w:line="289" w:lineRule="auto"/>
        <w:tabs>
          <w:tab w:leader="none" w:pos="1304" w:val="left"/>
        </w:tabs>
        <w:numPr>
          <w:ilvl w:val="1"/>
          <w:numId w:val="372"/>
        </w:numPr>
        <w:rPr>
          <w:rFonts w:ascii="Arial" w:cs="Arial" w:eastAsia="Arial" w:hAnsi="Arial"/>
          <w:sz w:val="16"/>
          <w:szCs w:val="16"/>
          <w:b w:val="1"/>
          <w:bCs w:val="1"/>
          <w:color w:val="auto"/>
        </w:rPr>
      </w:pPr>
      <w:r>
        <w:rPr>
          <w:rFonts w:ascii="Arial" w:cs="Arial" w:eastAsia="Arial" w:hAnsi="Arial"/>
          <w:sz w:val="16"/>
          <w:szCs w:val="16"/>
          <w:b w:val="1"/>
          <w:bCs w:val="1"/>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is excluded from the class by the court.</w:t>
      </w:r>
    </w:p>
    <w:p>
      <w:pPr>
        <w:spacing w:after="0" w:line="206" w:lineRule="exact"/>
        <w:rPr>
          <w:rFonts w:ascii="Arial" w:cs="Arial" w:eastAsia="Arial" w:hAnsi="Arial"/>
          <w:sz w:val="18"/>
          <w:szCs w:val="18"/>
          <w:b w:val="1"/>
          <w:bCs w:val="1"/>
          <w:color w:val="auto"/>
        </w:rPr>
      </w:pPr>
    </w:p>
    <w:p>
      <w:pPr>
        <w:ind w:right="40" w:firstLine="656"/>
        <w:spacing w:after="0" w:line="282" w:lineRule="auto"/>
        <w:tabs>
          <w:tab w:leader="none" w:pos="1314" w:val="left"/>
        </w:tabs>
        <w:numPr>
          <w:ilvl w:val="1"/>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Such forbearance to enforce an agreement to arbitrate shall not constitute a waiver of any rights under this Confirmation except to the extent stated 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8" w:name="page339"/>
    <w:bookmarkEnd w:id="338"/>
    <w:p>
      <w:pPr>
        <w:ind w:firstLine="648"/>
        <w:spacing w:after="0" w:line="257" w:lineRule="auto"/>
        <w:rPr>
          <w:sz w:val="20"/>
          <w:szCs w:val="20"/>
          <w:color w:val="auto"/>
        </w:rPr>
      </w:pPr>
      <w:r>
        <w:rPr>
          <w:rFonts w:ascii="Arial" w:cs="Arial" w:eastAsia="Arial" w:hAnsi="Arial"/>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LLC, Equity Derivatives Documentation Department, Facsimile No. (212) 428-1980/83.</w:t>
      </w:r>
    </w:p>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Jonathan Armstrong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Jonathan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MD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3880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41" w:right="479" w:bottom="1440" w:gutter="0" w:footer="0" w:header="0"/>
        </w:sectPr>
      </w:pPr>
    </w:p>
    <w:bookmarkStart w:id="339" w:name="page340"/>
    <w:bookmarkEnd w:id="339"/>
    <w:p>
      <w:pPr>
        <w:ind w:left="10740"/>
        <w:spacing w:after="0"/>
        <w:rPr>
          <w:sz w:val="20"/>
          <w:szCs w:val="20"/>
          <w:color w:val="auto"/>
        </w:rPr>
      </w:pPr>
      <w:r>
        <w:rPr>
          <w:rFonts w:ascii="Arial" w:cs="Arial" w:eastAsia="Arial" w:hAnsi="Arial"/>
          <w:sz w:val="17"/>
          <w:szCs w:val="17"/>
          <w:b w:val="1"/>
          <w:bCs w:val="1"/>
          <w:color w:val="auto"/>
        </w:rPr>
        <w:t>Annex 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each Component of the Transaction, the Number of Warrants and Expiration Date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gridSpan w:val="2"/>
          </w:tcPr>
          <w:p>
            <w:pPr>
              <w:ind w:left="1220"/>
              <w:spacing w:after="0"/>
              <w:rPr>
                <w:sz w:val="20"/>
                <w:szCs w:val="20"/>
                <w:color w:val="auto"/>
              </w:rPr>
            </w:pPr>
            <w:r>
              <w:rPr>
                <w:rFonts w:ascii="Arial" w:cs="Arial" w:eastAsia="Arial" w:hAnsi="Arial"/>
                <w:sz w:val="14"/>
                <w:szCs w:val="14"/>
                <w:b w:val="1"/>
                <w:bCs w:val="1"/>
                <w:color w:val="auto"/>
              </w:rPr>
              <w:t>Component Number</w:t>
            </w:r>
          </w:p>
        </w:tc>
        <w:tc>
          <w:tcPr>
            <w:tcW w:w="3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Number of Warrants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40" w:type="dxa"/>
            <w:vAlign w:val="bottom"/>
          </w:tcPr>
          <w:p>
            <w:pPr>
              <w:spacing w:after="0"/>
              <w:rPr>
                <w:sz w:val="14"/>
                <w:szCs w:val="14"/>
                <w:color w:val="auto"/>
              </w:rPr>
            </w:pPr>
          </w:p>
        </w:tc>
      </w:tr>
      <w:tr>
        <w:trPr>
          <w:trHeight w:val="210"/>
        </w:trPr>
        <w:tc>
          <w:tcPr>
            <w:tcW w:w="3680" w:type="dxa"/>
            <w:vAlign w:val="bottom"/>
            <w:tcBorders>
              <w:top w:val="single" w:sz="8" w:color="auto"/>
            </w:tcBorders>
            <w:shd w:val="clear" w:color="auto" w:fill="CCEEFF"/>
          </w:tcPr>
          <w:p>
            <w:pPr>
              <w:ind w:left="184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1,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2,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3,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7,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8,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9,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10,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July 11,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14, 2024</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15,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16,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17,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18,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21,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22,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23,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24,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25,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29,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31,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1,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4,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5,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6,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7,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8,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11,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12,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13,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14,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15,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18,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19,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20,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22,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25,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26,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27,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28,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29,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2,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4,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5,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8,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9, 2025</w:t>
            </w:r>
          </w:p>
        </w:tc>
        <w:tc>
          <w:tcPr>
            <w:tcW w:w="40" w:type="dxa"/>
            <w:vAlign w:val="bottom"/>
          </w:tcPr>
          <w:p>
            <w:pPr>
              <w:spacing w:after="0"/>
              <w:rPr>
                <w:sz w:val="18"/>
                <w:szCs w:val="18"/>
                <w:color w:val="auto"/>
              </w:rPr>
            </w:pPr>
          </w:p>
        </w:tc>
      </w:tr>
      <w:tr>
        <w:trPr>
          <w:trHeight w:val="230"/>
        </w:trPr>
        <w:tc>
          <w:tcPr>
            <w:tcW w:w="3680" w:type="dxa"/>
            <w:vAlign w:val="bottom"/>
          </w:tcPr>
          <w:p>
            <w:pPr>
              <w:ind w:left="184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10, 2025</w:t>
            </w:r>
          </w:p>
        </w:tc>
        <w:tc>
          <w:tcPr>
            <w:tcW w:w="40" w:type="dxa"/>
            <w:vAlign w:val="bottom"/>
          </w:tcPr>
          <w:p>
            <w:pPr>
              <w:spacing w:after="0"/>
              <w:rPr>
                <w:sz w:val="20"/>
                <w:szCs w:val="20"/>
                <w:color w:val="auto"/>
              </w:rPr>
            </w:pPr>
          </w:p>
        </w:tc>
      </w:tr>
      <w:tr>
        <w:trPr>
          <w:trHeight w:val="334"/>
        </w:trPr>
        <w:tc>
          <w:tcPr>
            <w:tcW w:w="3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11,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52.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12,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15,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54.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16,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17,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56.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18,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19,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58.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22,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23,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24,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25,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26,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29,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30,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October 1,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9"/>
              </w:rPr>
              <w:t>October 2,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October 3,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9"/>
              </w:rPr>
              <w:t>October 6,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October 7,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9"/>
              </w:rPr>
              <w:t>October 8,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October 9,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10,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13,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14,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15,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16,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17,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20,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21,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22,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23,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24,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27,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28,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29,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30,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31,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November 3,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November 4,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November 5,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November 6,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November 7,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November 10,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91"/>
              </w:rPr>
              <w:t>November 11,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November 12,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91"/>
              </w:rPr>
              <w:t>November 13,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November 14,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91"/>
              </w:rPr>
              <w:t>November 17,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November 18, 2025</w:t>
            </w:r>
          </w:p>
        </w:tc>
        <w:tc>
          <w:tcPr>
            <w:tcW w:w="40" w:type="dxa"/>
            <w:vAlign w:val="bottom"/>
          </w:tcPr>
          <w:p>
            <w:pPr>
              <w:spacing w:after="0"/>
              <w:rPr>
                <w:sz w:val="18"/>
                <w:szCs w:val="18"/>
                <w:color w:val="auto"/>
              </w:rPr>
            </w:pPr>
          </w:p>
        </w:tc>
      </w:tr>
      <w:tr>
        <w:trPr>
          <w:trHeight w:val="230"/>
        </w:trPr>
        <w:tc>
          <w:tcPr>
            <w:tcW w:w="3840" w:type="dxa"/>
            <w:vAlign w:val="bottom"/>
          </w:tcPr>
          <w:p>
            <w:pPr>
              <w:ind w:left="1840"/>
              <w:spacing w:after="0"/>
              <w:rPr>
                <w:sz w:val="20"/>
                <w:szCs w:val="20"/>
                <w:color w:val="auto"/>
              </w:rPr>
            </w:pPr>
            <w:r>
              <w:rPr>
                <w:rFonts w:ascii="Arial" w:cs="Arial" w:eastAsia="Arial" w:hAnsi="Arial"/>
                <w:sz w:val="18"/>
                <w:szCs w:val="18"/>
                <w:color w:val="auto"/>
              </w:rPr>
              <w:t>100.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91"/>
              </w:rPr>
              <w:t>November 19, 2025</w:t>
            </w:r>
          </w:p>
        </w:tc>
        <w:tc>
          <w:tcPr>
            <w:tcW w:w="40" w:type="dxa"/>
            <w:vAlign w:val="bottom"/>
          </w:tcPr>
          <w:p>
            <w:pPr>
              <w:spacing w:after="0"/>
              <w:rPr>
                <w:sz w:val="20"/>
                <w:szCs w:val="20"/>
                <w:color w:val="auto"/>
              </w:rPr>
            </w:pPr>
          </w:p>
        </w:tc>
      </w:tr>
      <w:tr>
        <w:trPr>
          <w:trHeight w:val="418"/>
        </w:trPr>
        <w:tc>
          <w:tcPr>
            <w:tcW w:w="3840" w:type="dxa"/>
            <w:vAlign w:val="bottom"/>
          </w:tcPr>
          <w:p>
            <w:pPr>
              <w:spacing w:after="0"/>
              <w:rPr>
                <w:sz w:val="24"/>
                <w:szCs w:val="24"/>
                <w:color w:val="auto"/>
              </w:rPr>
            </w:pPr>
          </w:p>
        </w:tc>
        <w:tc>
          <w:tcPr>
            <w:tcW w:w="3560" w:type="dxa"/>
            <w:vAlign w:val="bottom"/>
          </w:tcPr>
          <w:p>
            <w:pPr>
              <w:jc w:val="center"/>
              <w:ind w:left="90"/>
              <w:spacing w:after="0"/>
              <w:rPr>
                <w:sz w:val="20"/>
                <w:szCs w:val="20"/>
                <w:color w:val="auto"/>
              </w:rPr>
            </w:pPr>
            <w:r>
              <w:rPr>
                <w:rFonts w:ascii="Arial" w:cs="Arial" w:eastAsia="Arial" w:hAnsi="Arial"/>
                <w:sz w:val="18"/>
                <w:szCs w:val="18"/>
                <w:color w:val="auto"/>
                <w:w w:val="99"/>
              </w:rPr>
              <w:t>2</w:t>
            </w: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4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10.9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18" w:lineRule="auto"/>
        <w:rPr>
          <w:sz w:val="20"/>
          <w:szCs w:val="20"/>
          <w:color w:val="auto"/>
        </w:rPr>
      </w:pPr>
      <w:r>
        <w:rPr>
          <w:rFonts w:ascii="Arial" w:cs="Arial" w:eastAsia="Arial" w:hAnsi="Arial"/>
          <w:sz w:val="18"/>
          <w:szCs w:val="18"/>
          <w:color w:val="auto"/>
        </w:rPr>
        <w:t>55 Bloor Street West,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M4W 1A5</w:t>
      </w: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(416) 552-4177</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(416) 552-7904</w:t>
      </w:r>
    </w:p>
    <w:p>
      <w:pPr>
        <w:spacing w:after="0" w:line="211"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Winnebago Industries, Inc.</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Forest City, Iowa 50436</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Bank of Montreal</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Additional Issuer Warrant Transaction</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October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Bank of Montreal (“</w:t>
      </w:r>
      <w:r>
        <w:rPr>
          <w:rFonts w:ascii="Arial" w:cs="Arial" w:eastAsia="Arial" w:hAnsi="Arial"/>
          <w:sz w:val="18"/>
          <w:szCs w:val="18"/>
          <w:b w:val="1"/>
          <w:bCs w:val="1"/>
          <w:color w:val="auto"/>
        </w:rPr>
        <w:t>Dealer</w:t>
      </w:r>
      <w:r>
        <w:rPr>
          <w:rFonts w:ascii="Arial" w:cs="Arial" w:eastAsia="Arial" w:hAnsi="Arial"/>
          <w:sz w:val="18"/>
          <w:szCs w:val="18"/>
          <w:color w:val="auto"/>
        </w:rPr>
        <w:t>”) and Winnebago Industries, Inc. (“</w:t>
      </w:r>
      <w:r>
        <w:rPr>
          <w:rFonts w:ascii="Arial" w:cs="Arial" w:eastAsia="Arial" w:hAnsi="Arial"/>
          <w:sz w:val="18"/>
          <w:szCs w:val="18"/>
          <w:b w:val="1"/>
          <w:bCs w:val="1"/>
          <w:color w:val="auto"/>
        </w:rPr>
        <w:t>Counterparty</w:t>
      </w:r>
      <w:r>
        <w:rPr>
          <w:rFonts w:ascii="Arial" w:cs="Arial" w:eastAsia="Arial" w:hAnsi="Arial"/>
          <w:sz w:val="18"/>
          <w:szCs w:val="18"/>
          <w:color w:val="auto"/>
        </w:rPr>
        <w:t>”). Dealer is acting as principal in this Transaction and BMO Capital Markets Corp. (“</w:t>
      </w:r>
      <w:r>
        <w:rPr>
          <w:rFonts w:ascii="Arial" w:cs="Arial" w:eastAsia="Arial" w:hAnsi="Arial"/>
          <w:sz w:val="18"/>
          <w:szCs w:val="18"/>
          <w:b w:val="1"/>
          <w:bCs w:val="1"/>
          <w:color w:val="auto"/>
        </w:rPr>
        <w:t>Agent</w:t>
      </w:r>
      <w:r>
        <w:rPr>
          <w:rFonts w:ascii="Arial" w:cs="Arial" w:eastAsia="Arial" w:hAnsi="Arial"/>
          <w:sz w:val="18"/>
          <w:szCs w:val="18"/>
          <w:color w:val="auto"/>
        </w:rPr>
        <w:t>”), its affiliate, is acting as agent for this Transaction solely in connection with Rule 15a-6 of the Exchange Act (as defined herein), as amended. This communication constitutes a “Confirmation” as referred to in the ISDA Master Agreement specified below.</w:t>
      </w:r>
    </w:p>
    <w:p>
      <w:pPr>
        <w:spacing w:after="0" w:line="184" w:lineRule="exact"/>
        <w:rPr>
          <w:sz w:val="20"/>
          <w:szCs w:val="20"/>
          <w:color w:val="auto"/>
        </w:rPr>
      </w:pPr>
    </w:p>
    <w:p>
      <w:pPr>
        <w:ind w:firstLine="656"/>
        <w:spacing w:after="0" w:line="281" w:lineRule="auto"/>
        <w:tabs>
          <w:tab w:leader="none" w:pos="972"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2006 ISDA Definitions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and together with the 2006 Definitions, the “</w:t>
      </w:r>
      <w:r>
        <w:rPr>
          <w:rFonts w:ascii="Arial" w:cs="Arial" w:eastAsia="Arial" w:hAnsi="Arial"/>
          <w:sz w:val="17"/>
          <w:szCs w:val="17"/>
          <w:b w:val="1"/>
          <w:bCs w:val="1"/>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For purposes of the Equity Definitions, each reference herein to a Warrant shall be deemed to be a reference to a Call Option or an Option, as context requires.</w:t>
      </w:r>
    </w:p>
    <w:p>
      <w:pPr>
        <w:spacing w:after="0" w:line="16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(ii) the replacement of the word “third” in the last line of Section 5(a)(i) of the Agreement with the word “first” and (iii) the election that the “Cross Default” provisions of Section 5(a)(vi) of the Agreement shall apply to Counterparty with a “Threshold Amount” of USD15.0 million).</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2" w:name="page343"/>
    <w:bookmarkEnd w:id="342"/>
    <w:p>
      <w:pPr>
        <w:ind w:right="100"/>
        <w:spacing w:after="0" w:line="277" w:lineRule="auto"/>
        <w:rPr>
          <w:sz w:val="20"/>
          <w:szCs w:val="20"/>
          <w:color w:val="auto"/>
        </w:rPr>
      </w:pPr>
      <w:r>
        <w:rPr>
          <w:rFonts w:ascii="Arial" w:cs="Arial" w:eastAsia="Arial" w:hAnsi="Arial"/>
          <w:sz w:val="18"/>
          <w:szCs w:val="18"/>
          <w:color w:val="auto"/>
        </w:rPr>
        <w:t>the application of any provision of this Confirmation, the Agreement, the Equity Definitions or the 2006 Definitions shall not be construed to exclude or limit any other provision of this Confirmation, the Agreement, the Equity Definitions or the 2006 Definitions.</w:t>
      </w:r>
    </w:p>
    <w:p>
      <w:pPr>
        <w:spacing w:after="0" w:line="170"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360" w:firstLine="656"/>
        <w:spacing w:after="0" w:line="277" w:lineRule="auto"/>
        <w:tabs>
          <w:tab w:leader="none" w:pos="97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General Terms:</w:t>
            </w:r>
          </w:p>
        </w:tc>
        <w:tc>
          <w:tcPr>
            <w:tcW w:w="8360" w:type="dxa"/>
            <w:vAlign w:val="bottom"/>
          </w:tcPr>
          <w:p>
            <w:pPr>
              <w:spacing w:after="0"/>
              <w:rPr>
                <w:sz w:val="20"/>
                <w:szCs w:val="20"/>
                <w:color w:val="auto"/>
              </w:rPr>
            </w:pP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8360" w:type="dxa"/>
            <w:vAlign w:val="bottom"/>
          </w:tcPr>
          <w:p>
            <w:pPr>
              <w:ind w:left="900"/>
              <w:spacing w:after="0"/>
              <w:rPr>
                <w:sz w:val="20"/>
                <w:szCs w:val="20"/>
                <w:color w:val="auto"/>
              </w:rPr>
            </w:pPr>
            <w:r>
              <w:rPr>
                <w:rFonts w:ascii="Arial" w:cs="Arial" w:eastAsia="Arial" w:hAnsi="Arial"/>
                <w:sz w:val="18"/>
                <w:szCs w:val="18"/>
                <w:color w:val="auto"/>
              </w:rPr>
              <w:t>October 30, 2019</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8360" w:type="dxa"/>
            <w:vAlign w:val="bottom"/>
          </w:tcPr>
          <w:p>
            <w:pPr>
              <w:ind w:left="900"/>
              <w:spacing w:after="0"/>
              <w:rPr>
                <w:sz w:val="20"/>
                <w:szCs w:val="20"/>
                <w:color w:val="auto"/>
              </w:rPr>
            </w:pPr>
            <w:r>
              <w:rPr>
                <w:rFonts w:ascii="Arial" w:cs="Arial" w:eastAsia="Arial" w:hAnsi="Arial"/>
                <w:sz w:val="18"/>
                <w:szCs w:val="18"/>
                <w:color w:val="auto"/>
                <w:w w:val="94"/>
              </w:rPr>
              <w:t>November 1, 2019, or such other date as agreed between the parties, subject to Section 8(l) below</w:t>
            </w:r>
          </w:p>
        </w:tc>
      </w:tr>
      <w:tr>
        <w:trPr>
          <w:trHeight w:val="418"/>
        </w:trPr>
        <w:tc>
          <w:tcPr>
            <w:tcW w:w="3100" w:type="dxa"/>
            <w:vAlign w:val="bottom"/>
          </w:tcPr>
          <w:p>
            <w:pPr>
              <w:ind w:left="660"/>
              <w:spacing w:after="0"/>
              <w:rPr>
                <w:sz w:val="20"/>
                <w:szCs w:val="20"/>
                <w:color w:val="auto"/>
              </w:rPr>
            </w:pPr>
            <w:r>
              <w:rPr>
                <w:rFonts w:ascii="Arial" w:cs="Arial" w:eastAsia="Arial" w:hAnsi="Arial"/>
                <w:sz w:val="18"/>
                <w:szCs w:val="18"/>
                <w:color w:val="auto"/>
              </w:rPr>
              <w:t>Components:</w:t>
            </w:r>
          </w:p>
        </w:tc>
        <w:tc>
          <w:tcPr>
            <w:tcW w:w="8360" w:type="dxa"/>
            <w:vAlign w:val="bottom"/>
          </w:tcPr>
          <w:p>
            <w:pPr>
              <w:ind w:left="900"/>
              <w:spacing w:after="0"/>
              <w:rPr>
                <w:sz w:val="20"/>
                <w:szCs w:val="20"/>
                <w:color w:val="auto"/>
              </w:rPr>
            </w:pPr>
            <w:r>
              <w:rPr>
                <w:rFonts w:ascii="Arial" w:cs="Arial" w:eastAsia="Arial" w:hAnsi="Arial"/>
                <w:sz w:val="18"/>
                <w:szCs w:val="18"/>
                <w:color w:val="auto"/>
                <w:w w:val="98"/>
              </w:rPr>
              <w:t>The Transaction will be divided into individual Components, each with the terms set forth in this</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6"/>
              </w:rPr>
              <w:t>Confirmation, and, in particular, with the Number of Warrants and Expiration Date set forth in this</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6"/>
              </w:rPr>
              <w:t>Confirmation. The payments and deliveries to be made upon settlement of the Transaction will be</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1"/>
              </w:rPr>
              <w:t>determined separately for each Component as if each Component were a separate Transaction under</w:t>
            </w:r>
          </w:p>
        </w:tc>
      </w:tr>
      <w:tr>
        <w:trPr>
          <w:trHeight w:val="230"/>
        </w:trPr>
        <w:tc>
          <w:tcPr>
            <w:tcW w:w="3100" w:type="dxa"/>
            <w:vAlign w:val="bottom"/>
          </w:tcPr>
          <w:p>
            <w:pPr>
              <w:spacing w:after="0"/>
              <w:rPr>
                <w:sz w:val="20"/>
                <w:szCs w:val="20"/>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rPr>
              <w:t>the Agreement.</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Warrant Style:</w:t>
            </w:r>
          </w:p>
        </w:tc>
        <w:tc>
          <w:tcPr>
            <w:tcW w:w="8360" w:type="dxa"/>
            <w:vAlign w:val="bottom"/>
          </w:tcPr>
          <w:p>
            <w:pPr>
              <w:ind w:left="900"/>
              <w:spacing w:after="0"/>
              <w:rPr>
                <w:sz w:val="20"/>
                <w:szCs w:val="20"/>
                <w:color w:val="auto"/>
              </w:rPr>
            </w:pPr>
            <w:r>
              <w:rPr>
                <w:rFonts w:ascii="Arial" w:cs="Arial" w:eastAsia="Arial" w:hAnsi="Arial"/>
                <w:sz w:val="18"/>
                <w:szCs w:val="18"/>
                <w:color w:val="auto"/>
              </w:rPr>
              <w:t>European</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Warrant Type:</w:t>
            </w:r>
          </w:p>
        </w:tc>
        <w:tc>
          <w:tcPr>
            <w:tcW w:w="8360" w:type="dxa"/>
            <w:vAlign w:val="bottom"/>
          </w:tcPr>
          <w:p>
            <w:pPr>
              <w:ind w:left="900"/>
              <w:spacing w:after="0"/>
              <w:rPr>
                <w:sz w:val="20"/>
                <w:szCs w:val="20"/>
                <w:color w:val="auto"/>
              </w:rPr>
            </w:pPr>
            <w:r>
              <w:rPr>
                <w:rFonts w:ascii="Arial" w:cs="Arial" w:eastAsia="Arial" w:hAnsi="Arial"/>
                <w:sz w:val="18"/>
                <w:szCs w:val="18"/>
                <w:color w:val="auto"/>
              </w:rPr>
              <w:t>Call</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Seller:</w:t>
            </w:r>
          </w:p>
        </w:tc>
        <w:tc>
          <w:tcPr>
            <w:tcW w:w="8360" w:type="dxa"/>
            <w:vAlign w:val="bottom"/>
          </w:tcPr>
          <w:p>
            <w:pPr>
              <w:ind w:left="900"/>
              <w:spacing w:after="0"/>
              <w:rPr>
                <w:sz w:val="20"/>
                <w:szCs w:val="20"/>
                <w:color w:val="auto"/>
              </w:rPr>
            </w:pPr>
            <w:r>
              <w:rPr>
                <w:rFonts w:ascii="Arial" w:cs="Arial" w:eastAsia="Arial" w:hAnsi="Arial"/>
                <w:sz w:val="18"/>
                <w:szCs w:val="18"/>
                <w:color w:val="auto"/>
              </w:rPr>
              <w:t>Counterparty</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Buyer:</w:t>
            </w:r>
          </w:p>
        </w:tc>
        <w:tc>
          <w:tcPr>
            <w:tcW w:w="8360" w:type="dxa"/>
            <w:vAlign w:val="bottom"/>
          </w:tcPr>
          <w:p>
            <w:pPr>
              <w:ind w:left="900"/>
              <w:spacing w:after="0"/>
              <w:rPr>
                <w:sz w:val="20"/>
                <w:szCs w:val="20"/>
                <w:color w:val="auto"/>
              </w:rPr>
            </w:pPr>
            <w:r>
              <w:rPr>
                <w:rFonts w:ascii="Arial" w:cs="Arial" w:eastAsia="Arial" w:hAnsi="Arial"/>
                <w:sz w:val="18"/>
                <w:szCs w:val="18"/>
                <w:color w:val="auto"/>
              </w:rPr>
              <w:t>Dealer</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Shares:</w:t>
            </w:r>
          </w:p>
        </w:tc>
        <w:tc>
          <w:tcPr>
            <w:tcW w:w="8360" w:type="dxa"/>
            <w:vAlign w:val="bottom"/>
          </w:tcPr>
          <w:p>
            <w:pPr>
              <w:ind w:left="900"/>
              <w:spacing w:after="0"/>
              <w:rPr>
                <w:sz w:val="20"/>
                <w:szCs w:val="20"/>
                <w:color w:val="auto"/>
              </w:rPr>
            </w:pPr>
            <w:r>
              <w:rPr>
                <w:rFonts w:ascii="Arial" w:cs="Arial" w:eastAsia="Arial" w:hAnsi="Arial"/>
                <w:sz w:val="18"/>
                <w:szCs w:val="18"/>
                <w:color w:val="auto"/>
              </w:rPr>
              <w:t>The Common Stock of Counterparty, par value USD0.50 (Ticker Symbol: “WGO”).</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Number of Warrants:</w:t>
            </w:r>
          </w:p>
        </w:tc>
        <w:tc>
          <w:tcPr>
            <w:tcW w:w="8360" w:type="dxa"/>
            <w:vAlign w:val="bottom"/>
          </w:tcPr>
          <w:p>
            <w:pPr>
              <w:ind w:left="900"/>
              <w:spacing w:after="0"/>
              <w:rPr>
                <w:sz w:val="20"/>
                <w:szCs w:val="20"/>
                <w:color w:val="auto"/>
              </w:rPr>
            </w:pPr>
            <w:r>
              <w:rPr>
                <w:rFonts w:ascii="Arial" w:cs="Arial" w:eastAsia="Arial" w:hAnsi="Arial"/>
                <w:sz w:val="18"/>
                <w:szCs w:val="18"/>
                <w:color w:val="auto"/>
              </w:rPr>
              <w:t>For each Component, as provided in Annex A to this Confirmation.</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Warrant Entitlement:</w:t>
            </w:r>
          </w:p>
        </w:tc>
        <w:tc>
          <w:tcPr>
            <w:tcW w:w="8360" w:type="dxa"/>
            <w:vAlign w:val="bottom"/>
          </w:tcPr>
          <w:p>
            <w:pPr>
              <w:ind w:left="900"/>
              <w:spacing w:after="0"/>
              <w:rPr>
                <w:sz w:val="20"/>
                <w:szCs w:val="20"/>
                <w:color w:val="auto"/>
              </w:rPr>
            </w:pPr>
            <w:r>
              <w:rPr>
                <w:rFonts w:ascii="Arial" w:cs="Arial" w:eastAsia="Arial" w:hAnsi="Arial"/>
                <w:sz w:val="18"/>
                <w:szCs w:val="18"/>
                <w:color w:val="auto"/>
              </w:rPr>
              <w:t>One Share per Warrant</w:t>
            </w:r>
          </w:p>
        </w:tc>
      </w:tr>
      <w:tr>
        <w:trPr>
          <w:trHeight w:val="432"/>
        </w:trPr>
        <w:tc>
          <w:tcPr>
            <w:tcW w:w="310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8360" w:type="dxa"/>
            <w:vAlign w:val="bottom"/>
          </w:tcPr>
          <w:p>
            <w:pPr>
              <w:ind w:left="900"/>
              <w:spacing w:after="0"/>
              <w:rPr>
                <w:sz w:val="20"/>
                <w:szCs w:val="20"/>
                <w:color w:val="auto"/>
              </w:rPr>
            </w:pPr>
            <w:r>
              <w:rPr>
                <w:rFonts w:ascii="Arial" w:cs="Arial" w:eastAsia="Arial" w:hAnsi="Arial"/>
                <w:sz w:val="18"/>
                <w:szCs w:val="18"/>
                <w:color w:val="auto"/>
              </w:rPr>
              <w:t>USD96.2000</w:t>
            </w:r>
          </w:p>
        </w:tc>
      </w:tr>
      <w:tr>
        <w:trPr>
          <w:trHeight w:val="418"/>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rPr>
              <w:t>Notwithstanding anything to the contrary in the Agreement, this Confirmation or the Equity</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4"/>
              </w:rPr>
              <w:t>Definitions, in no event shall the Strike Price be subject to adjustment to the extent that, after giving</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1"/>
              </w:rPr>
              <w:t>effect to such adjustment, the Strike Price would be less than USD48.1000, except for any adjustment</w:t>
            </w:r>
          </w:p>
        </w:tc>
      </w:tr>
      <w:tr>
        <w:trPr>
          <w:trHeight w:val="216"/>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w w:val="94"/>
              </w:rPr>
              <w:t>pursuant to the terms of this Confirmation and the Equity Definitions in connection with a stock split</w:t>
            </w:r>
          </w:p>
        </w:tc>
      </w:tr>
      <w:tr>
        <w:trPr>
          <w:trHeight w:val="230"/>
        </w:trPr>
        <w:tc>
          <w:tcPr>
            <w:tcW w:w="3100" w:type="dxa"/>
            <w:vAlign w:val="bottom"/>
          </w:tcPr>
          <w:p>
            <w:pPr>
              <w:spacing w:after="0"/>
              <w:rPr>
                <w:sz w:val="20"/>
                <w:szCs w:val="20"/>
                <w:color w:val="auto"/>
              </w:rPr>
            </w:pPr>
          </w:p>
        </w:tc>
        <w:tc>
          <w:tcPr>
            <w:tcW w:w="8360" w:type="dxa"/>
            <w:vAlign w:val="bottom"/>
          </w:tcPr>
          <w:p>
            <w:pPr>
              <w:ind w:left="900"/>
              <w:spacing w:after="0"/>
              <w:rPr>
                <w:sz w:val="20"/>
                <w:szCs w:val="20"/>
                <w:color w:val="auto"/>
              </w:rPr>
            </w:pPr>
            <w:r>
              <w:rPr>
                <w:rFonts w:ascii="Arial" w:cs="Arial" w:eastAsia="Arial" w:hAnsi="Arial"/>
                <w:sz w:val="18"/>
                <w:szCs w:val="18"/>
                <w:color w:val="auto"/>
              </w:rPr>
              <w:t>or similar change to Counterparty’s capitalization.</w:t>
            </w:r>
          </w:p>
        </w:tc>
      </w:tr>
      <w:tr>
        <w:trPr>
          <w:trHeight w:val="432"/>
        </w:trPr>
        <w:tc>
          <w:tcPr>
            <w:tcW w:w="3100" w:type="dxa"/>
            <w:vAlign w:val="bottom"/>
          </w:tcPr>
          <w:p>
            <w:pPr>
              <w:spacing w:after="0"/>
              <w:rPr>
                <w:sz w:val="24"/>
                <w:szCs w:val="24"/>
                <w:color w:val="auto"/>
              </w:rPr>
            </w:pPr>
          </w:p>
        </w:tc>
        <w:tc>
          <w:tcPr>
            <w:tcW w:w="8360" w:type="dxa"/>
            <w:vAlign w:val="bottom"/>
          </w:tcPr>
          <w:p>
            <w:pPr>
              <w:ind w:left="2560"/>
              <w:spacing w:after="0"/>
              <w:rPr>
                <w:sz w:val="20"/>
                <w:szCs w:val="20"/>
                <w:color w:val="auto"/>
              </w:rPr>
            </w:pPr>
            <w:r>
              <w:rPr>
                <w:rFonts w:ascii="Arial" w:cs="Arial" w:eastAsia="Arial" w:hAnsi="Arial"/>
                <w:sz w:val="18"/>
                <w:szCs w:val="18"/>
                <w:color w:val="auto"/>
              </w:rPr>
              <w:t>2</w:t>
            </w:r>
          </w:p>
        </w:tc>
      </w:tr>
      <w:tr>
        <w:trPr>
          <w:trHeight w:val="132"/>
        </w:trPr>
        <w:tc>
          <w:tcPr>
            <w:tcW w:w="3100" w:type="dxa"/>
            <w:vAlign w:val="bottom"/>
            <w:tcBorders>
              <w:bottom w:val="single" w:sz="8" w:color="808080"/>
            </w:tcBorders>
          </w:tcPr>
          <w:p>
            <w:pPr>
              <w:spacing w:after="0"/>
              <w:rPr>
                <w:sz w:val="11"/>
                <w:szCs w:val="11"/>
                <w:color w:val="auto"/>
              </w:rPr>
            </w:pPr>
          </w:p>
        </w:tc>
        <w:tc>
          <w:tcPr>
            <w:tcW w:w="8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43" w:name="page344"/>
    <w:bookmarkEnd w:id="343"/>
    <w:p>
      <w:pPr>
        <w:ind w:left="660"/>
        <w:spacing w:after="0"/>
        <w:rPr>
          <w:sz w:val="20"/>
          <w:szCs w:val="20"/>
          <w:color w:val="auto"/>
        </w:rPr>
      </w:pPr>
      <w:r>
        <w:rPr>
          <w:rFonts w:ascii="Arial" w:cs="Arial" w:eastAsia="Arial" w:hAnsi="Arial"/>
          <w:sz w:val="18"/>
          <w:szCs w:val="18"/>
          <w:color w:val="auto"/>
        </w:rPr>
        <w:t>Number of Shares: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 Payment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Exercise: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 respect of any Component: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As of any date, a number of Shares equal to the product of the Number of Warrants and the Warrant Entitlement.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USD2,110,500.00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Valuation Time</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Confirmation (or, if such date is not a Scheduled Trading Day, the next following Scheduled Trading Day that is not already an Expiration Date for another Component);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that date is a Disrupted Day, the Expiration Date for such Component shall be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succeeding Scheduled Trading Day that is not a Disrupted Day and is not and is not deemed to be an Expiration Date in respect of any other Component of the Transaction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Expiration Date has not occurred pursuant to the preceding 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 be a Disrupted Day in full</w:t>
      </w:r>
      <w:r>
        <w:rPr>
          <w:rFonts w:ascii="Arial" w:cs="Arial" w:eastAsia="Arial" w:hAnsi="Arial"/>
          <w:sz w:val="16"/>
          <w:szCs w:val="16"/>
          <w:b w:val="1"/>
          <w:bCs w:val="1"/>
          <w:color w:val="auto"/>
        </w:rPr>
        <w:t>.</w:t>
      </w:r>
      <w:r>
        <w:rPr>
          <w:rFonts w:ascii="Arial" w:cs="Arial" w:eastAsia="Arial" w:hAnsi="Arial"/>
          <w:sz w:val="16"/>
          <w:szCs w:val="16"/>
          <w:color w:val="auto"/>
        </w:rPr>
        <w:t xml:space="preserve"> Section 6.6 of the Equity Definitions shall not apply to any Valuation Date</w:t>
      </w:r>
    </w:p>
    <w:p>
      <w:pPr>
        <w:spacing w:after="0" w:line="18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81280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280" w:space="720"/>
            <w:col w:w="7420"/>
          </w:cols>
          <w:pgMar w:left="240" w:top="341" w:right="239" w:bottom="1440" w:gutter="0" w:footer="0" w:header="0"/>
        </w:sectPr>
      </w:pPr>
    </w:p>
    <w:bookmarkStart w:id="344" w:name="page345"/>
    <w:bookmarkEnd w:id="344"/>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Disruption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Regulatory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Counterparty’s Telephone Number and Telex and/or Facsimile Number and Contact Details for purpose of Giving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Currency: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Share 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occurring on an Expiration Date. “</w:t>
      </w:r>
      <w:r>
        <w:rPr>
          <w:rFonts w:ascii="Arial" w:cs="Arial" w:eastAsia="Arial" w:hAnsi="Arial"/>
          <w:sz w:val="18"/>
          <w:szCs w:val="18"/>
          <w:b w:val="1"/>
          <w:bCs w:val="1"/>
          <w:color w:val="auto"/>
        </w:rPr>
        <w:t>Final Disruption Date</w:t>
      </w:r>
      <w:r>
        <w:rPr>
          <w:rFonts w:ascii="Arial" w:cs="Arial" w:eastAsia="Arial" w:hAnsi="Arial"/>
          <w:sz w:val="18"/>
          <w:szCs w:val="18"/>
          <w:color w:val="auto"/>
        </w:rPr>
        <w:t>” means December 3, 2025.</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event that Dealer, in its discretion, determines makes it appropriate, with regard to any legal, regulatory or self-regulatory requirements or related policies and procedures (whether or not such requirements or related policies and procedures are imposed by law or have been voluntarily adopted by Dealer), for Dealer to refrain from or decrease any market activity in connection with the Transaction.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Section 6(a)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each Settlement Date, Counterparty shall deliver to Dealer a number of Shares equal to the Number of Shares to be Delivered for such Settlement Date to the account specified by Dealer and cash in lieu of any fractional Share valued at the Relevant Price on the Valuation Date corresponding to such Settlement Date. If, in the reasonable opinion of Dealer, based on advice of counsel, for any reason, the Shares deliverable upon Net Share Settlement would not be immediately freely transferable by Dealer under Rule 144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then Dealer may elect to either (x) accept delivery of such Shares</w:t>
      </w:r>
    </w:p>
    <w:p>
      <w:pPr>
        <w:spacing w:after="0" w:line="1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460" w:space="540"/>
            <w:col w:w="7360"/>
          </w:cols>
          <w:pgMar w:left="240" w:top="338" w:right="299" w:bottom="1440" w:gutter="0" w:footer="0" w:header="0"/>
        </w:sectPr>
      </w:pPr>
    </w:p>
    <w:bookmarkStart w:id="345" w:name="page346"/>
    <w:bookmarkEnd w:id="3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Extraordinary Dividend:</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notwithstanding any restriction on transfer or (y) have the provisions set forth in Section 8(c) below apply.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Number of Shares to be Delivered shall be delivered by Counterparty to Dealer no later than 12:00 noon (local time in New York City) on the relevant Settlement Date.</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such VWAP Price.</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p>
      <w:pPr>
        <w:spacing w:after="0" w:line="18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provisions of Sections 9.1(c), 9.4, 9.8, 9.9, 9.10, 9.11 and 9.12 of the Equity Definitions will be applicable as if “Physical Settlement” applied to the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any regular dividend period of Counterparty, any dividend or distribution on the Shares with an ex-dividend date occurring during such regular dividend</w:t>
      </w:r>
    </w:p>
    <w:p>
      <w:pPr>
        <w:spacing w:after="0" w:line="17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81280</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280" w:space="720"/>
            <w:col w:w="7380"/>
          </w:cols>
          <w:pgMar w:left="240" w:top="341" w:right="27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period (other than any dividend or distribution of the type described in Section 11.2(e)(i) or</w:t>
            </w:r>
          </w:p>
        </w:tc>
      </w:tr>
      <w:tr>
        <w:trPr>
          <w:trHeight w:val="220"/>
        </w:trPr>
        <w:tc>
          <w:tcPr>
            <w:tcW w:w="1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9"/>
              </w:rPr>
              <w:t>Section 11.2(e)(ii)(A) of the Equity Definitions) (a “</w:t>
            </w:r>
            <w:r>
              <w:rPr>
                <w:rFonts w:ascii="Arial" w:cs="Arial" w:eastAsia="Arial" w:hAnsi="Arial"/>
                <w:sz w:val="18"/>
                <w:szCs w:val="18"/>
                <w:b w:val="1"/>
                <w:bCs w:val="1"/>
                <w:color w:val="auto"/>
                <w:w w:val="99"/>
              </w:rPr>
              <w:t>Dividend</w:t>
            </w:r>
            <w:r>
              <w:rPr>
                <w:rFonts w:ascii="Arial" w:cs="Arial" w:eastAsia="Arial" w:hAnsi="Arial"/>
                <w:sz w:val="18"/>
                <w:szCs w:val="18"/>
                <w:color w:val="auto"/>
                <w:w w:val="99"/>
              </w:rPr>
              <w:t>”) the amount or value of which (as</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determined by the Calculation Agent), when aggregated with the amount or value (as determined by</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2"/>
              </w:rPr>
              <w:t>the Calculation Agent) of any and all previous Dividends with ex-dividend dates occurring in the same</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regular dividend period, exceeds the Ordinary Dividend Amount.</w:t>
            </w:r>
          </w:p>
        </w:tc>
      </w:tr>
      <w:tr>
        <w:trPr>
          <w:trHeight w:val="418"/>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Ordinary Dividend Amount:</w:t>
            </w:r>
          </w:p>
        </w:tc>
        <w:tc>
          <w:tcPr>
            <w:tcW w:w="7940" w:type="dxa"/>
            <w:vAlign w:val="bottom"/>
          </w:tcPr>
          <w:p>
            <w:pPr>
              <w:ind w:left="480"/>
              <w:spacing w:after="0"/>
              <w:rPr>
                <w:sz w:val="20"/>
                <w:szCs w:val="20"/>
                <w:color w:val="auto"/>
              </w:rPr>
            </w:pPr>
            <w:r>
              <w:rPr>
                <w:rFonts w:ascii="Arial" w:cs="Arial" w:eastAsia="Arial" w:hAnsi="Arial"/>
                <w:sz w:val="18"/>
                <w:szCs w:val="18"/>
                <w:color w:val="auto"/>
              </w:rPr>
              <w:t>For the first Dividend on the Shares for which the ex-dividend date occurs during any regular</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6"/>
              </w:rPr>
              <w:t>quarterly dividend period of Counterparty, USD0.11, and for any other Dividend on the Shares for</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which the ex-dividend date occurs during the same regular quarterly dividend period, USD 0.00.</w:t>
            </w: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Extraordinary Events:</w:t>
            </w:r>
          </w:p>
        </w:tc>
        <w:tc>
          <w:tcPr>
            <w:tcW w:w="7940" w:type="dxa"/>
            <w:vAlign w:val="bottom"/>
          </w:tcPr>
          <w:p>
            <w:pPr>
              <w:spacing w:after="0"/>
              <w:rPr>
                <w:sz w:val="24"/>
                <w:szCs w:val="24"/>
                <w:color w:val="auto"/>
              </w:rPr>
            </w:pPr>
          </w:p>
        </w:tc>
      </w:tr>
      <w:tr>
        <w:trPr>
          <w:trHeight w:val="418"/>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New Shares:</w:t>
            </w:r>
          </w:p>
        </w:tc>
        <w:tc>
          <w:tcPr>
            <w:tcW w:w="7940" w:type="dxa"/>
            <w:vAlign w:val="bottom"/>
          </w:tcPr>
          <w:p>
            <w:pPr>
              <w:ind w:left="480"/>
              <w:spacing w:after="0"/>
              <w:rPr>
                <w:sz w:val="20"/>
                <w:szCs w:val="20"/>
                <w:color w:val="auto"/>
              </w:rPr>
            </w:pPr>
            <w:r>
              <w:rPr>
                <w:rFonts w:ascii="Arial" w:cs="Arial" w:eastAsia="Arial" w:hAnsi="Arial"/>
                <w:sz w:val="18"/>
                <w:szCs w:val="18"/>
                <w:color w:val="auto"/>
              </w:rPr>
              <w:t>In the definition of New Shares in Section 12.1(i) of the Equity Definitions, the text in clause</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(i) thereof shall be deleted in its entirety and replaced with “publicly quoted, traded or listed on any of</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The New York Stock Exchange, The NASDAQ Global Market or The NASDAQ Global Select</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1"/>
              </w:rPr>
              <w:t>Market (or their respective successors) and of an entity or person that is a corporation organized under</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the laws of the United States, any State thereof or the District of Columbia”.</w:t>
            </w:r>
          </w:p>
        </w:tc>
      </w:tr>
      <w:tr>
        <w:trPr>
          <w:trHeight w:val="418"/>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Merger Event:</w:t>
            </w:r>
          </w:p>
        </w:tc>
        <w:tc>
          <w:tcPr>
            <w:tcW w:w="7940" w:type="dxa"/>
            <w:vAlign w:val="bottom"/>
          </w:tcPr>
          <w:p>
            <w:pPr>
              <w:ind w:left="4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occurs that constitutes both a Merger Event under</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Section 12.1(b) of the Equity Definitions and an Additional Termination Event under Section 8(k)</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(iv) of this Confirmation, Dealer may elect, in its sole discretion, whether the provisions of</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Section 12.2 of the Equity Definitions or Section 8(k)(iv) will apply.</w:t>
            </w:r>
          </w:p>
        </w:tc>
      </w:tr>
      <w:tr>
        <w:trPr>
          <w:trHeight w:val="432"/>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Consequences of Merger Events:</w:t>
            </w:r>
          </w:p>
        </w:tc>
        <w:tc>
          <w:tcPr>
            <w:tcW w:w="7940" w:type="dxa"/>
            <w:vAlign w:val="bottom"/>
          </w:tcPr>
          <w:p>
            <w:pPr>
              <w:spacing w:after="0"/>
              <w:rPr>
                <w:sz w:val="24"/>
                <w:szCs w:val="24"/>
                <w:color w:val="auto"/>
              </w:rPr>
            </w:pPr>
          </w:p>
        </w:tc>
      </w:tr>
      <w:tr>
        <w:trPr>
          <w:trHeight w:val="432"/>
        </w:trPr>
        <w:tc>
          <w:tcPr>
            <w:tcW w:w="3520" w:type="dxa"/>
            <w:vAlign w:val="bottom"/>
            <w:gridSpan w:val="2"/>
          </w:tcPr>
          <w:p>
            <w:pPr>
              <w:ind w:left="980"/>
              <w:spacing w:after="0"/>
              <w:rPr>
                <w:sz w:val="20"/>
                <w:szCs w:val="20"/>
                <w:color w:val="auto"/>
              </w:rPr>
            </w:pPr>
            <w:r>
              <w:rPr>
                <w:rFonts w:ascii="Arial" w:cs="Arial" w:eastAsia="Arial" w:hAnsi="Arial"/>
                <w:sz w:val="18"/>
                <w:szCs w:val="18"/>
                <w:color w:val="auto"/>
              </w:rPr>
              <w:t>(a)  Share-for-Share:</w:t>
            </w:r>
          </w:p>
        </w:tc>
        <w:tc>
          <w:tcPr>
            <w:tcW w:w="7940" w:type="dxa"/>
            <w:vAlign w:val="bottom"/>
          </w:tcPr>
          <w:p>
            <w:pPr>
              <w:ind w:left="48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1260" w:type="dxa"/>
            <w:vAlign w:val="bottom"/>
          </w:tcPr>
          <w:p>
            <w:pPr>
              <w:ind w:left="980"/>
              <w:spacing w:after="0"/>
              <w:rPr>
                <w:sz w:val="20"/>
                <w:szCs w:val="20"/>
                <w:color w:val="auto"/>
              </w:rPr>
            </w:pPr>
            <w:r>
              <w:rPr>
                <w:rFonts w:ascii="Arial" w:cs="Arial" w:eastAsia="Arial" w:hAnsi="Arial"/>
                <w:sz w:val="18"/>
                <w:szCs w:val="18"/>
                <w:color w:val="auto"/>
              </w:rPr>
              <w:t>(b)</w:t>
            </w:r>
          </w:p>
        </w:tc>
        <w:tc>
          <w:tcPr>
            <w:tcW w:w="2260" w:type="dxa"/>
            <w:vAlign w:val="bottom"/>
          </w:tcPr>
          <w:p>
            <w:pPr>
              <w:ind w:left="60"/>
              <w:spacing w:after="0"/>
              <w:rPr>
                <w:sz w:val="20"/>
                <w:szCs w:val="20"/>
                <w:color w:val="auto"/>
              </w:rPr>
            </w:pPr>
            <w:r>
              <w:rPr>
                <w:rFonts w:ascii="Arial" w:cs="Arial" w:eastAsia="Arial" w:hAnsi="Arial"/>
                <w:sz w:val="18"/>
                <w:szCs w:val="18"/>
                <w:color w:val="auto"/>
              </w:rPr>
              <w:t>Share-for-Other:</w:t>
            </w: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 xml:space="preserve">Cancellation and Payment (Calculation Agent Determination);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Dealer may elect, in its</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sole discretion, that Modified Calculation Agent Adjustment shall apply for all or part of the</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Transaction.</w:t>
            </w:r>
          </w:p>
        </w:tc>
      </w:tr>
      <w:tr>
        <w:trPr>
          <w:trHeight w:val="418"/>
        </w:trPr>
        <w:tc>
          <w:tcPr>
            <w:tcW w:w="1260" w:type="dxa"/>
            <w:vAlign w:val="bottom"/>
          </w:tcPr>
          <w:p>
            <w:pPr>
              <w:ind w:left="980"/>
              <w:spacing w:after="0"/>
              <w:rPr>
                <w:sz w:val="20"/>
                <w:szCs w:val="20"/>
                <w:color w:val="auto"/>
              </w:rPr>
            </w:pPr>
            <w:r>
              <w:rPr>
                <w:rFonts w:ascii="Arial" w:cs="Arial" w:eastAsia="Arial" w:hAnsi="Arial"/>
                <w:sz w:val="18"/>
                <w:szCs w:val="18"/>
                <w:color w:val="auto"/>
              </w:rPr>
              <w:t>(c)</w:t>
            </w:r>
          </w:p>
        </w:tc>
        <w:tc>
          <w:tcPr>
            <w:tcW w:w="2260" w:type="dxa"/>
            <w:vAlign w:val="bottom"/>
          </w:tcPr>
          <w:p>
            <w:pPr>
              <w:ind w:left="60"/>
              <w:spacing w:after="0"/>
              <w:rPr>
                <w:sz w:val="20"/>
                <w:szCs w:val="20"/>
                <w:color w:val="auto"/>
              </w:rPr>
            </w:pPr>
            <w:r>
              <w:rPr>
                <w:rFonts w:ascii="Arial" w:cs="Arial" w:eastAsia="Arial" w:hAnsi="Arial"/>
                <w:sz w:val="18"/>
                <w:szCs w:val="18"/>
                <w:color w:val="auto"/>
              </w:rPr>
              <w:t>Share-for-Combined:</w:t>
            </w:r>
          </w:p>
        </w:tc>
        <w:tc>
          <w:tcPr>
            <w:tcW w:w="7940" w:type="dxa"/>
            <w:vAlign w:val="bottom"/>
          </w:tcPr>
          <w:p>
            <w:pPr>
              <w:ind w:left="480"/>
              <w:spacing w:after="0"/>
              <w:rPr>
                <w:sz w:val="20"/>
                <w:szCs w:val="20"/>
                <w:color w:val="auto"/>
              </w:rPr>
            </w:pPr>
            <w:r>
              <w:rPr>
                <w:rFonts w:ascii="Arial" w:cs="Arial" w:eastAsia="Arial" w:hAnsi="Arial"/>
                <w:sz w:val="18"/>
                <w:szCs w:val="18"/>
                <w:color w:val="auto"/>
                <w:w w:val="94"/>
              </w:rPr>
              <w:t xml:space="preserve">Cancellation and Payment (Calculation Agent Determination);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Dealer may elect, in its</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3"/>
              </w:rPr>
              <w:t>sole discretion, that Modified Calculation Agent Adjustment or Component Adjustment shall apply for</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all or part of the Transaction.</w:t>
            </w:r>
          </w:p>
        </w:tc>
      </w:tr>
      <w:tr>
        <w:trPr>
          <w:trHeight w:val="418"/>
        </w:trPr>
        <w:tc>
          <w:tcPr>
            <w:tcW w:w="3520" w:type="dxa"/>
            <w:vAlign w:val="bottom"/>
            <w:gridSpan w:val="2"/>
          </w:tcPr>
          <w:p>
            <w:pPr>
              <w:ind w:left="660"/>
              <w:spacing w:after="0"/>
              <w:rPr>
                <w:sz w:val="20"/>
                <w:szCs w:val="20"/>
                <w:color w:val="auto"/>
              </w:rPr>
            </w:pPr>
            <w:r>
              <w:rPr>
                <w:rFonts w:ascii="Arial" w:cs="Arial" w:eastAsia="Arial" w:hAnsi="Arial"/>
                <w:sz w:val="18"/>
                <w:szCs w:val="18"/>
                <w:color w:val="auto"/>
              </w:rPr>
              <w:t>Tender Offer:</w:t>
            </w:r>
          </w:p>
        </w:tc>
        <w:tc>
          <w:tcPr>
            <w:tcW w:w="7940" w:type="dxa"/>
            <w:vAlign w:val="bottom"/>
          </w:tcPr>
          <w:p>
            <w:pPr>
              <w:ind w:left="48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occurs that constitutes both a Tender Offer under</w:t>
            </w:r>
          </w:p>
        </w:tc>
      </w:tr>
      <w:tr>
        <w:trPr>
          <w:trHeight w:val="216"/>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7"/>
              </w:rPr>
              <w:t>Section 12.1(d) of the Equity Definitions and an Additional Termination Event under Section 8(k)</w:t>
            </w:r>
          </w:p>
        </w:tc>
      </w:tr>
      <w:tr>
        <w:trPr>
          <w:trHeight w:val="230"/>
        </w:trPr>
        <w:tc>
          <w:tcPr>
            <w:tcW w:w="1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(iii) of this Confirmation, Dealer may elect, in its sole discretion,</w:t>
            </w:r>
          </w:p>
        </w:tc>
      </w:tr>
      <w:tr>
        <w:trPr>
          <w:trHeight w:val="432"/>
        </w:trPr>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940" w:type="dxa"/>
            <w:vAlign w:val="bottom"/>
          </w:tcPr>
          <w:p>
            <w:pPr>
              <w:ind w:left="2140"/>
              <w:spacing w:after="0"/>
              <w:rPr>
                <w:sz w:val="20"/>
                <w:szCs w:val="20"/>
                <w:color w:val="auto"/>
              </w:rPr>
            </w:pPr>
            <w:r>
              <w:rPr>
                <w:rFonts w:ascii="Arial" w:cs="Arial" w:eastAsia="Arial" w:hAnsi="Arial"/>
                <w:sz w:val="18"/>
                <w:szCs w:val="18"/>
                <w:color w:val="auto"/>
              </w:rPr>
              <w:t>6</w:t>
            </w:r>
          </w:p>
        </w:tc>
      </w:tr>
      <w:tr>
        <w:trPr>
          <w:trHeight w:val="132"/>
        </w:trPr>
        <w:tc>
          <w:tcPr>
            <w:tcW w:w="126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7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whether the provisions of Section 12.3 of the Equity Definitions or Section 8(k)(iii) will apply.</w:t>
            </w:r>
          </w:p>
        </w:tc>
      </w:tr>
      <w:tr>
        <w:trPr>
          <w:trHeight w:val="432"/>
        </w:trPr>
        <w:tc>
          <w:tcPr>
            <w:tcW w:w="3800" w:type="dxa"/>
            <w:vAlign w:val="bottom"/>
          </w:tcPr>
          <w:p>
            <w:pPr>
              <w:ind w:left="660"/>
              <w:spacing w:after="0"/>
              <w:rPr>
                <w:sz w:val="20"/>
                <w:szCs w:val="20"/>
                <w:color w:val="auto"/>
              </w:rPr>
            </w:pPr>
            <w:r>
              <w:rPr>
                <w:rFonts w:ascii="Arial" w:cs="Arial" w:eastAsia="Arial" w:hAnsi="Arial"/>
                <w:sz w:val="18"/>
                <w:szCs w:val="18"/>
                <w:color w:val="auto"/>
              </w:rPr>
              <w:t>Consequences of Tender Offers:</w:t>
            </w:r>
          </w:p>
        </w:tc>
        <w:tc>
          <w:tcPr>
            <w:tcW w:w="7660" w:type="dxa"/>
            <w:vAlign w:val="bottom"/>
          </w:tcPr>
          <w:p>
            <w:pPr>
              <w:spacing w:after="0"/>
              <w:rPr>
                <w:sz w:val="24"/>
                <w:szCs w:val="24"/>
                <w:color w:val="auto"/>
              </w:rPr>
            </w:pPr>
          </w:p>
        </w:tc>
      </w:tr>
      <w:tr>
        <w:trPr>
          <w:trHeight w:val="432"/>
        </w:trPr>
        <w:tc>
          <w:tcPr>
            <w:tcW w:w="3800" w:type="dxa"/>
            <w:vAlign w:val="bottom"/>
          </w:tcPr>
          <w:p>
            <w:pPr>
              <w:ind w:left="980"/>
              <w:spacing w:after="0"/>
              <w:rPr>
                <w:sz w:val="20"/>
                <w:szCs w:val="20"/>
                <w:color w:val="auto"/>
              </w:rPr>
            </w:pPr>
            <w:r>
              <w:rPr>
                <w:rFonts w:ascii="Arial" w:cs="Arial" w:eastAsia="Arial" w:hAnsi="Arial"/>
                <w:sz w:val="18"/>
                <w:szCs w:val="18"/>
                <w:color w:val="auto"/>
              </w:rPr>
              <w:t>(a)  Share-for-Share:</w:t>
            </w:r>
          </w:p>
        </w:tc>
        <w:tc>
          <w:tcPr>
            <w:tcW w:w="7660" w:type="dxa"/>
            <w:vAlign w:val="bottom"/>
          </w:tcPr>
          <w:p>
            <w:pPr>
              <w:ind w:left="20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3800" w:type="dxa"/>
            <w:vAlign w:val="bottom"/>
          </w:tcPr>
          <w:p>
            <w:pPr>
              <w:ind w:left="980"/>
              <w:spacing w:after="0"/>
              <w:rPr>
                <w:sz w:val="20"/>
                <w:szCs w:val="20"/>
                <w:color w:val="auto"/>
              </w:rPr>
            </w:pPr>
            <w:r>
              <w:rPr>
                <w:rFonts w:ascii="Arial" w:cs="Arial" w:eastAsia="Arial" w:hAnsi="Arial"/>
                <w:sz w:val="18"/>
                <w:szCs w:val="18"/>
                <w:color w:val="auto"/>
              </w:rPr>
              <w:t>(b)  Share-for-Other:</w:t>
            </w:r>
          </w:p>
        </w:tc>
        <w:tc>
          <w:tcPr>
            <w:tcW w:w="7660" w:type="dxa"/>
            <w:vAlign w:val="bottom"/>
          </w:tcPr>
          <w:p>
            <w:pPr>
              <w:ind w:left="20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3800" w:type="dxa"/>
            <w:vAlign w:val="bottom"/>
          </w:tcPr>
          <w:p>
            <w:pPr>
              <w:ind w:left="980"/>
              <w:spacing w:after="0"/>
              <w:rPr>
                <w:sz w:val="20"/>
                <w:szCs w:val="20"/>
                <w:color w:val="auto"/>
              </w:rPr>
            </w:pPr>
            <w:r>
              <w:rPr>
                <w:rFonts w:ascii="Arial" w:cs="Arial" w:eastAsia="Arial" w:hAnsi="Arial"/>
                <w:sz w:val="18"/>
                <w:szCs w:val="18"/>
                <w:color w:val="auto"/>
              </w:rPr>
              <w:t>(c)  Share-for-Combined:</w:t>
            </w:r>
          </w:p>
        </w:tc>
        <w:tc>
          <w:tcPr>
            <w:tcW w:w="7660" w:type="dxa"/>
            <w:vAlign w:val="bottom"/>
          </w:tcPr>
          <w:p>
            <w:pPr>
              <w:ind w:left="20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w w:val="94"/>
              </w:rPr>
              <w:t>Consequences of Announcement Events:</w:t>
            </w: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Modified Calculation Agent Adjustment as set forth in Section 12.3(d) of the Equity Definitions;</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i w:val="1"/>
                <w:iCs w:val="1"/>
                <w:color w:val="auto"/>
                <w:w w:val="91"/>
              </w:rPr>
              <w:t xml:space="preserve">provided </w:t>
            </w:r>
            <w:r>
              <w:rPr>
                <w:rFonts w:ascii="Arial" w:cs="Arial" w:eastAsia="Arial" w:hAnsi="Arial"/>
                <w:sz w:val="18"/>
                <w:szCs w:val="18"/>
                <w:color w:val="auto"/>
                <w:w w:val="91"/>
              </w:rPr>
              <w:t>that, in respect of an Announcement Event, (x) references to “Tender Offer” shall be replaced</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by references to “Announcement Event” and references to “Tender Offer Date” shall be replaced by</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references to “date of such Announcement Event”, (y) the word “shall” in the second line shall be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replaced with “may”, and (z) for the avoidance of doubt, the Calculation Agent may determine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whether the relevant Announcement Event has had an economic effect on any Component (and, if so,</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adjust the terms of such Component accordingly) on one or more occasions on or after the date of the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Announcement Event up to, and including, the Expiration Date, any Early Termination Date and/or</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any other date of cancellation thereof, it being understood that any adjustment in respect of an</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Announcement Event shall take into account any earlier adjustment relating to the same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Announcement Event. An Announcement Event shall be an “Extraordinary Event” for purposes of the</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Equity Definitions, to which Article 12 of the Equity Definitions is applicable.</w:t>
            </w:r>
          </w:p>
        </w:tc>
      </w:tr>
      <w:tr>
        <w:trPr>
          <w:trHeight w:val="418"/>
        </w:trPr>
        <w:tc>
          <w:tcPr>
            <w:tcW w:w="3800" w:type="dxa"/>
            <w:vAlign w:val="bottom"/>
          </w:tcPr>
          <w:p>
            <w:pPr>
              <w:ind w:left="660"/>
              <w:spacing w:after="0"/>
              <w:rPr>
                <w:sz w:val="20"/>
                <w:szCs w:val="20"/>
                <w:color w:val="auto"/>
              </w:rPr>
            </w:pPr>
            <w:r>
              <w:rPr>
                <w:rFonts w:ascii="Arial" w:cs="Arial" w:eastAsia="Arial" w:hAnsi="Arial"/>
                <w:sz w:val="18"/>
                <w:szCs w:val="18"/>
                <w:color w:val="auto"/>
              </w:rPr>
              <w:t>Announcement Event:</w:t>
            </w: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(i) The public announcement by any entity of (x) any transaction or event that, if completed, would</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constitute a Merger Event or Tender Offer, (y) any potential acquisition or disposition by Issuer and/or</w:t>
            </w:r>
          </w:p>
        </w:tc>
      </w:tr>
      <w:tr>
        <w:trPr>
          <w:trHeight w:val="212"/>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its subsidiaries where the aggregate consideration paid and/or delivered exceeds 15% of the market</w:t>
            </w:r>
          </w:p>
        </w:tc>
      </w:tr>
      <w:tr>
        <w:trPr>
          <w:trHeight w:val="220"/>
        </w:trPr>
        <w:tc>
          <w:tcPr>
            <w:tcW w:w="3800" w:type="dxa"/>
            <w:vAlign w:val="bottom"/>
          </w:tcPr>
          <w:p>
            <w:pPr>
              <w:spacing w:after="0"/>
              <w:rPr>
                <w:sz w:val="19"/>
                <w:szCs w:val="19"/>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capitalization of Issuer as of the date of such announcement (an “</w:t>
            </w:r>
            <w:r>
              <w:rPr>
                <w:rFonts w:ascii="Arial" w:cs="Arial" w:eastAsia="Arial" w:hAnsi="Arial"/>
                <w:sz w:val="18"/>
                <w:szCs w:val="18"/>
                <w:b w:val="1"/>
                <w:bCs w:val="1"/>
                <w:color w:val="auto"/>
                <w:w w:val="94"/>
              </w:rPr>
              <w:t>Transformative Transaction</w:t>
            </w:r>
            <w:r>
              <w:rPr>
                <w:rFonts w:ascii="Arial" w:cs="Arial" w:eastAsia="Arial" w:hAnsi="Arial"/>
                <w:sz w:val="18"/>
                <w:szCs w:val="18"/>
                <w:color w:val="auto"/>
                <w:w w:val="94"/>
              </w:rPr>
              <w:t>”) or</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8"/>
              </w:rPr>
              <w:t>(z) the intention to enter into a Merger Event or Tender Offer or an Transformative Transaction,</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5"/>
              </w:rPr>
              <w:t>(ii) the public announcement by Issuer of an intention to solicit or enter into, or to explore strategic</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8"/>
              </w:rPr>
              <w:t>alternatives or other similar undertaking that may include, a Merger Event or Tender Offer or an</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1"/>
              </w:rPr>
              <w:t>Transformative Transaction or (iii) any subsequent public announcement by any entity of a change to a</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transaction or intention that is the subject of an announcement of the type described in clause (i) or</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(ii) of this sentence (including, without limitation, a new announcement, whether or not by the same</w:t>
            </w:r>
          </w:p>
        </w:tc>
      </w:tr>
      <w:tr>
        <w:trPr>
          <w:trHeight w:val="216"/>
        </w:trPr>
        <w:tc>
          <w:tcPr>
            <w:tcW w:w="380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party, relating to such a transaction or intention or the announcement of a withdrawal from, or the</w:t>
            </w:r>
          </w:p>
        </w:tc>
      </w:tr>
      <w:tr>
        <w:trPr>
          <w:trHeight w:val="230"/>
        </w:trPr>
        <w:tc>
          <w:tcPr>
            <w:tcW w:w="380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abandonment or discontinuation of, such a</w:t>
            </w:r>
          </w:p>
        </w:tc>
      </w:tr>
      <w:tr>
        <w:trPr>
          <w:trHeight w:val="432"/>
        </w:trPr>
        <w:tc>
          <w:tcPr>
            <w:tcW w:w="380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7</w:t>
            </w:r>
          </w:p>
        </w:tc>
      </w:tr>
      <w:tr>
        <w:trPr>
          <w:trHeight w:val="132"/>
        </w:trPr>
        <w:tc>
          <w:tcPr>
            <w:tcW w:w="38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transaction or intention), as determined by the Calculation Agent. For the avoidance of doubt, the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occurrence of an Announcement Event with respect to any transaction or intention shall not preclude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the occurrence of a later Announcement Event with respect to such transaction or intention. For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purposes of this definition of “Announcement Event,” the remainder of the definition of “Merger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Event” in Section 12.1(b) of the Equity Definitions following the definition of “Reverse Merger”</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therein shall be disregarded.</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rPr>
              <w:t>Modified Calculation Agent Adjustment:</w:t>
            </w:r>
          </w:p>
        </w:tc>
        <w:tc>
          <w:tcPr>
            <w:tcW w:w="7620" w:type="dxa"/>
            <w:vAlign w:val="bottom"/>
          </w:tcPr>
          <w:p>
            <w:pPr>
              <w:ind w:left="160"/>
              <w:spacing w:after="0"/>
              <w:rPr>
                <w:sz w:val="20"/>
                <w:szCs w:val="20"/>
                <w:color w:val="auto"/>
              </w:rPr>
            </w:pPr>
            <w:r>
              <w:rPr>
                <w:rFonts w:ascii="Arial" w:cs="Arial" w:eastAsia="Arial" w:hAnsi="Arial"/>
                <w:sz w:val="18"/>
                <w:szCs w:val="18"/>
                <w:color w:val="auto"/>
                <w:w w:val="92"/>
              </w:rPr>
              <w:t>If, in respect of a Merger Event, the Counterparty under the Transaction following such Merger Event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will not be the issuer of the New Shares, the Dealer may elect (in its sole discretion) for Cancellation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and Payment (Calculation Agent Determination) to apply. In addition, if, in respect of any Merger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Event to which Modified Calculation Agent Adjustment applies, the adjustments to be made in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accordance with Section 12.2(e)(i) of the Equity Definitions would result in Counterparty being</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different from the issuer of the Shares, then with respect to such Merger Event, as a condition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precedent to the adjustments contemplated in Section 12.2(e)(i) of the Equity Definitions,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Counterparty and the issuer of the Shares shall, prior to the Merger Date, have entered into such</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documentation containing representations, warranties and agreements relating to securities law and</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other issues as requested by Dealer that Dealer has determined, in its reasonable discretion, to be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reasonably necessary or appropriate to allow Dealer to continue as a party to the Transaction, as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adjusted under Section 12.2(e)(i) of the Equity Definitions, and to preserve its hedging or hedge</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7"/>
              </w:rPr>
              <w:t>unwind activities in connection with the Transaction in a manner compliant with applicable legal,</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1"/>
              </w:rPr>
              <w:t>regulatory or self-regulatory requirements, or with related policies and procedures applicable to Dealer</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0"/>
              </w:rPr>
              <w:t>(whether or not such requirements or related policies and procedures are imposed by law or have been</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voluntarily adopted by Dealer), and if such conditions are not met or if the Calculation Agent</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5"/>
              </w:rPr>
              <w:t>determines that no adjustment that it could make under Section 12.2(e)(i) of the Equity Definitions</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1"/>
              </w:rPr>
              <w:t>will produce a commercially reasonable result, then the consequences set forth in Section 12.2(e)(ii) of</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the Equity Definitions shall apply.</w:t>
            </w:r>
          </w:p>
        </w:tc>
      </w:tr>
      <w:tr>
        <w:trPr>
          <w:trHeight w:val="418"/>
        </w:trPr>
        <w:tc>
          <w:tcPr>
            <w:tcW w:w="3840" w:type="dxa"/>
            <w:vAlign w:val="bottom"/>
          </w:tcPr>
          <w:p>
            <w:pPr>
              <w:ind w:left="660"/>
              <w:spacing w:after="0"/>
              <w:rPr>
                <w:sz w:val="20"/>
                <w:szCs w:val="20"/>
                <w:color w:val="auto"/>
              </w:rPr>
            </w:pPr>
            <w:r>
              <w:rPr>
                <w:rFonts w:ascii="Arial" w:cs="Arial" w:eastAsia="Arial" w:hAnsi="Arial"/>
                <w:sz w:val="18"/>
                <w:szCs w:val="18"/>
                <w:color w:val="auto"/>
                <w:w w:val="96"/>
              </w:rPr>
              <w:t>Composition of Combined Consideration:</w:t>
            </w: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Notwithstanding anything to the contrary in the Equity Definitions, if the composition of Combined</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1"/>
              </w:rPr>
              <w:t>Consideration in respect of any Share-for-Combined Merger Event could be determined by a holder of</w:t>
            </w:r>
          </w:p>
        </w:tc>
      </w:tr>
      <w:tr>
        <w:trPr>
          <w:trHeight w:val="216"/>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Shares, Dealer shall determine the composition of such Combined Consideration assumed for</w:t>
            </w:r>
          </w:p>
        </w:tc>
      </w:tr>
      <w:tr>
        <w:trPr>
          <w:trHeight w:val="230"/>
        </w:trPr>
        <w:tc>
          <w:tcPr>
            <w:tcW w:w="38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purposes</w:t>
            </w:r>
          </w:p>
        </w:tc>
      </w:tr>
      <w:tr>
        <w:trPr>
          <w:trHeight w:val="432"/>
        </w:trPr>
        <w:tc>
          <w:tcPr>
            <w:tcW w:w="384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8</w:t>
            </w:r>
          </w:p>
        </w:tc>
      </w:tr>
      <w:tr>
        <w:trPr>
          <w:trHeight w:val="132"/>
        </w:trPr>
        <w:tc>
          <w:tcPr>
            <w:tcW w:w="38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of adjustments and deliveries hereunder in its sole discretion.</w:t>
            </w:r>
          </w:p>
        </w:tc>
      </w:tr>
      <w:tr>
        <w:trPr>
          <w:trHeight w:val="418"/>
        </w:trPr>
        <w:tc>
          <w:tcPr>
            <w:tcW w:w="3800" w:type="dxa"/>
            <w:vAlign w:val="bottom"/>
            <w:gridSpan w:val="2"/>
          </w:tcPr>
          <w:p>
            <w:pPr>
              <w:ind w:left="660"/>
              <w:spacing w:after="0"/>
              <w:rPr>
                <w:sz w:val="20"/>
                <w:szCs w:val="20"/>
                <w:color w:val="auto"/>
              </w:rPr>
            </w:pPr>
            <w:r>
              <w:rPr>
                <w:rFonts w:ascii="Arial" w:cs="Arial" w:eastAsia="Arial" w:hAnsi="Arial"/>
                <w:sz w:val="18"/>
                <w:szCs w:val="18"/>
                <w:color w:val="auto"/>
                <w:w w:val="99"/>
              </w:rPr>
              <w:t>Nationalization, Insolvency or Delisting:</w:t>
            </w:r>
          </w:p>
        </w:tc>
        <w:tc>
          <w:tcPr>
            <w:tcW w:w="7660" w:type="dxa"/>
            <w:vAlign w:val="bottom"/>
          </w:tcPr>
          <w:p>
            <w:pPr>
              <w:ind w:left="20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addition to the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9"/>
              </w:rPr>
              <w:t>provisions of Section 12.6(a)(iii) of the Equity Definitions, it will also constitute a Delisting if the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Shares are not immediately re-listed, re-traded or re-quoted on any of the New York Stock Exchange,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The NASDAQ Global Select Market or The NASDAQ Global Market (or their respective successors);</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if the Shares are immediately re-listed, re-traded or re-quoted on any such exchange or quotation</w:t>
            </w:r>
          </w:p>
        </w:tc>
      </w:t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system, such exchange or quotation system shall thereafter be deemed to be the Exchange.</w:t>
            </w:r>
          </w:p>
        </w:tc>
      </w:tr>
      <w:tr>
        <w:trPr>
          <w:trHeight w:val="418"/>
        </w:trPr>
        <w:tc>
          <w:tcPr>
            <w:tcW w:w="3800" w:type="dxa"/>
            <w:vAlign w:val="bottom"/>
            <w:gridSpan w:val="2"/>
          </w:tcPr>
          <w:p>
            <w:pPr>
              <w:ind w:left="660"/>
              <w:spacing w:after="0"/>
              <w:rPr>
                <w:sz w:val="20"/>
                <w:szCs w:val="20"/>
                <w:color w:val="auto"/>
              </w:rPr>
            </w:pPr>
            <w:r>
              <w:rPr>
                <w:rFonts w:ascii="Arial" w:cs="Arial" w:eastAsia="Arial" w:hAnsi="Arial"/>
                <w:sz w:val="18"/>
                <w:szCs w:val="18"/>
                <w:color w:val="auto"/>
              </w:rPr>
              <w:t>Additional Termination Event(s):</w:t>
            </w: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Notwithstanding anything to the contrary in the Equity Definitions, if, as a result of an Extraordinary</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6"/>
              </w:rPr>
              <w:t>Event, the Transaction would be cancelled or terminated (whether in whole or in part) pursuant to</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Article 12 of the Equity Definitions, an Additional Termination Event (with the Transaction (or the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cancelled or terminated portion thereof) being the Affected Transaction and Counterparty being the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sole Affected Party) shall be deemed to occur, and, in lieu of Sections 12.7, 12.8 and 12.9 of the</w:t>
            </w:r>
          </w:p>
        </w:tc>
      </w:t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Equity Definitions, Section 6 of the Agreement shall apply to such Affected Transaction.</w:t>
            </w:r>
          </w:p>
        </w:tc>
      </w:tr>
      <w:tr>
        <w:trPr>
          <w:trHeight w:val="432"/>
        </w:trPr>
        <w:tc>
          <w:tcPr>
            <w:tcW w:w="3800" w:type="dxa"/>
            <w:vAlign w:val="bottom"/>
            <w:gridSpan w:val="2"/>
          </w:tcPr>
          <w:p>
            <w:pPr>
              <w:ind w:left="660"/>
              <w:spacing w:after="0"/>
              <w:rPr>
                <w:sz w:val="20"/>
                <w:szCs w:val="20"/>
                <w:color w:val="auto"/>
              </w:rPr>
            </w:pPr>
            <w:r>
              <w:rPr>
                <w:rFonts w:ascii="Arial" w:cs="Arial" w:eastAsia="Arial" w:hAnsi="Arial"/>
                <w:sz w:val="18"/>
                <w:szCs w:val="18"/>
                <w:color w:val="auto"/>
              </w:rPr>
              <w:t>Additional Disruption Events:</w:t>
            </w:r>
          </w:p>
        </w:tc>
        <w:tc>
          <w:tcPr>
            <w:tcW w:w="7660" w:type="dxa"/>
            <w:vAlign w:val="bottom"/>
          </w:tcPr>
          <w:p>
            <w:pPr>
              <w:spacing w:after="0"/>
              <w:rPr>
                <w:sz w:val="24"/>
                <w:szCs w:val="24"/>
                <w:color w:val="auto"/>
              </w:rPr>
            </w:pPr>
          </w:p>
        </w:tc>
      </w:tr>
      <w:tr>
        <w:trPr>
          <w:trHeight w:val="418"/>
        </w:trPr>
        <w:tc>
          <w:tcPr>
            <w:tcW w:w="1240" w:type="dxa"/>
            <w:vAlign w:val="bottom"/>
          </w:tcPr>
          <w:p>
            <w:pPr>
              <w:ind w:left="980"/>
              <w:spacing w:after="0"/>
              <w:rPr>
                <w:sz w:val="20"/>
                <w:szCs w:val="20"/>
                <w:color w:val="auto"/>
              </w:rPr>
            </w:pPr>
            <w:r>
              <w:rPr>
                <w:rFonts w:ascii="Arial" w:cs="Arial" w:eastAsia="Arial" w:hAnsi="Arial"/>
                <w:sz w:val="18"/>
                <w:szCs w:val="18"/>
                <w:color w:val="auto"/>
              </w:rPr>
              <w:t>(a)</w:t>
            </w:r>
          </w:p>
        </w:tc>
        <w:tc>
          <w:tcPr>
            <w:tcW w:w="2560" w:type="dxa"/>
            <w:vAlign w:val="bottom"/>
          </w:tcPr>
          <w:p>
            <w:pPr>
              <w:ind w:left="60"/>
              <w:spacing w:after="0"/>
              <w:rPr>
                <w:sz w:val="20"/>
                <w:szCs w:val="20"/>
                <w:color w:val="auto"/>
              </w:rPr>
            </w:pPr>
            <w:r>
              <w:rPr>
                <w:rFonts w:ascii="Arial" w:cs="Arial" w:eastAsia="Arial" w:hAnsi="Arial"/>
                <w:sz w:val="18"/>
                <w:szCs w:val="18"/>
                <w:color w:val="auto"/>
              </w:rPr>
              <w:t>Change in Law:</w:t>
            </w:r>
          </w:p>
        </w:tc>
        <w:tc>
          <w:tcPr>
            <w:tcW w:w="7660" w:type="dxa"/>
            <w:vAlign w:val="bottom"/>
          </w:tcPr>
          <w:p>
            <w:pPr>
              <w:ind w:left="200"/>
              <w:spacing w:after="0"/>
              <w:rPr>
                <w:sz w:val="20"/>
                <w:szCs w:val="20"/>
                <w:color w:val="auto"/>
              </w:rPr>
            </w:pPr>
            <w:r>
              <w:rPr>
                <w:rFonts w:ascii="Arial" w:cs="Arial" w:eastAsia="Arial" w:hAnsi="Arial"/>
                <w:sz w:val="18"/>
                <w:szCs w:val="18"/>
                <w:color w:val="auto"/>
              </w:rPr>
              <w:t>Applicable; provided that Section 12.9(a)(ii) of the Equity Definitions is hereby amended by</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(i) replacing the phrase “the interpretation” in the third line thereof with the phrase “, or public</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8"/>
              </w:rPr>
              <w:t>announcement of, the formal or informal interpretation”, (ii) by adding the phrase “and/or Hedge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Position” after the word “Shares” in clause (X) thereof and (iii) by immediately following the word</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“Transaction” in clause (X) thereof, adding the phrase “in the manner contemplated by the Hedging</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7"/>
              </w:rPr>
              <w:t>Party on the Trade Date”; and provided further that Section 12.9(a)(ii) of the Equity Definitions is</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2"/>
              </w:rPr>
              <w:t>hereby amended by (i) replacing the parenthetical beginning after the word “regulation” in the second</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line thereof with the phrase “(including, for the avoidance of doubt and without limitation, (x) any tax</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law or (y) adoption or promulgation of new regulations authorized or mandated by existing statute)”</w:t>
            </w: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8"/>
              </w:rPr>
              <w:t>and (ii) adding the words “, or holding, acquiring or disposing of Shares or any Hedge Positions</w:t>
            </w:r>
          </w:p>
        </w:tc>
      </w:t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relating to,” after the words “obligations under” in clause (Y) thereof.</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(b)</w:t>
            </w:r>
          </w:p>
        </w:tc>
        <w:tc>
          <w:tcPr>
            <w:tcW w:w="2560" w:type="dxa"/>
            <w:vAlign w:val="bottom"/>
          </w:tcPr>
          <w:p>
            <w:pPr>
              <w:ind w:left="80"/>
              <w:spacing w:after="0"/>
              <w:rPr>
                <w:sz w:val="20"/>
                <w:szCs w:val="20"/>
                <w:color w:val="auto"/>
              </w:rPr>
            </w:pPr>
            <w:r>
              <w:rPr>
                <w:rFonts w:ascii="Arial" w:cs="Arial" w:eastAsia="Arial" w:hAnsi="Arial"/>
                <w:sz w:val="18"/>
                <w:szCs w:val="18"/>
                <w:color w:val="auto"/>
              </w:rPr>
              <w:t>Failure to Deliver:</w:t>
            </w:r>
          </w:p>
        </w:tc>
        <w:tc>
          <w:tcPr>
            <w:tcW w:w="766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(c)</w:t>
            </w:r>
          </w:p>
        </w:tc>
        <w:tc>
          <w:tcPr>
            <w:tcW w:w="2560" w:type="dxa"/>
            <w:vAlign w:val="bottom"/>
          </w:tcPr>
          <w:p>
            <w:pPr>
              <w:ind w:left="80"/>
              <w:spacing w:after="0"/>
              <w:rPr>
                <w:sz w:val="20"/>
                <w:szCs w:val="20"/>
                <w:color w:val="auto"/>
              </w:rPr>
            </w:pPr>
            <w:r>
              <w:rPr>
                <w:rFonts w:ascii="Arial" w:cs="Arial" w:eastAsia="Arial" w:hAnsi="Arial"/>
                <w:sz w:val="18"/>
                <w:szCs w:val="18"/>
                <w:color w:val="auto"/>
              </w:rPr>
              <w:t>Insolvency Filing:</w:t>
            </w:r>
          </w:p>
        </w:tc>
        <w:tc>
          <w:tcPr>
            <w:tcW w:w="7660" w:type="dxa"/>
            <w:vAlign w:val="bottom"/>
          </w:tcPr>
          <w:p>
            <w:pPr>
              <w:ind w:left="200"/>
              <w:spacing w:after="0"/>
              <w:rPr>
                <w:sz w:val="20"/>
                <w:szCs w:val="20"/>
                <w:color w:val="auto"/>
              </w:rPr>
            </w:pPr>
            <w:r>
              <w:rPr>
                <w:rFonts w:ascii="Arial" w:cs="Arial" w:eastAsia="Arial" w:hAnsi="Arial"/>
                <w:sz w:val="18"/>
                <w:szCs w:val="18"/>
                <w:color w:val="auto"/>
              </w:rPr>
              <w:t>Applicable</w:t>
            </w:r>
          </w:p>
        </w:tc>
      </w:tr>
      <w:tr>
        <w:trPr>
          <w:trHeight w:val="432"/>
        </w:trPr>
        <w:tc>
          <w:tcPr>
            <w:tcW w:w="1240" w:type="dxa"/>
            <w:vAlign w:val="bottom"/>
          </w:tcPr>
          <w:p>
            <w:pPr>
              <w:ind w:left="980"/>
              <w:spacing w:after="0"/>
              <w:rPr>
                <w:sz w:val="20"/>
                <w:szCs w:val="20"/>
                <w:color w:val="auto"/>
              </w:rPr>
            </w:pPr>
            <w:r>
              <w:rPr>
                <w:rFonts w:ascii="Arial" w:cs="Arial" w:eastAsia="Arial" w:hAnsi="Arial"/>
                <w:sz w:val="18"/>
                <w:szCs w:val="18"/>
                <w:color w:val="auto"/>
              </w:rPr>
              <w:t>(d)</w:t>
            </w:r>
          </w:p>
        </w:tc>
        <w:tc>
          <w:tcPr>
            <w:tcW w:w="2560" w:type="dxa"/>
            <w:vAlign w:val="bottom"/>
          </w:tcPr>
          <w:p>
            <w:pPr>
              <w:ind w:left="80"/>
              <w:spacing w:after="0"/>
              <w:rPr>
                <w:sz w:val="20"/>
                <w:szCs w:val="20"/>
                <w:color w:val="auto"/>
              </w:rPr>
            </w:pPr>
            <w:r>
              <w:rPr>
                <w:rFonts w:ascii="Arial" w:cs="Arial" w:eastAsia="Arial" w:hAnsi="Arial"/>
                <w:sz w:val="18"/>
                <w:szCs w:val="18"/>
                <w:color w:val="auto"/>
              </w:rPr>
              <w:t>Hedging Disruption:</w:t>
            </w:r>
          </w:p>
        </w:tc>
        <w:tc>
          <w:tcPr>
            <w:tcW w:w="7660" w:type="dxa"/>
            <w:vAlign w:val="bottom"/>
          </w:tcPr>
          <w:p>
            <w:pPr>
              <w:ind w:left="20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32"/>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9</w:t>
            </w:r>
          </w:p>
        </w:tc>
      </w:tr>
      <w:tr>
        <w:trPr>
          <w:trHeight w:val="132"/>
        </w:trPr>
        <w:tc>
          <w:tcPr>
            <w:tcW w:w="12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  Section 12.9(a)(v) of the Equity Definitions is hereby amended by</w:t>
            </w:r>
          </w:p>
        </w:tc>
      </w:tr>
      <w:tr>
        <w:trPr>
          <w:trHeight w:val="418"/>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w w:val="95"/>
              </w:rPr>
              <w:t>(a)  inserting the following words at the end of clause (A) thereof: “in the manner contemplated</w:t>
            </w:r>
          </w:p>
        </w:tc>
      </w:tr>
      <w:tr>
        <w:trPr>
          <w:trHeight w:val="230"/>
        </w:trPr>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by the Hedging Party on the Trade Date” and</w:t>
            </w:r>
          </w:p>
        </w:tc>
      </w:tr>
      <w:tr>
        <w:trPr>
          <w:trHeight w:val="432"/>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rPr>
              <w:t>(b)  inserting the following sentence at the end of such Section:</w:t>
            </w:r>
          </w:p>
        </w:tc>
      </w:tr>
      <w:tr>
        <w:trPr>
          <w:trHeight w:val="418"/>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5"/>
              </w:rPr>
              <w:t>“For the avoidance of doubt, (i) the term “equity price risk” shall be deemed to include, but</w:t>
            </w:r>
          </w:p>
        </w:tc>
      </w:tr>
      <w:tr>
        <w:trPr>
          <w:trHeight w:val="216"/>
        </w:trPr>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shall not be limited to, stock price and volatility risk, and (ii) the transactions or assets</w:t>
            </w:r>
          </w:p>
        </w:tc>
      </w:tr>
      <w:tr>
        <w:trPr>
          <w:trHeight w:val="216"/>
        </w:trPr>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w w:val="92"/>
              </w:rPr>
              <w:t>referred to in phrases (A) or (B) above must be available on commercially reasonable pricing</w:t>
            </w:r>
          </w:p>
        </w:tc>
      </w:tr>
      <w:tr>
        <w:trPr>
          <w:trHeight w:val="230"/>
        </w:trPr>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Arial" w:cs="Arial" w:eastAsia="Arial" w:hAnsi="Arial"/>
                <w:sz w:val="18"/>
                <w:szCs w:val="18"/>
                <w:color w:val="auto"/>
              </w:rPr>
              <w:t>and other terms.”; and</w:t>
            </w:r>
          </w:p>
        </w:tc>
      </w:tr>
      <w:tr>
        <w:trPr>
          <w:trHeight w:val="418"/>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9"/>
              </w:rPr>
              <w:t>(ii)  Section 12.9(b)(iii) of the Equity Definitions is hereby amended by inserting in the third line</w:t>
            </w:r>
          </w:p>
        </w:tc>
      </w:tr>
      <w:tr>
        <w:trPr>
          <w:trHeight w:val="216"/>
        </w:trPr>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w w:val="93"/>
              </w:rPr>
              <w:t>thereof, after the words “to terminate the Transaction”, the words “or a portion of the Transaction</w:t>
            </w:r>
          </w:p>
        </w:tc>
      </w:tr>
      <w:tr>
        <w:trPr>
          <w:trHeight w:val="230"/>
        </w:trPr>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rPr>
              <w:t>affected by such Hedging Disruption”.</w:t>
            </w:r>
          </w:p>
        </w:tc>
      </w:tr>
      <w:tr>
        <w:trPr>
          <w:trHeight w:val="418"/>
        </w:trPr>
        <w:tc>
          <w:tcPr>
            <w:tcW w:w="98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  Increased Cost of Hedging:</w:t>
            </w:r>
          </w:p>
        </w:tc>
        <w:tc>
          <w:tcPr>
            <w:tcW w:w="7620" w:type="dxa"/>
            <w:vAlign w:val="bottom"/>
          </w:tcPr>
          <w:p>
            <w:pPr>
              <w:ind w:left="16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the following parenthetical shall be inserted immediately following the word</w:t>
            </w:r>
          </w:p>
        </w:tc>
      </w:tr>
      <w:tr>
        <w:trPr>
          <w:trHeight w:val="216"/>
        </w:trPr>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“expense” in the third line of Section 12.9(a)(vi) of the Equity Definitions: “(including, for the</w:t>
            </w:r>
          </w:p>
        </w:tc>
      </w:tr>
      <w:tr>
        <w:trPr>
          <w:trHeight w:val="216"/>
        </w:trPr>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avoidance of doubt, the incurrence of any stock borrow expense in excess of Hedging Party’s</w:t>
            </w:r>
          </w:p>
        </w:tc>
      </w:tr>
      <w:tr>
        <w:trPr>
          <w:trHeight w:val="216"/>
        </w:trPr>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4"/>
              </w:rPr>
              <w:t>expectation as of the Trade Date, other than to the extent resulting from an Increased Cost of Stock</w:t>
            </w:r>
          </w:p>
        </w:tc>
      </w:tr>
      <w:tr>
        <w:trPr>
          <w:trHeight w:val="230"/>
        </w:trPr>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Borrow)”.</w:t>
            </w:r>
          </w:p>
        </w:tc>
      </w:tr>
      <w:tr>
        <w:trPr>
          <w:trHeight w:val="432"/>
        </w:trPr>
        <w:tc>
          <w:tcPr>
            <w:tcW w:w="98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  Loss of Stock Borrow:</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32"/>
        </w:trPr>
        <w:tc>
          <w:tcPr>
            <w:tcW w:w="980" w:type="dxa"/>
            <w:vAlign w:val="bottom"/>
          </w:tcPr>
          <w:p>
            <w:pPr>
              <w:spacing w:after="0"/>
              <w:rPr>
                <w:sz w:val="24"/>
                <w:szCs w:val="24"/>
                <w:color w:val="auto"/>
              </w:rPr>
            </w:pPr>
          </w:p>
        </w:tc>
        <w:tc>
          <w:tcPr>
            <w:tcW w:w="2860" w:type="dxa"/>
            <w:vAlign w:val="bottom"/>
            <w:gridSpan w:val="2"/>
          </w:tcPr>
          <w:p>
            <w:pPr>
              <w:ind w:left="320"/>
              <w:spacing w:after="0"/>
              <w:rPr>
                <w:sz w:val="20"/>
                <w:szCs w:val="20"/>
                <w:color w:val="auto"/>
              </w:rPr>
            </w:pPr>
            <w:r>
              <w:rPr>
                <w:rFonts w:ascii="Arial" w:cs="Arial" w:eastAsia="Arial" w:hAnsi="Arial"/>
                <w:sz w:val="18"/>
                <w:szCs w:val="18"/>
                <w:color w:val="auto"/>
              </w:rPr>
              <w:t>Maximum Stock Loan Rate:</w:t>
            </w:r>
          </w:p>
        </w:tc>
        <w:tc>
          <w:tcPr>
            <w:tcW w:w="7620" w:type="dxa"/>
            <w:vAlign w:val="bottom"/>
          </w:tcPr>
          <w:p>
            <w:pPr>
              <w:ind w:left="160"/>
              <w:spacing w:after="0"/>
              <w:rPr>
                <w:sz w:val="20"/>
                <w:szCs w:val="20"/>
                <w:color w:val="auto"/>
              </w:rPr>
            </w:pPr>
            <w:r>
              <w:rPr>
                <w:rFonts w:ascii="Arial" w:cs="Arial" w:eastAsia="Arial" w:hAnsi="Arial"/>
                <w:sz w:val="18"/>
                <w:szCs w:val="18"/>
                <w:color w:val="auto"/>
              </w:rPr>
              <w:t>2.00% per annum</w:t>
            </w:r>
          </w:p>
        </w:tc>
      </w:tr>
      <w:tr>
        <w:trPr>
          <w:trHeight w:val="432"/>
        </w:trPr>
        <w:tc>
          <w:tcPr>
            <w:tcW w:w="98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7"/>
              </w:rPr>
              <w:t>(g)  Increased Cost of Stock Borrow:</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32"/>
        </w:trPr>
        <w:tc>
          <w:tcPr>
            <w:tcW w:w="980" w:type="dxa"/>
            <w:vAlign w:val="bottom"/>
          </w:tcPr>
          <w:p>
            <w:pPr>
              <w:spacing w:after="0"/>
              <w:rPr>
                <w:sz w:val="24"/>
                <w:szCs w:val="24"/>
                <w:color w:val="auto"/>
              </w:rPr>
            </w:pPr>
          </w:p>
        </w:tc>
        <w:tc>
          <w:tcPr>
            <w:tcW w:w="2860" w:type="dxa"/>
            <w:vAlign w:val="bottom"/>
            <w:gridSpan w:val="2"/>
          </w:tcPr>
          <w:p>
            <w:pPr>
              <w:ind w:left="320"/>
              <w:spacing w:after="0"/>
              <w:rPr>
                <w:sz w:val="20"/>
                <w:szCs w:val="20"/>
                <w:color w:val="auto"/>
              </w:rPr>
            </w:pPr>
            <w:r>
              <w:rPr>
                <w:rFonts w:ascii="Arial" w:cs="Arial" w:eastAsia="Arial" w:hAnsi="Arial"/>
                <w:sz w:val="18"/>
                <w:szCs w:val="18"/>
                <w:color w:val="auto"/>
              </w:rPr>
              <w:t>Initial Stock Loan Rate:</w:t>
            </w:r>
          </w:p>
        </w:tc>
        <w:tc>
          <w:tcPr>
            <w:tcW w:w="7620" w:type="dxa"/>
            <w:vAlign w:val="bottom"/>
          </w:tcPr>
          <w:p>
            <w:pPr>
              <w:ind w:left="160"/>
              <w:spacing w:after="0"/>
              <w:rPr>
                <w:sz w:val="20"/>
                <w:szCs w:val="20"/>
                <w:color w:val="auto"/>
              </w:rPr>
            </w:pPr>
            <w:r>
              <w:rPr>
                <w:rFonts w:ascii="Arial" w:cs="Arial" w:eastAsia="Arial" w:hAnsi="Arial"/>
                <w:sz w:val="18"/>
                <w:szCs w:val="18"/>
                <w:color w:val="auto"/>
              </w:rPr>
              <w:t>Prior to April 2, 2025, 0% per annum, and thereafter, 0.25% per annum.</w:t>
            </w:r>
          </w:p>
        </w:tc>
      </w:tr>
      <w:tr>
        <w:trPr>
          <w:trHeight w:val="432"/>
        </w:trPr>
        <w:tc>
          <w:tcPr>
            <w:tcW w:w="3840" w:type="dxa"/>
            <w:vAlign w:val="bottom"/>
            <w:gridSpan w:val="3"/>
          </w:tcPr>
          <w:p>
            <w:pPr>
              <w:ind w:left="660"/>
              <w:spacing w:after="0"/>
              <w:rPr>
                <w:sz w:val="20"/>
                <w:szCs w:val="20"/>
                <w:color w:val="auto"/>
              </w:rPr>
            </w:pPr>
            <w:r>
              <w:rPr>
                <w:rFonts w:ascii="Arial" w:cs="Arial" w:eastAsia="Arial" w:hAnsi="Arial"/>
                <w:sz w:val="18"/>
                <w:szCs w:val="18"/>
                <w:color w:val="auto"/>
              </w:rPr>
              <w:t>Hedging Party:</w:t>
            </w:r>
          </w:p>
        </w:tc>
        <w:tc>
          <w:tcPr>
            <w:tcW w:w="7620" w:type="dxa"/>
            <w:vAlign w:val="bottom"/>
          </w:tcPr>
          <w:p>
            <w:pPr>
              <w:ind w:left="16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432"/>
        </w:trPr>
        <w:tc>
          <w:tcPr>
            <w:tcW w:w="3840" w:type="dxa"/>
            <w:vAlign w:val="bottom"/>
            <w:gridSpan w:val="3"/>
          </w:tcPr>
          <w:p>
            <w:pPr>
              <w:ind w:left="660"/>
              <w:spacing w:after="0"/>
              <w:rPr>
                <w:sz w:val="20"/>
                <w:szCs w:val="20"/>
                <w:color w:val="auto"/>
              </w:rPr>
            </w:pPr>
            <w:r>
              <w:rPr>
                <w:rFonts w:ascii="Arial" w:cs="Arial" w:eastAsia="Arial" w:hAnsi="Arial"/>
                <w:sz w:val="18"/>
                <w:szCs w:val="18"/>
                <w:color w:val="auto"/>
              </w:rPr>
              <w:t>Determining Party:</w:t>
            </w:r>
          </w:p>
        </w:tc>
        <w:tc>
          <w:tcPr>
            <w:tcW w:w="7620" w:type="dxa"/>
            <w:vAlign w:val="bottom"/>
          </w:tcPr>
          <w:p>
            <w:pPr>
              <w:ind w:left="16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432"/>
        </w:trPr>
        <w:tc>
          <w:tcPr>
            <w:tcW w:w="3840" w:type="dxa"/>
            <w:vAlign w:val="bottom"/>
            <w:gridSpan w:val="3"/>
          </w:tcPr>
          <w:p>
            <w:pPr>
              <w:ind w:left="660"/>
              <w:spacing w:after="0"/>
              <w:rPr>
                <w:sz w:val="20"/>
                <w:szCs w:val="20"/>
                <w:color w:val="auto"/>
              </w:rPr>
            </w:pPr>
            <w:r>
              <w:rPr>
                <w:rFonts w:ascii="Arial" w:cs="Arial" w:eastAsia="Arial" w:hAnsi="Arial"/>
                <w:sz w:val="18"/>
                <w:szCs w:val="18"/>
                <w:color w:val="auto"/>
              </w:rPr>
              <w:t>Non-Reliance:</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18"/>
        </w:trPr>
        <w:tc>
          <w:tcPr>
            <w:tcW w:w="3840" w:type="dxa"/>
            <w:vAlign w:val="bottom"/>
            <w:gridSpan w:val="3"/>
          </w:tcPr>
          <w:p>
            <w:pPr>
              <w:ind w:left="660"/>
              <w:spacing w:after="0"/>
              <w:rPr>
                <w:sz w:val="20"/>
                <w:szCs w:val="20"/>
                <w:color w:val="auto"/>
              </w:rPr>
            </w:pPr>
            <w:r>
              <w:rPr>
                <w:rFonts w:ascii="Arial" w:cs="Arial" w:eastAsia="Arial" w:hAnsi="Arial"/>
                <w:sz w:val="18"/>
                <w:szCs w:val="18"/>
                <w:color w:val="auto"/>
              </w:rPr>
              <w:t>Agreements and Acknowledgments</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230"/>
        </w:trPr>
        <w:tc>
          <w:tcPr>
            <w:tcW w:w="3840" w:type="dxa"/>
            <w:vAlign w:val="bottom"/>
            <w:gridSpan w:val="3"/>
          </w:tcPr>
          <w:p>
            <w:pPr>
              <w:ind w:left="660"/>
              <w:spacing w:after="0"/>
              <w:rPr>
                <w:sz w:val="20"/>
                <w:szCs w:val="20"/>
                <w:color w:val="auto"/>
              </w:rPr>
            </w:pPr>
            <w:r>
              <w:rPr>
                <w:rFonts w:ascii="Arial" w:cs="Arial" w:eastAsia="Arial" w:hAnsi="Arial"/>
                <w:sz w:val="18"/>
                <w:szCs w:val="18"/>
                <w:color w:val="auto"/>
              </w:rPr>
              <w:t>Regarding Hedging Activities:</w:t>
            </w:r>
          </w:p>
        </w:tc>
        <w:tc>
          <w:tcPr>
            <w:tcW w:w="7620" w:type="dxa"/>
            <w:vAlign w:val="bottom"/>
          </w:tcPr>
          <w:p>
            <w:pPr>
              <w:spacing w:after="0"/>
              <w:rPr>
                <w:sz w:val="20"/>
                <w:szCs w:val="20"/>
                <w:color w:val="auto"/>
              </w:rPr>
            </w:pPr>
          </w:p>
        </w:tc>
      </w:tr>
      <w:tr>
        <w:trPr>
          <w:trHeight w:val="432"/>
        </w:trPr>
        <w:tc>
          <w:tcPr>
            <w:tcW w:w="3840" w:type="dxa"/>
            <w:vAlign w:val="bottom"/>
            <w:gridSpan w:val="3"/>
          </w:tcPr>
          <w:p>
            <w:pPr>
              <w:ind w:left="660"/>
              <w:spacing w:after="0"/>
              <w:rPr>
                <w:sz w:val="20"/>
                <w:szCs w:val="20"/>
                <w:color w:val="auto"/>
              </w:rPr>
            </w:pPr>
            <w:r>
              <w:rPr>
                <w:rFonts w:ascii="Arial" w:cs="Arial" w:eastAsia="Arial" w:hAnsi="Arial"/>
                <w:sz w:val="18"/>
                <w:szCs w:val="18"/>
                <w:color w:val="auto"/>
              </w:rPr>
              <w:t>Additional Acknowledgments:</w:t>
            </w:r>
          </w:p>
        </w:tc>
        <w:tc>
          <w:tcPr>
            <w:tcW w:w="76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392"/>
        </w:trPr>
        <w:tc>
          <w:tcPr>
            <w:tcW w:w="3840" w:type="dxa"/>
            <w:vAlign w:val="bottom"/>
            <w:gridSpan w:val="3"/>
          </w:tcPr>
          <w:p>
            <w:pPr>
              <w:ind w:left="660"/>
              <w:spacing w:after="0"/>
              <w:rPr>
                <w:sz w:val="20"/>
                <w:szCs w:val="20"/>
                <w:color w:val="auto"/>
              </w:rPr>
            </w:pPr>
            <w:r>
              <w:rPr>
                <w:rFonts w:ascii="Arial" w:cs="Arial" w:eastAsia="Arial" w:hAnsi="Arial"/>
                <w:sz w:val="18"/>
                <w:szCs w:val="18"/>
                <w:color w:val="auto"/>
              </w:rPr>
              <w:t>3.  Calculation Agent:</w:t>
            </w:r>
          </w:p>
        </w:tc>
        <w:tc>
          <w:tcPr>
            <w:tcW w:w="7620" w:type="dxa"/>
            <w:vAlign w:val="bottom"/>
          </w:tcPr>
          <w:p>
            <w:pPr>
              <w:ind w:left="160"/>
              <w:spacing w:after="0"/>
              <w:rPr>
                <w:sz w:val="20"/>
                <w:szCs w:val="20"/>
                <w:color w:val="auto"/>
              </w:rPr>
            </w:pPr>
            <w:r>
              <w:rPr>
                <w:rFonts w:ascii="Arial" w:cs="Arial" w:eastAsia="Arial" w:hAnsi="Arial"/>
                <w:sz w:val="18"/>
                <w:szCs w:val="18"/>
                <w:color w:val="auto"/>
              </w:rPr>
              <w:t>Dealer.</w:t>
            </w:r>
          </w:p>
        </w:tc>
      </w:tr>
      <w:tr>
        <w:trPr>
          <w:trHeight w:val="453"/>
        </w:trPr>
        <w:tc>
          <w:tcPr>
            <w:tcW w:w="9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ind w:left="1780"/>
              <w:spacing w:after="0"/>
              <w:rPr>
                <w:sz w:val="20"/>
                <w:szCs w:val="20"/>
                <w:color w:val="auto"/>
              </w:rPr>
            </w:pPr>
            <w:r>
              <w:rPr>
                <w:rFonts w:ascii="Arial" w:cs="Arial" w:eastAsia="Arial" w:hAnsi="Arial"/>
                <w:sz w:val="18"/>
                <w:szCs w:val="18"/>
                <w:color w:val="auto"/>
              </w:rPr>
              <w:t>10</w:t>
            </w:r>
          </w:p>
        </w:tc>
      </w:tr>
      <w:tr>
        <w:trPr>
          <w:trHeight w:val="132"/>
        </w:trPr>
        <w:tc>
          <w:tcPr>
            <w:tcW w:w="9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51" w:name="page352"/>
    <w:bookmarkEnd w:id="351"/>
    <w:p>
      <w:pPr>
        <w:ind w:left="980" w:hanging="324"/>
        <w:spacing w:after="0"/>
        <w:tabs>
          <w:tab w:leader="none" w:pos="98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Account Details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Dealer Payment Instructions: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Bank: Bank of New York</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ABA#: 021000018</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A/C#: 8661062712</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Acct Name — BMO Nesbitt Burns</w:t>
      </w:r>
    </w:p>
    <w:p>
      <w:pPr>
        <w:spacing w:after="0" w:line="21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Account for delivery of Shares to Dealer: To be provided by Dealer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Counterparty Payment Instructions: To be provided by Counterparty.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right="340"/>
        <w:spacing w:after="0" w:line="277" w:lineRule="auto"/>
        <w:rPr>
          <w:rFonts w:ascii="Arial" w:cs="Arial" w:eastAsia="Arial" w:hAnsi="Arial"/>
          <w:sz w:val="18"/>
          <w:szCs w:val="18"/>
          <w:color w:val="auto"/>
        </w:rPr>
      </w:pPr>
      <w:r>
        <w:rPr>
          <w:rFonts w:ascii="Arial" w:cs="Arial" w:eastAsia="Arial" w:hAnsi="Arial"/>
          <w:sz w:val="18"/>
          <w:szCs w:val="18"/>
          <w:color w:val="auto"/>
        </w:rPr>
        <w:t>Dealer is a Multibranch Party and for purposes of this Confirmation and each Transaction, may act through its London, Chicago and Toronto Offices.</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Office of Counterparty for the Transaction is: Inapplicable, Counterparty is not a Multibranch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13200 Pioneer Trail, Suite 150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Eden Prarie, MN 55347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Bert Jameson, Treasurer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Address for notices or communications to Dealer: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ind w:left="1300"/>
              <w:spacing w:after="0"/>
              <w:rPr>
                <w:sz w:val="20"/>
                <w:szCs w:val="20"/>
                <w:color w:val="auto"/>
              </w:rPr>
            </w:pPr>
            <w:r>
              <w:rPr>
                <w:rFonts w:ascii="Arial" w:cs="Arial" w:eastAsia="Arial" w:hAnsi="Arial"/>
                <w:sz w:val="18"/>
                <w:szCs w:val="18"/>
                <w:color w:val="auto"/>
              </w:rPr>
              <w:t>To:</w:t>
            </w:r>
          </w:p>
        </w:tc>
        <w:tc>
          <w:tcPr>
            <w:tcW w:w="8640" w:type="dxa"/>
            <w:vAlign w:val="bottom"/>
          </w:tcPr>
          <w:p>
            <w:pPr>
              <w:ind w:left="380"/>
              <w:spacing w:after="0"/>
              <w:rPr>
                <w:sz w:val="20"/>
                <w:szCs w:val="20"/>
                <w:color w:val="auto"/>
              </w:rPr>
            </w:pPr>
            <w:r>
              <w:rPr>
                <w:rFonts w:ascii="Arial" w:cs="Arial" w:eastAsia="Arial" w:hAnsi="Arial"/>
                <w:sz w:val="18"/>
                <w:szCs w:val="18"/>
                <w:color w:val="auto"/>
              </w:rPr>
              <w:t>Bank of Montreal</w:t>
            </w:r>
          </w:p>
        </w:tc>
      </w:tr>
      <w:tr>
        <w:trPr>
          <w:trHeight w:val="216"/>
        </w:trPr>
        <w:tc>
          <w:tcPr>
            <w:tcW w:w="2820" w:type="dxa"/>
            <w:vAlign w:val="bottom"/>
          </w:tcPr>
          <w:p>
            <w:pPr>
              <w:spacing w:after="0"/>
              <w:rPr>
                <w:sz w:val="18"/>
                <w:szCs w:val="18"/>
                <w:color w:val="auto"/>
              </w:rPr>
            </w:pPr>
          </w:p>
        </w:tc>
        <w:tc>
          <w:tcPr>
            <w:tcW w:w="8640" w:type="dxa"/>
            <w:vAlign w:val="bottom"/>
          </w:tcPr>
          <w:p>
            <w:pPr>
              <w:ind w:left="380"/>
              <w:spacing w:after="0" w:line="216" w:lineRule="exact"/>
              <w:rPr>
                <w:sz w:val="20"/>
                <w:szCs w:val="20"/>
                <w:color w:val="auto"/>
              </w:rPr>
            </w:pPr>
            <w:r>
              <w:rPr>
                <w:rFonts w:ascii="Arial" w:cs="Arial" w:eastAsia="Arial" w:hAnsi="Arial"/>
                <w:sz w:val="18"/>
                <w:szCs w:val="18"/>
                <w:color w:val="auto"/>
              </w:rPr>
              <w:t>55 Bloor Street West,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2820" w:type="dxa"/>
            <w:vAlign w:val="bottom"/>
          </w:tcPr>
          <w:p>
            <w:pPr>
              <w:spacing w:after="0"/>
              <w:rPr>
                <w:sz w:val="18"/>
                <w:szCs w:val="18"/>
                <w:color w:val="auto"/>
              </w:rPr>
            </w:pPr>
          </w:p>
        </w:tc>
        <w:tc>
          <w:tcPr>
            <w:tcW w:w="8640" w:type="dxa"/>
            <w:vAlign w:val="bottom"/>
          </w:tcPr>
          <w:p>
            <w:pPr>
              <w:ind w:left="380"/>
              <w:spacing w:after="0"/>
              <w:rPr>
                <w:sz w:val="20"/>
                <w:szCs w:val="20"/>
                <w:color w:val="auto"/>
              </w:rPr>
            </w:pPr>
            <w:r>
              <w:rPr>
                <w:rFonts w:ascii="Arial" w:cs="Arial" w:eastAsia="Arial" w:hAnsi="Arial"/>
                <w:sz w:val="18"/>
                <w:szCs w:val="18"/>
                <w:color w:val="auto"/>
              </w:rPr>
              <w:t>Toronto, Ontario M4W 1A5</w:t>
            </w:r>
          </w:p>
        </w:tc>
      </w:tr>
      <w:tr>
        <w:trPr>
          <w:trHeight w:val="216"/>
        </w:trPr>
        <w:tc>
          <w:tcPr>
            <w:tcW w:w="2820" w:type="dxa"/>
            <w:vAlign w:val="bottom"/>
          </w:tcPr>
          <w:p>
            <w:pPr>
              <w:spacing w:after="0"/>
              <w:rPr>
                <w:sz w:val="18"/>
                <w:szCs w:val="18"/>
                <w:color w:val="auto"/>
              </w:rPr>
            </w:pPr>
          </w:p>
        </w:tc>
        <w:tc>
          <w:tcPr>
            <w:tcW w:w="8640" w:type="dxa"/>
            <w:vAlign w:val="bottom"/>
          </w:tcPr>
          <w:p>
            <w:pPr>
              <w:ind w:left="380"/>
              <w:spacing w:after="0"/>
              <w:rPr>
                <w:sz w:val="20"/>
                <w:szCs w:val="20"/>
                <w:color w:val="auto"/>
              </w:rPr>
            </w:pPr>
            <w:r>
              <w:rPr>
                <w:rFonts w:ascii="Arial" w:cs="Arial" w:eastAsia="Arial" w:hAnsi="Arial"/>
                <w:sz w:val="18"/>
                <w:szCs w:val="18"/>
                <w:color w:val="auto"/>
              </w:rPr>
              <w:t>Canada</w:t>
            </w:r>
          </w:p>
        </w:tc>
      </w:tr>
      <w:tr>
        <w:trPr>
          <w:trHeight w:val="216"/>
        </w:trPr>
        <w:tc>
          <w:tcPr>
            <w:tcW w:w="2820" w:type="dxa"/>
            <w:vAlign w:val="bottom"/>
          </w:tcPr>
          <w:p>
            <w:pPr>
              <w:ind w:left="1300"/>
              <w:spacing w:after="0"/>
              <w:rPr>
                <w:sz w:val="20"/>
                <w:szCs w:val="20"/>
                <w:color w:val="auto"/>
              </w:rPr>
            </w:pPr>
            <w:r>
              <w:rPr>
                <w:rFonts w:ascii="Arial" w:cs="Arial" w:eastAsia="Arial" w:hAnsi="Arial"/>
                <w:sz w:val="18"/>
                <w:szCs w:val="18"/>
                <w:color w:val="auto"/>
              </w:rPr>
              <w:t>Attn:</w:t>
            </w:r>
          </w:p>
        </w:tc>
        <w:tc>
          <w:tcPr>
            <w:tcW w:w="8640" w:type="dxa"/>
            <w:vAlign w:val="bottom"/>
          </w:tcPr>
          <w:p>
            <w:pPr>
              <w:ind w:left="380"/>
              <w:spacing w:after="0"/>
              <w:rPr>
                <w:sz w:val="20"/>
                <w:szCs w:val="20"/>
                <w:color w:val="auto"/>
              </w:rPr>
            </w:pPr>
            <w:r>
              <w:rPr>
                <w:rFonts w:ascii="Arial" w:cs="Arial" w:eastAsia="Arial" w:hAnsi="Arial"/>
                <w:sz w:val="18"/>
                <w:szCs w:val="18"/>
                <w:color w:val="auto"/>
              </w:rPr>
              <w:t>Manager, Derivatives Operations</w:t>
            </w:r>
          </w:p>
        </w:tc>
      </w:tr>
      <w:tr>
        <w:trPr>
          <w:trHeight w:val="216"/>
        </w:trPr>
        <w:tc>
          <w:tcPr>
            <w:tcW w:w="2820" w:type="dxa"/>
            <w:vAlign w:val="bottom"/>
          </w:tcPr>
          <w:p>
            <w:pPr>
              <w:ind w:left="1300"/>
              <w:spacing w:after="0"/>
              <w:rPr>
                <w:sz w:val="20"/>
                <w:szCs w:val="20"/>
                <w:color w:val="auto"/>
              </w:rPr>
            </w:pPr>
            <w:r>
              <w:rPr>
                <w:rFonts w:ascii="Arial" w:cs="Arial" w:eastAsia="Arial" w:hAnsi="Arial"/>
                <w:sz w:val="18"/>
                <w:szCs w:val="18"/>
                <w:color w:val="auto"/>
              </w:rPr>
              <w:t>Telephone:</w:t>
            </w:r>
          </w:p>
        </w:tc>
        <w:tc>
          <w:tcPr>
            <w:tcW w:w="8640" w:type="dxa"/>
            <w:vAlign w:val="bottom"/>
          </w:tcPr>
          <w:p>
            <w:pPr>
              <w:ind w:left="380"/>
              <w:spacing w:after="0"/>
              <w:rPr>
                <w:sz w:val="20"/>
                <w:szCs w:val="20"/>
                <w:color w:val="auto"/>
              </w:rPr>
            </w:pPr>
            <w:r>
              <w:rPr>
                <w:rFonts w:ascii="Arial" w:cs="Arial" w:eastAsia="Arial" w:hAnsi="Arial"/>
                <w:sz w:val="18"/>
                <w:szCs w:val="18"/>
                <w:color w:val="auto"/>
              </w:rPr>
              <w:t>(416) 552-7904</w:t>
            </w:r>
          </w:p>
        </w:tc>
      </w:tr>
      <w:tr>
        <w:trPr>
          <w:trHeight w:val="230"/>
        </w:trPr>
        <w:tc>
          <w:tcPr>
            <w:tcW w:w="2820" w:type="dxa"/>
            <w:vAlign w:val="bottom"/>
          </w:tcPr>
          <w:p>
            <w:pPr>
              <w:ind w:left="1300"/>
              <w:spacing w:after="0"/>
              <w:rPr>
                <w:sz w:val="20"/>
                <w:szCs w:val="20"/>
                <w:color w:val="auto"/>
              </w:rPr>
            </w:pPr>
            <w:r>
              <w:rPr>
                <w:rFonts w:ascii="Arial" w:cs="Arial" w:eastAsia="Arial" w:hAnsi="Arial"/>
                <w:sz w:val="18"/>
                <w:szCs w:val="18"/>
                <w:color w:val="auto"/>
              </w:rPr>
              <w:t>Facsimile:</w:t>
            </w:r>
          </w:p>
        </w:tc>
        <w:tc>
          <w:tcPr>
            <w:tcW w:w="8640" w:type="dxa"/>
            <w:vAlign w:val="bottom"/>
          </w:tcPr>
          <w:p>
            <w:pPr>
              <w:ind w:left="380"/>
              <w:spacing w:after="0"/>
              <w:rPr>
                <w:sz w:val="20"/>
                <w:szCs w:val="20"/>
                <w:color w:val="auto"/>
              </w:rPr>
            </w:pPr>
            <w:r>
              <w:rPr>
                <w:rFonts w:ascii="Arial" w:cs="Arial" w:eastAsia="Arial" w:hAnsi="Arial"/>
                <w:sz w:val="18"/>
                <w:szCs w:val="18"/>
                <w:color w:val="auto"/>
              </w:rPr>
              <w:t>(416) 552-4177</w:t>
            </w:r>
          </w:p>
        </w:tc>
      </w:tr>
      <w:tr>
        <w:trPr>
          <w:trHeight w:val="432"/>
        </w:trPr>
        <w:tc>
          <w:tcPr>
            <w:tcW w:w="2820" w:type="dxa"/>
            <w:vAlign w:val="bottom"/>
          </w:tcPr>
          <w:p>
            <w:pPr>
              <w:ind w:left="1300"/>
              <w:spacing w:after="0"/>
              <w:rPr>
                <w:sz w:val="20"/>
                <w:szCs w:val="20"/>
                <w:color w:val="auto"/>
              </w:rPr>
            </w:pPr>
            <w:r>
              <w:rPr>
                <w:rFonts w:ascii="Arial" w:cs="Arial" w:eastAsia="Arial" w:hAnsi="Arial"/>
                <w:sz w:val="18"/>
                <w:szCs w:val="18"/>
                <w:color w:val="auto"/>
              </w:rPr>
              <w:t>With a copy to:</w:t>
            </w:r>
          </w:p>
        </w:tc>
        <w:tc>
          <w:tcPr>
            <w:tcW w:w="8640" w:type="dxa"/>
            <w:vAlign w:val="bottom"/>
          </w:tcPr>
          <w:p>
            <w:pPr>
              <w:spacing w:after="0"/>
              <w:rPr>
                <w:sz w:val="24"/>
                <w:szCs w:val="24"/>
                <w:color w:val="auto"/>
              </w:rPr>
            </w:pPr>
          </w:p>
        </w:tc>
      </w:tr>
      <w:tr>
        <w:trPr>
          <w:trHeight w:val="418"/>
        </w:trPr>
        <w:tc>
          <w:tcPr>
            <w:tcW w:w="2820" w:type="dxa"/>
            <w:vAlign w:val="bottom"/>
          </w:tcPr>
          <w:p>
            <w:pPr>
              <w:ind w:left="1300"/>
              <w:spacing w:after="0"/>
              <w:rPr>
                <w:sz w:val="20"/>
                <w:szCs w:val="20"/>
                <w:color w:val="auto"/>
              </w:rPr>
            </w:pPr>
            <w:r>
              <w:rPr>
                <w:rFonts w:ascii="Arial" w:cs="Arial" w:eastAsia="Arial" w:hAnsi="Arial"/>
                <w:sz w:val="18"/>
                <w:szCs w:val="18"/>
                <w:color w:val="auto"/>
              </w:rPr>
              <w:t>To:</w:t>
            </w:r>
          </w:p>
        </w:tc>
        <w:tc>
          <w:tcPr>
            <w:tcW w:w="8640" w:type="dxa"/>
            <w:vAlign w:val="bottom"/>
          </w:tcPr>
          <w:p>
            <w:pPr>
              <w:ind w:left="380"/>
              <w:spacing w:after="0"/>
              <w:rPr>
                <w:sz w:val="20"/>
                <w:szCs w:val="20"/>
                <w:color w:val="auto"/>
              </w:rPr>
            </w:pPr>
            <w:r>
              <w:rPr>
                <w:rFonts w:ascii="Arial" w:cs="Arial" w:eastAsia="Arial" w:hAnsi="Arial"/>
                <w:sz w:val="18"/>
                <w:szCs w:val="18"/>
                <w:color w:val="auto"/>
              </w:rPr>
              <w:t>Bank of Montreal</w:t>
            </w:r>
          </w:p>
        </w:tc>
      </w:tr>
      <w:tr>
        <w:trPr>
          <w:trHeight w:val="216"/>
        </w:trPr>
        <w:tc>
          <w:tcPr>
            <w:tcW w:w="2820" w:type="dxa"/>
            <w:vAlign w:val="bottom"/>
          </w:tcPr>
          <w:p>
            <w:pPr>
              <w:spacing w:after="0"/>
              <w:rPr>
                <w:sz w:val="18"/>
                <w:szCs w:val="18"/>
                <w:color w:val="auto"/>
              </w:rPr>
            </w:pPr>
          </w:p>
        </w:tc>
        <w:tc>
          <w:tcPr>
            <w:tcW w:w="8640" w:type="dxa"/>
            <w:vAlign w:val="bottom"/>
          </w:tcPr>
          <w:p>
            <w:pPr>
              <w:ind w:left="380"/>
              <w:spacing w:after="0" w:line="216" w:lineRule="exact"/>
              <w:rPr>
                <w:sz w:val="20"/>
                <w:szCs w:val="20"/>
                <w:color w:val="auto"/>
              </w:rPr>
            </w:pPr>
            <w:r>
              <w:rPr>
                <w:rFonts w:ascii="Arial" w:cs="Arial" w:eastAsia="Arial" w:hAnsi="Arial"/>
                <w:sz w:val="18"/>
                <w:szCs w:val="18"/>
                <w:color w:val="auto"/>
              </w:rPr>
              <w:t>100 King Street West,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2820" w:type="dxa"/>
            <w:vAlign w:val="bottom"/>
          </w:tcPr>
          <w:p>
            <w:pPr>
              <w:spacing w:after="0"/>
              <w:rPr>
                <w:sz w:val="18"/>
                <w:szCs w:val="18"/>
                <w:color w:val="auto"/>
              </w:rPr>
            </w:pPr>
          </w:p>
        </w:tc>
        <w:tc>
          <w:tcPr>
            <w:tcW w:w="8640" w:type="dxa"/>
            <w:vAlign w:val="bottom"/>
          </w:tcPr>
          <w:p>
            <w:pPr>
              <w:ind w:left="380"/>
              <w:spacing w:after="0"/>
              <w:rPr>
                <w:sz w:val="20"/>
                <w:szCs w:val="20"/>
                <w:color w:val="auto"/>
              </w:rPr>
            </w:pPr>
            <w:r>
              <w:rPr>
                <w:rFonts w:ascii="Arial" w:cs="Arial" w:eastAsia="Arial" w:hAnsi="Arial"/>
                <w:sz w:val="18"/>
                <w:szCs w:val="18"/>
                <w:color w:val="auto"/>
              </w:rPr>
              <w:t>Toronto, Ontario M5X 1A1</w:t>
            </w:r>
          </w:p>
        </w:tc>
      </w:tr>
      <w:tr>
        <w:trPr>
          <w:trHeight w:val="216"/>
        </w:trPr>
        <w:tc>
          <w:tcPr>
            <w:tcW w:w="2820" w:type="dxa"/>
            <w:vAlign w:val="bottom"/>
          </w:tcPr>
          <w:p>
            <w:pPr>
              <w:spacing w:after="0"/>
              <w:rPr>
                <w:sz w:val="18"/>
                <w:szCs w:val="18"/>
                <w:color w:val="auto"/>
              </w:rPr>
            </w:pPr>
          </w:p>
        </w:tc>
        <w:tc>
          <w:tcPr>
            <w:tcW w:w="8640" w:type="dxa"/>
            <w:vAlign w:val="bottom"/>
          </w:tcPr>
          <w:p>
            <w:pPr>
              <w:ind w:left="380"/>
              <w:spacing w:after="0"/>
              <w:rPr>
                <w:sz w:val="20"/>
                <w:szCs w:val="20"/>
                <w:color w:val="auto"/>
              </w:rPr>
            </w:pPr>
            <w:r>
              <w:rPr>
                <w:rFonts w:ascii="Arial" w:cs="Arial" w:eastAsia="Arial" w:hAnsi="Arial"/>
                <w:sz w:val="18"/>
                <w:szCs w:val="18"/>
                <w:color w:val="auto"/>
              </w:rPr>
              <w:t>Canada</w:t>
            </w:r>
          </w:p>
        </w:tc>
      </w:tr>
      <w:tr>
        <w:trPr>
          <w:trHeight w:val="216"/>
        </w:trPr>
        <w:tc>
          <w:tcPr>
            <w:tcW w:w="2820" w:type="dxa"/>
            <w:vAlign w:val="bottom"/>
          </w:tcPr>
          <w:p>
            <w:pPr>
              <w:ind w:left="1300"/>
              <w:spacing w:after="0"/>
              <w:rPr>
                <w:sz w:val="20"/>
                <w:szCs w:val="20"/>
                <w:color w:val="auto"/>
              </w:rPr>
            </w:pPr>
            <w:r>
              <w:rPr>
                <w:rFonts w:ascii="Arial" w:cs="Arial" w:eastAsia="Arial" w:hAnsi="Arial"/>
                <w:sz w:val="18"/>
                <w:szCs w:val="18"/>
                <w:color w:val="auto"/>
              </w:rPr>
              <w:t>Attn:</w:t>
            </w:r>
          </w:p>
        </w:tc>
        <w:tc>
          <w:tcPr>
            <w:tcW w:w="8640" w:type="dxa"/>
            <w:vAlign w:val="bottom"/>
          </w:tcPr>
          <w:p>
            <w:pPr>
              <w:ind w:left="380"/>
              <w:spacing w:after="0"/>
              <w:rPr>
                <w:sz w:val="20"/>
                <w:szCs w:val="20"/>
                <w:color w:val="auto"/>
              </w:rPr>
            </w:pPr>
            <w:r>
              <w:rPr>
                <w:rFonts w:ascii="Arial" w:cs="Arial" w:eastAsia="Arial" w:hAnsi="Arial"/>
                <w:sz w:val="18"/>
                <w:szCs w:val="18"/>
                <w:color w:val="auto"/>
              </w:rPr>
              <w:t>Associate General Counsel &amp; Managing Director, Derivatives Legal Group</w:t>
            </w:r>
          </w:p>
        </w:tc>
      </w:tr>
      <w:tr>
        <w:trPr>
          <w:trHeight w:val="230"/>
        </w:trPr>
        <w:tc>
          <w:tcPr>
            <w:tcW w:w="2820" w:type="dxa"/>
            <w:vAlign w:val="bottom"/>
          </w:tcPr>
          <w:p>
            <w:pPr>
              <w:ind w:left="1300"/>
              <w:spacing w:after="0"/>
              <w:rPr>
                <w:sz w:val="20"/>
                <w:szCs w:val="20"/>
                <w:color w:val="auto"/>
              </w:rPr>
            </w:pPr>
            <w:r>
              <w:rPr>
                <w:rFonts w:ascii="Arial" w:cs="Arial" w:eastAsia="Arial" w:hAnsi="Arial"/>
                <w:sz w:val="18"/>
                <w:szCs w:val="18"/>
                <w:color w:val="auto"/>
              </w:rPr>
              <w:t>Facsimile:</w:t>
            </w:r>
          </w:p>
        </w:tc>
        <w:tc>
          <w:tcPr>
            <w:tcW w:w="8640" w:type="dxa"/>
            <w:vAlign w:val="bottom"/>
          </w:tcPr>
          <w:p>
            <w:pPr>
              <w:ind w:left="380"/>
              <w:spacing w:after="0"/>
              <w:rPr>
                <w:sz w:val="20"/>
                <w:szCs w:val="20"/>
                <w:color w:val="auto"/>
              </w:rPr>
            </w:pPr>
            <w:r>
              <w:rPr>
                <w:rFonts w:ascii="Arial" w:cs="Arial" w:eastAsia="Arial" w:hAnsi="Arial"/>
                <w:sz w:val="18"/>
                <w:szCs w:val="18"/>
                <w:color w:val="auto"/>
              </w:rPr>
              <w:t>(416) 956-2318</w:t>
            </w:r>
          </w:p>
        </w:tc>
      </w:tr>
      <w:tr>
        <w:trPr>
          <w:trHeight w:val="432"/>
        </w:trPr>
        <w:tc>
          <w:tcPr>
            <w:tcW w:w="2820" w:type="dxa"/>
            <w:vAlign w:val="bottom"/>
          </w:tcPr>
          <w:p>
            <w:pPr>
              <w:ind w:left="1300"/>
              <w:spacing w:after="0"/>
              <w:rPr>
                <w:sz w:val="20"/>
                <w:szCs w:val="20"/>
                <w:color w:val="auto"/>
              </w:rPr>
            </w:pPr>
            <w:r>
              <w:rPr>
                <w:rFonts w:ascii="Arial" w:cs="Arial" w:eastAsia="Arial" w:hAnsi="Arial"/>
                <w:sz w:val="18"/>
                <w:szCs w:val="18"/>
                <w:color w:val="auto"/>
              </w:rPr>
              <w:t>And a copy to:</w:t>
            </w:r>
          </w:p>
        </w:tc>
        <w:tc>
          <w:tcPr>
            <w:tcW w:w="8640" w:type="dxa"/>
            <w:vAlign w:val="bottom"/>
          </w:tcPr>
          <w:p>
            <w:pPr>
              <w:spacing w:after="0"/>
              <w:rPr>
                <w:sz w:val="24"/>
                <w:szCs w:val="24"/>
                <w:color w:val="auto"/>
              </w:rPr>
            </w:pPr>
          </w:p>
        </w:tc>
      </w:tr>
      <w:tr>
        <w:trPr>
          <w:trHeight w:val="418"/>
        </w:trPr>
        <w:tc>
          <w:tcPr>
            <w:tcW w:w="2820" w:type="dxa"/>
            <w:vAlign w:val="bottom"/>
          </w:tcPr>
          <w:p>
            <w:pPr>
              <w:ind w:left="1300"/>
              <w:spacing w:after="0"/>
              <w:rPr>
                <w:sz w:val="20"/>
                <w:szCs w:val="20"/>
                <w:color w:val="auto"/>
              </w:rPr>
            </w:pPr>
            <w:r>
              <w:rPr>
                <w:rFonts w:ascii="Arial" w:cs="Arial" w:eastAsia="Arial" w:hAnsi="Arial"/>
                <w:sz w:val="18"/>
                <w:szCs w:val="18"/>
                <w:color w:val="auto"/>
              </w:rPr>
              <w:t>To:</w:t>
            </w:r>
          </w:p>
        </w:tc>
        <w:tc>
          <w:tcPr>
            <w:tcW w:w="8640" w:type="dxa"/>
            <w:vAlign w:val="bottom"/>
          </w:tcPr>
          <w:p>
            <w:pPr>
              <w:ind w:left="380"/>
              <w:spacing w:after="0"/>
              <w:rPr>
                <w:sz w:val="20"/>
                <w:szCs w:val="20"/>
                <w:color w:val="auto"/>
              </w:rPr>
            </w:pPr>
            <w:r>
              <w:rPr>
                <w:rFonts w:ascii="Arial" w:cs="Arial" w:eastAsia="Arial" w:hAnsi="Arial"/>
                <w:sz w:val="18"/>
                <w:szCs w:val="18"/>
                <w:color w:val="auto"/>
              </w:rPr>
              <w:t>BMO Capital Markets Corp.</w:t>
            </w:r>
          </w:p>
        </w:tc>
      </w:tr>
      <w:tr>
        <w:trPr>
          <w:trHeight w:val="216"/>
        </w:trPr>
        <w:tc>
          <w:tcPr>
            <w:tcW w:w="2820" w:type="dxa"/>
            <w:vAlign w:val="bottom"/>
          </w:tcPr>
          <w:p>
            <w:pPr>
              <w:spacing w:after="0"/>
              <w:rPr>
                <w:sz w:val="18"/>
                <w:szCs w:val="18"/>
                <w:color w:val="auto"/>
              </w:rPr>
            </w:pPr>
          </w:p>
        </w:tc>
        <w:tc>
          <w:tcPr>
            <w:tcW w:w="8640" w:type="dxa"/>
            <w:vAlign w:val="bottom"/>
          </w:tcPr>
          <w:p>
            <w:pPr>
              <w:ind w:left="380"/>
              <w:spacing w:after="0" w:line="216" w:lineRule="exact"/>
              <w:rPr>
                <w:sz w:val="20"/>
                <w:szCs w:val="20"/>
                <w:color w:val="auto"/>
              </w:rPr>
            </w:pPr>
            <w:r>
              <w:rPr>
                <w:rFonts w:ascii="Arial" w:cs="Arial" w:eastAsia="Arial" w:hAnsi="Arial"/>
                <w:sz w:val="18"/>
                <w:szCs w:val="18"/>
                <w:color w:val="auto"/>
              </w:rPr>
              <w:t>3 Times Square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2820" w:type="dxa"/>
            <w:vAlign w:val="bottom"/>
          </w:tcPr>
          <w:p>
            <w:pPr>
              <w:spacing w:after="0"/>
              <w:rPr>
                <w:sz w:val="18"/>
                <w:szCs w:val="18"/>
                <w:color w:val="auto"/>
              </w:rPr>
            </w:pPr>
          </w:p>
        </w:tc>
        <w:tc>
          <w:tcPr>
            <w:tcW w:w="8640" w:type="dxa"/>
            <w:vAlign w:val="bottom"/>
          </w:tcPr>
          <w:p>
            <w:pPr>
              <w:ind w:left="380"/>
              <w:spacing w:after="0"/>
              <w:rPr>
                <w:sz w:val="20"/>
                <w:szCs w:val="20"/>
                <w:color w:val="auto"/>
              </w:rPr>
            </w:pPr>
            <w:r>
              <w:rPr>
                <w:rFonts w:ascii="Arial" w:cs="Arial" w:eastAsia="Arial" w:hAnsi="Arial"/>
                <w:sz w:val="18"/>
                <w:szCs w:val="18"/>
                <w:color w:val="auto"/>
              </w:rPr>
              <w:t>New York, New York 10036</w:t>
            </w:r>
          </w:p>
        </w:tc>
      </w:tr>
      <w:tr>
        <w:trPr>
          <w:trHeight w:val="216"/>
        </w:trPr>
        <w:tc>
          <w:tcPr>
            <w:tcW w:w="2820" w:type="dxa"/>
            <w:vAlign w:val="bottom"/>
          </w:tcPr>
          <w:p>
            <w:pPr>
              <w:ind w:left="1300"/>
              <w:spacing w:after="0"/>
              <w:rPr>
                <w:sz w:val="20"/>
                <w:szCs w:val="20"/>
                <w:color w:val="auto"/>
              </w:rPr>
            </w:pPr>
            <w:r>
              <w:rPr>
                <w:rFonts w:ascii="Arial" w:cs="Arial" w:eastAsia="Arial" w:hAnsi="Arial"/>
                <w:sz w:val="18"/>
                <w:szCs w:val="18"/>
                <w:color w:val="auto"/>
              </w:rPr>
              <w:t>Attn:</w:t>
            </w:r>
          </w:p>
        </w:tc>
        <w:tc>
          <w:tcPr>
            <w:tcW w:w="8640" w:type="dxa"/>
            <w:vAlign w:val="bottom"/>
          </w:tcPr>
          <w:p>
            <w:pPr>
              <w:ind w:left="380"/>
              <w:spacing w:after="0"/>
              <w:rPr>
                <w:sz w:val="20"/>
                <w:szCs w:val="20"/>
                <w:color w:val="auto"/>
              </w:rPr>
            </w:pPr>
            <w:r>
              <w:rPr>
                <w:rFonts w:ascii="Arial" w:cs="Arial" w:eastAsia="Arial" w:hAnsi="Arial"/>
                <w:sz w:val="18"/>
                <w:szCs w:val="18"/>
                <w:color w:val="auto"/>
              </w:rPr>
              <w:t>Brian Riley</w:t>
            </w:r>
          </w:p>
        </w:tc>
      </w:tr>
      <w:tr>
        <w:trPr>
          <w:trHeight w:val="216"/>
        </w:trPr>
        <w:tc>
          <w:tcPr>
            <w:tcW w:w="2820" w:type="dxa"/>
            <w:vAlign w:val="bottom"/>
          </w:tcPr>
          <w:p>
            <w:pPr>
              <w:ind w:left="1300"/>
              <w:spacing w:after="0"/>
              <w:rPr>
                <w:sz w:val="20"/>
                <w:szCs w:val="20"/>
                <w:color w:val="auto"/>
              </w:rPr>
            </w:pPr>
            <w:r>
              <w:rPr>
                <w:rFonts w:ascii="Arial" w:cs="Arial" w:eastAsia="Arial" w:hAnsi="Arial"/>
                <w:sz w:val="18"/>
                <w:szCs w:val="18"/>
                <w:color w:val="auto"/>
              </w:rPr>
              <w:t>Telephone:</w:t>
            </w:r>
          </w:p>
        </w:tc>
        <w:tc>
          <w:tcPr>
            <w:tcW w:w="8640" w:type="dxa"/>
            <w:vAlign w:val="bottom"/>
          </w:tcPr>
          <w:p>
            <w:pPr>
              <w:ind w:left="380"/>
              <w:spacing w:after="0"/>
              <w:rPr>
                <w:sz w:val="20"/>
                <w:szCs w:val="20"/>
                <w:color w:val="auto"/>
              </w:rPr>
            </w:pPr>
            <w:r>
              <w:rPr>
                <w:rFonts w:ascii="Arial" w:cs="Arial" w:eastAsia="Arial" w:hAnsi="Arial"/>
                <w:sz w:val="18"/>
                <w:szCs w:val="18"/>
                <w:color w:val="auto"/>
              </w:rPr>
              <w:t>(212) 605-1414</w:t>
            </w:r>
          </w:p>
        </w:tc>
      </w:tr>
      <w:tr>
        <w:trPr>
          <w:trHeight w:val="230"/>
        </w:trPr>
        <w:tc>
          <w:tcPr>
            <w:tcW w:w="2820" w:type="dxa"/>
            <w:vAlign w:val="bottom"/>
          </w:tcPr>
          <w:p>
            <w:pPr>
              <w:ind w:left="1300"/>
              <w:spacing w:after="0"/>
              <w:rPr>
                <w:sz w:val="20"/>
                <w:szCs w:val="20"/>
                <w:color w:val="auto"/>
              </w:rPr>
            </w:pPr>
            <w:r>
              <w:rPr>
                <w:rFonts w:ascii="Arial" w:cs="Arial" w:eastAsia="Arial" w:hAnsi="Arial"/>
                <w:sz w:val="18"/>
                <w:szCs w:val="18"/>
                <w:color w:val="auto"/>
              </w:rPr>
              <w:t>Facsimile:</w:t>
            </w:r>
          </w:p>
        </w:tc>
        <w:tc>
          <w:tcPr>
            <w:tcW w:w="8640" w:type="dxa"/>
            <w:vAlign w:val="bottom"/>
          </w:tcPr>
          <w:p>
            <w:pPr>
              <w:ind w:left="380"/>
              <w:spacing w:after="0"/>
              <w:rPr>
                <w:sz w:val="20"/>
                <w:szCs w:val="20"/>
                <w:color w:val="auto"/>
              </w:rPr>
            </w:pPr>
            <w:r>
              <w:rPr>
                <w:rFonts w:ascii="Arial" w:cs="Arial" w:eastAsia="Arial" w:hAnsi="Arial"/>
                <w:sz w:val="18"/>
                <w:szCs w:val="18"/>
                <w:color w:val="auto"/>
              </w:rPr>
              <w:t>(212) 885-4165</w:t>
            </w:r>
          </w:p>
        </w:tc>
      </w:tr>
      <w:tr>
        <w:trPr>
          <w:trHeight w:val="432"/>
        </w:trPr>
        <w:tc>
          <w:tcPr>
            <w:tcW w:w="2820" w:type="dxa"/>
            <w:vAlign w:val="bottom"/>
          </w:tcPr>
          <w:p>
            <w:pPr>
              <w:spacing w:after="0"/>
              <w:rPr>
                <w:sz w:val="24"/>
                <w:szCs w:val="24"/>
                <w:color w:val="auto"/>
              </w:rPr>
            </w:pPr>
          </w:p>
        </w:tc>
        <w:tc>
          <w:tcPr>
            <w:tcW w:w="8640" w:type="dxa"/>
            <w:vAlign w:val="bottom"/>
          </w:tcPr>
          <w:p>
            <w:pPr>
              <w:ind w:left="2800"/>
              <w:spacing w:after="0"/>
              <w:rPr>
                <w:sz w:val="20"/>
                <w:szCs w:val="20"/>
                <w:color w:val="auto"/>
              </w:rPr>
            </w:pPr>
            <w:r>
              <w:rPr>
                <w:rFonts w:ascii="Arial" w:cs="Arial" w:eastAsia="Arial" w:hAnsi="Arial"/>
                <w:sz w:val="18"/>
                <w:szCs w:val="18"/>
                <w:color w:val="auto"/>
              </w:rPr>
              <w:t>11</w:t>
            </w:r>
          </w:p>
        </w:tc>
      </w:tr>
      <w:tr>
        <w:trPr>
          <w:trHeight w:val="132"/>
        </w:trPr>
        <w:tc>
          <w:tcPr>
            <w:tcW w:w="2820" w:type="dxa"/>
            <w:vAlign w:val="bottom"/>
            <w:tcBorders>
              <w:bottom w:val="single" w:sz="8" w:color="808080"/>
            </w:tcBorders>
          </w:tcPr>
          <w:p>
            <w:pPr>
              <w:spacing w:after="0"/>
              <w:rPr>
                <w:sz w:val="11"/>
                <w:szCs w:val="11"/>
                <w:color w:val="auto"/>
              </w:rPr>
            </w:pPr>
          </w:p>
        </w:tc>
        <w:tc>
          <w:tcPr>
            <w:tcW w:w="86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52" w:name="page353"/>
    <w:bookmarkEnd w:id="352"/>
    <w:p>
      <w:pPr>
        <w:ind w:left="960" w:hanging="324"/>
        <w:spacing w:after="0"/>
        <w:tabs>
          <w:tab w:leader="none" w:pos="96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left="-20" w:right="500" w:firstLine="656"/>
        <w:spacing w:after="0" w:line="277" w:lineRule="auto"/>
        <w:tabs>
          <w:tab w:leader="none" w:pos="127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40" w:right="40" w:firstLine="645"/>
        <w:spacing w:after="0" w:line="255" w:lineRule="auto"/>
        <w:tabs>
          <w:tab w:leader="none" w:pos="1958" w:val="left"/>
        </w:tabs>
        <w:numPr>
          <w:ilvl w:val="1"/>
          <w:numId w:val="378"/>
        </w:numPr>
        <w:rPr>
          <w:rFonts w:ascii="Arial" w:cs="Arial" w:eastAsia="Arial" w:hAnsi="Arial"/>
          <w:sz w:val="18"/>
          <w:szCs w:val="18"/>
          <w:color w:val="auto"/>
        </w:rPr>
      </w:pPr>
      <w:r>
        <w:rPr>
          <w:rFonts w:ascii="Arial" w:cs="Arial" w:eastAsia="Arial" w:hAnsi="Arial"/>
          <w:sz w:val="18"/>
          <w:szCs w:val="18"/>
          <w:color w:val="auto"/>
        </w:rPr>
        <w:t>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ind w:left="640" w:firstLine="645"/>
        <w:spacing w:after="0" w:line="257" w:lineRule="auto"/>
        <w:tabs>
          <w:tab w:leader="none" w:pos="1967"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188" w:lineRule="exact"/>
        <w:rPr>
          <w:rFonts w:ascii="Arial" w:cs="Arial" w:eastAsia="Arial" w:hAnsi="Arial"/>
          <w:sz w:val="18"/>
          <w:szCs w:val="18"/>
          <w:color w:val="auto"/>
        </w:rPr>
      </w:pPr>
    </w:p>
    <w:p>
      <w:pPr>
        <w:ind w:left="640" w:right="240" w:firstLine="645"/>
        <w:spacing w:after="0" w:line="297" w:lineRule="auto"/>
        <w:tabs>
          <w:tab w:leader="none" w:pos="1977" w:val="left"/>
        </w:tabs>
        <w:numPr>
          <w:ilvl w:val="1"/>
          <w:numId w:val="378"/>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490.1110 of the Iowa Business Corporation Act as an “interested stockholder”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spacing w:after="0" w:line="158" w:lineRule="exact"/>
        <w:rPr>
          <w:rFonts w:ascii="Arial" w:cs="Arial" w:eastAsia="Arial" w:hAnsi="Arial"/>
          <w:sz w:val="16"/>
          <w:szCs w:val="16"/>
          <w:color w:val="auto"/>
        </w:rPr>
      </w:pPr>
    </w:p>
    <w:p>
      <w:pPr>
        <w:ind w:left="640" w:right="40" w:firstLine="645"/>
        <w:spacing w:after="0" w:line="264" w:lineRule="auto"/>
        <w:tabs>
          <w:tab w:leader="none" w:pos="1953" w:val="left"/>
        </w:tabs>
        <w:numPr>
          <w:ilvl w:val="1"/>
          <w:numId w:val="378"/>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40" w:right="800" w:firstLine="645"/>
        <w:spacing w:after="0" w:line="277" w:lineRule="auto"/>
        <w:tabs>
          <w:tab w:leader="none" w:pos="194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40" w:right="300" w:firstLine="645"/>
        <w:spacing w:after="0" w:line="291" w:lineRule="auto"/>
        <w:tabs>
          <w:tab w:leader="none" w:pos="1953" w:val="left"/>
        </w:tabs>
        <w:numPr>
          <w:ilvl w:val="1"/>
          <w:numId w:val="378"/>
        </w:numPr>
        <w:rPr>
          <w:rFonts w:ascii="Arial" w:cs="Arial" w:eastAsia="Arial" w:hAnsi="Arial"/>
          <w:sz w:val="16"/>
          <w:szCs w:val="16"/>
          <w:color w:val="auto"/>
        </w:rPr>
      </w:pPr>
      <w:r>
        <w:rPr>
          <w:rFonts w:ascii="Arial" w:cs="Arial" w:eastAsia="Arial" w:hAnsi="Arial"/>
          <w:sz w:val="16"/>
          <w:szCs w:val="16"/>
          <w:color w:val="auto"/>
        </w:rPr>
        <w:t>On the Trade Date and the Premium Payment Date (A) the assets of Counterparty at their fair valuation exceed the liabilities of Counterparty, including contingent liabilities, (B) the capital of Counterparty is adequate to conduct the business of Counterparty and</w:t>
      </w:r>
    </w:p>
    <w:p>
      <w:pPr>
        <w:ind w:left="640" w:right="320"/>
        <w:spacing w:after="0" w:line="261" w:lineRule="auto"/>
        <w:rPr>
          <w:rFonts w:ascii="Arial" w:cs="Arial" w:eastAsia="Arial" w:hAnsi="Arial"/>
          <w:sz w:val="16"/>
          <w:szCs w:val="16"/>
          <w:color w:val="auto"/>
        </w:rPr>
      </w:pPr>
      <w:r>
        <w:rPr>
          <w:rFonts w:ascii="Arial" w:cs="Arial" w:eastAsia="Arial" w:hAnsi="Arial"/>
          <w:sz w:val="18"/>
          <w:szCs w:val="18"/>
          <w:color w:val="auto"/>
        </w:rPr>
        <w:t>(C) Counterparty has the ability to pay its debts and obligations as such debts mature and does not intend to, or does not believe that it will, incur debt beyond its ability to pay as such debts mature.</w:t>
      </w:r>
    </w:p>
    <w:p>
      <w:pPr>
        <w:spacing w:after="0" w:line="183" w:lineRule="exact"/>
        <w:rPr>
          <w:rFonts w:ascii="Arial" w:cs="Arial" w:eastAsia="Arial" w:hAnsi="Arial"/>
          <w:sz w:val="16"/>
          <w:szCs w:val="16"/>
          <w:color w:val="auto"/>
        </w:rPr>
      </w:pPr>
    </w:p>
    <w:p>
      <w:pPr>
        <w:ind w:left="640" w:firstLine="645"/>
        <w:spacing w:after="0" w:line="264" w:lineRule="auto"/>
        <w:tabs>
          <w:tab w:leader="none" w:pos="1963"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Counterparty shall not take any action to decrease the number of Available Shares below the Capped Number (each as defined below, but without giving effect to the limitation on adjustments to the Capped Number set forth in the proviso in the first sentence of Section </w:t>
      </w:r>
      <w:r>
        <w:rPr>
          <w:rFonts w:ascii="Arial" w:cs="Arial" w:eastAsia="Arial" w:hAnsi="Arial"/>
          <w:sz w:val="18"/>
          <w:szCs w:val="18"/>
          <w:b w:val="1"/>
          <w:bCs w:val="1"/>
          <w:color w:val="auto"/>
        </w:rPr>
        <w:t>Error!</w:t>
      </w:r>
      <w:r>
        <w:rPr>
          <w:rFonts w:ascii="Arial" w:cs="Arial" w:eastAsia="Arial" w:hAnsi="Arial"/>
          <w:sz w:val="18"/>
          <w:szCs w:val="18"/>
          <w:color w:val="auto"/>
        </w:rPr>
        <w:t xml:space="preserve"> </w:t>
      </w:r>
      <w:r>
        <w:rPr>
          <w:rFonts w:ascii="Arial" w:cs="Arial" w:eastAsia="Arial" w:hAnsi="Arial"/>
          <w:sz w:val="18"/>
          <w:szCs w:val="18"/>
          <w:b w:val="1"/>
          <w:bCs w:val="1"/>
          <w:color w:val="auto"/>
        </w:rPr>
        <w:t>Reference source not found.</w:t>
      </w:r>
      <w:r>
        <w:rPr>
          <w:rFonts w:ascii="Arial" w:cs="Arial" w:eastAsia="Arial" w:hAnsi="Arial"/>
          <w:sz w:val="18"/>
          <w:szCs w:val="18"/>
          <w:color w:val="auto"/>
        </w:rPr>
        <w:t>8(f)).</w:t>
      </w:r>
    </w:p>
    <w:p>
      <w:pPr>
        <w:spacing w:after="0" w:line="181" w:lineRule="exact"/>
        <w:rPr>
          <w:rFonts w:ascii="Arial" w:cs="Arial" w:eastAsia="Arial" w:hAnsi="Arial"/>
          <w:sz w:val="18"/>
          <w:szCs w:val="18"/>
          <w:color w:val="auto"/>
        </w:rPr>
      </w:pPr>
    </w:p>
    <w:p>
      <w:pPr>
        <w:ind w:left="640" w:right="580" w:firstLine="645"/>
        <w:spacing w:after="0" w:line="259" w:lineRule="auto"/>
        <w:tabs>
          <w:tab w:leader="none" w:pos="197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representations and warranties of Counterparty set forth in Section 3 of the Agreement and Section 1 of the Purchase Agreement dated as of the Trade Date between Goldman Sachs &amp; Co. LLC and BMO Capital Markets Corp. as the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Initial Purchasers and Counterparty (the “</w:t>
      </w:r>
      <w:r>
        <w:rPr>
          <w:rFonts w:ascii="Arial" w:cs="Arial" w:eastAsia="Arial" w:hAnsi="Arial"/>
          <w:sz w:val="18"/>
          <w:szCs w:val="18"/>
          <w:b w:val="1"/>
          <w:bCs w:val="1"/>
          <w:color w:val="auto"/>
        </w:rPr>
        <w:t>Purchase Agreement</w:t>
      </w:r>
      <w:r>
        <w:rPr>
          <w:rFonts w:ascii="Arial" w:cs="Arial" w:eastAsia="Arial" w:hAnsi="Arial"/>
          <w:sz w:val="18"/>
          <w:szCs w:val="18"/>
          <w:color w:val="auto"/>
        </w:rPr>
        <w:t>”) are true and correct as of the Trade Date and the Effective Date and are hereby deemed to be repeated to Dealer as if set forth 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353" w:name="page354"/>
    <w:bookmarkEnd w:id="353"/>
    <w:p>
      <w:pPr>
        <w:ind w:left="4" w:right="20" w:firstLine="645"/>
        <w:spacing w:after="0" w:line="274" w:lineRule="auto"/>
        <w:tabs>
          <w:tab w:leader="none" w:pos="1317" w:val="left"/>
        </w:tabs>
        <w:numPr>
          <w:ilvl w:val="1"/>
          <w:numId w:val="379"/>
        </w:numPr>
        <w:rPr>
          <w:rFonts w:ascii="Arial" w:cs="Arial" w:eastAsia="Arial" w:hAnsi="Arial"/>
          <w:sz w:val="17"/>
          <w:szCs w:val="17"/>
          <w:color w:val="auto"/>
        </w:rPr>
      </w:pPr>
      <w:r>
        <w:rPr>
          <w:rFonts w:ascii="Arial" w:cs="Arial" w:eastAsia="Arial" w:hAnsi="Arial"/>
          <w:sz w:val="17"/>
          <w:szCs w:val="17"/>
          <w:color w:val="auto"/>
        </w:rPr>
        <w:t>(x) (A) On the Trade Date,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and</w:t>
      </w:r>
    </w:p>
    <w:p>
      <w:pPr>
        <w:ind w:left="4" w:hanging="4"/>
        <w:spacing w:after="0" w:line="270" w:lineRule="auto"/>
        <w:tabs>
          <w:tab w:leader="none" w:pos="289" w:val="left"/>
        </w:tabs>
        <w:numPr>
          <w:ilvl w:val="0"/>
          <w:numId w:val="380"/>
        </w:numPr>
        <w:rPr>
          <w:rFonts w:ascii="Arial" w:cs="Arial" w:eastAsia="Arial" w:hAnsi="Arial"/>
          <w:sz w:val="17"/>
          <w:szCs w:val="17"/>
          <w:color w:val="auto"/>
        </w:rPr>
      </w:pPr>
      <w:r>
        <w:rPr>
          <w:rFonts w:ascii="Arial" w:cs="Arial" w:eastAsia="Arial" w:hAnsi="Arial"/>
          <w:sz w:val="17"/>
          <w:szCs w:val="17"/>
          <w:color w:val="auto"/>
        </w:rPr>
        <w:t>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Arial" w:cs="Arial" w:eastAsia="Arial" w:hAnsi="Arial"/>
          <w:sz w:val="17"/>
          <w:szCs w:val="17"/>
          <w:b w:val="1"/>
          <w:bCs w:val="1"/>
          <w:color w:val="auto"/>
        </w:rPr>
        <w:t>Settlement Period</w:t>
      </w:r>
      <w:r>
        <w:rPr>
          <w:rFonts w:ascii="Arial" w:cs="Arial" w:eastAsia="Arial" w:hAnsi="Arial"/>
          <w:sz w:val="17"/>
          <w:szCs w:val="17"/>
          <w:color w:val="auto"/>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spacing w:after="0" w:line="178" w:lineRule="exact"/>
        <w:rPr>
          <w:rFonts w:ascii="Arial" w:cs="Arial" w:eastAsia="Arial" w:hAnsi="Arial"/>
          <w:sz w:val="17"/>
          <w:szCs w:val="17"/>
          <w:color w:val="auto"/>
        </w:rPr>
      </w:pPr>
    </w:p>
    <w:p>
      <w:pPr>
        <w:ind w:left="4" w:right="160" w:firstLine="645"/>
        <w:spacing w:after="0" w:line="297" w:lineRule="auto"/>
        <w:tabs>
          <w:tab w:leader="none" w:pos="1308" w:val="left"/>
        </w:tabs>
        <w:numPr>
          <w:ilvl w:val="1"/>
          <w:numId w:val="380"/>
        </w:numPr>
        <w:rPr>
          <w:rFonts w:ascii="Arial" w:cs="Arial" w:eastAsia="Arial" w:hAnsi="Arial"/>
          <w:sz w:val="16"/>
          <w:szCs w:val="16"/>
          <w:color w:val="auto"/>
        </w:rPr>
      </w:pPr>
      <w:r>
        <w:rPr>
          <w:rFonts w:ascii="Arial" w:cs="Arial" w:eastAsia="Arial" w:hAnsi="Arial"/>
          <w:sz w:val="16"/>
          <w:szCs w:val="16"/>
          <w:color w:val="auto"/>
        </w:rPr>
        <w:t>(x) On the Trade Date, (y) during the Settlement Period and (z) on any other Exercise Date, neither Counterparty nor any “affiliate” or “affiliated purchaser” (each as defined in Rule 10b-18 of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158" w:lineRule="exact"/>
        <w:rPr>
          <w:rFonts w:ascii="Arial" w:cs="Arial" w:eastAsia="Arial" w:hAnsi="Arial"/>
          <w:sz w:val="16"/>
          <w:szCs w:val="16"/>
          <w:color w:val="auto"/>
        </w:rPr>
      </w:pPr>
    </w:p>
    <w:p>
      <w:pPr>
        <w:ind w:left="4" w:right="140" w:firstLine="645"/>
        <w:spacing w:after="0" w:line="269" w:lineRule="auto"/>
        <w:tabs>
          <w:tab w:leader="none" w:pos="1317" w:val="left"/>
        </w:tabs>
        <w:numPr>
          <w:ilvl w:val="1"/>
          <w:numId w:val="380"/>
        </w:numPr>
        <w:rPr>
          <w:rFonts w:ascii="Arial" w:cs="Arial" w:eastAsia="Arial" w:hAnsi="Arial"/>
          <w:sz w:val="17"/>
          <w:szCs w:val="17"/>
          <w:color w:val="auto"/>
        </w:rPr>
      </w:pPr>
      <w:r>
        <w:rPr>
          <w:rFonts w:ascii="Arial" w:cs="Arial" w:eastAsia="Arial" w:hAnsi="Arial"/>
          <w:sz w:val="17"/>
          <w:szCs w:val="17"/>
          <w:color w:val="auto"/>
        </w:rPr>
        <w:t>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Arial" w:cs="Arial" w:eastAsia="Arial" w:hAnsi="Arial"/>
          <w:sz w:val="17"/>
          <w:szCs w:val="17"/>
          <w:b w:val="1"/>
          <w:bCs w:val="1"/>
          <w:color w:val="auto"/>
        </w:rPr>
        <w:t>Merger Transaction</w:t>
      </w:r>
      <w:r>
        <w:rPr>
          <w:rFonts w:ascii="Arial" w:cs="Arial" w:eastAsia="Arial" w:hAnsi="Arial"/>
          <w:sz w:val="17"/>
          <w:szCs w:val="17"/>
          <w:color w:val="auto"/>
        </w:rPr>
        <w:t>” means any merger, acquisition or similar transaction involving a recapitalization as contemplated by Rule 10b-18(a)(13) (iv) under the Exchange Act.</w:t>
      </w:r>
    </w:p>
    <w:p>
      <w:pPr>
        <w:spacing w:after="0" w:line="179" w:lineRule="exact"/>
        <w:rPr>
          <w:rFonts w:ascii="Arial" w:cs="Arial" w:eastAsia="Arial" w:hAnsi="Arial"/>
          <w:sz w:val="17"/>
          <w:szCs w:val="17"/>
          <w:color w:val="auto"/>
        </w:rPr>
      </w:pPr>
    </w:p>
    <w:p>
      <w:pPr>
        <w:ind w:left="4" w:firstLine="645"/>
        <w:spacing w:after="0" w:line="255" w:lineRule="auto"/>
        <w:tabs>
          <w:tab w:leader="none" w:pos="132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spacing w:after="0" w:line="189" w:lineRule="exact"/>
        <w:rPr>
          <w:rFonts w:ascii="Arial" w:cs="Arial" w:eastAsia="Arial" w:hAnsi="Arial"/>
          <w:sz w:val="18"/>
          <w:szCs w:val="18"/>
          <w:color w:val="auto"/>
        </w:rPr>
      </w:pPr>
    </w:p>
    <w:p>
      <w:pPr>
        <w:ind w:left="4" w:right="80" w:firstLine="645"/>
        <w:spacing w:after="0" w:line="286" w:lineRule="auto"/>
        <w:tabs>
          <w:tab w:leader="none" w:pos="1336" w:val="left"/>
        </w:tabs>
        <w:numPr>
          <w:ilvl w:val="1"/>
          <w:numId w:val="380"/>
        </w:numPr>
        <w:rPr>
          <w:rFonts w:ascii="Arial" w:cs="Arial" w:eastAsia="Arial" w:hAnsi="Arial"/>
          <w:sz w:val="17"/>
          <w:szCs w:val="17"/>
          <w:color w:val="auto"/>
        </w:rPr>
      </w:pPr>
      <w:r>
        <w:rPr>
          <w:rFonts w:ascii="Arial" w:cs="Arial" w:eastAsia="Arial" w:hAnsi="Arial"/>
          <w:sz w:val="17"/>
          <w:szCs w:val="17"/>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holding (however defined) or having a right to acquire Shares.</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54" w:name="page355"/>
    <w:bookmarkEnd w:id="354"/>
    <w:p>
      <w:pPr>
        <w:jc w:val="both"/>
        <w:ind w:left="652" w:right="180" w:firstLine="645"/>
        <w:spacing w:after="0" w:line="286" w:lineRule="auto"/>
        <w:tabs>
          <w:tab w:leader="none" w:pos="1961" w:val="left"/>
        </w:tabs>
        <w:numPr>
          <w:ilvl w:val="1"/>
          <w:numId w:val="381"/>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w:t>
      </w:r>
    </w:p>
    <w:p>
      <w:pPr>
        <w:spacing w:after="0" w:line="1" w:lineRule="exact"/>
        <w:rPr>
          <w:rFonts w:ascii="Arial" w:cs="Arial" w:eastAsia="Arial" w:hAnsi="Arial"/>
          <w:sz w:val="16"/>
          <w:szCs w:val="16"/>
          <w:color w:val="auto"/>
        </w:rPr>
      </w:pPr>
    </w:p>
    <w:p>
      <w:pPr>
        <w:ind w:left="652" w:right="420" w:hanging="4"/>
        <w:spacing w:after="0" w:line="261" w:lineRule="auto"/>
        <w:tabs>
          <w:tab w:leader="none" w:pos="93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has total assets of at least $50 million. Counterparty will notify Dealer if the immediately preceding statement contained in this Section 7(a) (xiv) ceases to be true.</w:t>
      </w:r>
    </w:p>
    <w:p>
      <w:pPr>
        <w:spacing w:after="0" w:line="183" w:lineRule="exact"/>
        <w:rPr>
          <w:rFonts w:ascii="Arial" w:cs="Arial" w:eastAsia="Arial" w:hAnsi="Arial"/>
          <w:sz w:val="18"/>
          <w:szCs w:val="18"/>
          <w:color w:val="auto"/>
        </w:rPr>
      </w:pPr>
    </w:p>
    <w:p>
      <w:pPr>
        <w:ind w:left="652" w:right="40" w:firstLine="645"/>
        <w:spacing w:after="0" w:line="272" w:lineRule="auto"/>
        <w:tabs>
          <w:tab w:leader="none" w:pos="1951" w:val="left"/>
        </w:tabs>
        <w:numPr>
          <w:ilvl w:val="1"/>
          <w:numId w:val="382"/>
        </w:numPr>
        <w:rPr>
          <w:rFonts w:ascii="Arial" w:cs="Arial" w:eastAsia="Arial" w:hAnsi="Arial"/>
          <w:sz w:val="17"/>
          <w:szCs w:val="17"/>
          <w:color w:val="auto"/>
        </w:rPr>
      </w:pPr>
      <w:r>
        <w:rPr>
          <w:rFonts w:ascii="Arial" w:cs="Arial" w:eastAsia="Arial" w:hAnsi="Arial"/>
          <w:sz w:val="17"/>
          <w:szCs w:val="17"/>
          <w:color w:val="auto"/>
        </w:rPr>
        <w:t>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31, 2019,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78" w:lineRule="exact"/>
        <w:rPr>
          <w:sz w:val="20"/>
          <w:szCs w:val="20"/>
          <w:color w:val="auto"/>
        </w:rPr>
      </w:pPr>
    </w:p>
    <w:p>
      <w:pPr>
        <w:ind w:left="-8" w:firstLine="656"/>
        <w:spacing w:after="0" w:line="264" w:lineRule="auto"/>
        <w:tabs>
          <w:tab w:leader="none" w:pos="1296" w:val="left"/>
        </w:tabs>
        <w:numPr>
          <w:ilvl w:val="2"/>
          <w:numId w:val="383"/>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left="-8" w:right="40" w:firstLine="656"/>
        <w:spacing w:after="0" w:line="284" w:lineRule="auto"/>
        <w:tabs>
          <w:tab w:leader="none" w:pos="1299" w:val="left"/>
        </w:tabs>
        <w:numPr>
          <w:ilvl w:val="2"/>
          <w:numId w:val="383"/>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w:t>
      </w:r>
    </w:p>
    <w:p>
      <w:pPr>
        <w:spacing w:after="0" w:line="4" w:lineRule="exact"/>
        <w:rPr>
          <w:rFonts w:ascii="Arial" w:cs="Arial" w:eastAsia="Arial" w:hAnsi="Arial"/>
          <w:sz w:val="16"/>
          <w:szCs w:val="16"/>
          <w:color w:val="auto"/>
        </w:rPr>
      </w:pPr>
    </w:p>
    <w:p>
      <w:pPr>
        <w:ind w:left="-8" w:right="60" w:firstLine="8"/>
        <w:spacing w:after="0" w:line="253" w:lineRule="auto"/>
        <w:tabs>
          <w:tab w:leader="none" w:pos="29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Arial" w:cs="Arial" w:eastAsia="Arial" w:hAnsi="Arial"/>
          <w:sz w:val="18"/>
          <w:szCs w:val="18"/>
          <w:color w:val="auto"/>
        </w:rPr>
      </w:pPr>
    </w:p>
    <w:p>
      <w:pPr>
        <w:ind w:left="72" w:right="40" w:firstLine="576"/>
        <w:spacing w:after="0" w:line="255" w:lineRule="auto"/>
        <w:tabs>
          <w:tab w:leader="none" w:pos="1295" w:val="left"/>
        </w:tabs>
        <w:numPr>
          <w:ilvl w:val="2"/>
          <w:numId w:val="384"/>
        </w:numPr>
        <w:rPr>
          <w:rFonts w:ascii="Arial" w:cs="Arial" w:eastAsia="Arial" w:hAnsi="Arial"/>
          <w:sz w:val="18"/>
          <w:szCs w:val="18"/>
          <w:color w:val="auto"/>
        </w:rPr>
      </w:pPr>
      <w:r>
        <w:rPr>
          <w:rFonts w:ascii="Arial" w:cs="Arial" w:eastAsia="Arial" w:hAnsi="Arial"/>
          <w:sz w:val="18"/>
          <w:szCs w:val="18"/>
          <w:color w:val="auto"/>
        </w:rPr>
        <w:t>Each of Dealer and Counterparty agrees and acknowledges that Dealer is a “financial institution” and “financial participant” within the meaning of Sections 101(22) and 101(22A) of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189" w:lineRule="exact"/>
        <w:rPr>
          <w:rFonts w:ascii="Arial" w:cs="Arial" w:eastAsia="Arial" w:hAnsi="Arial"/>
          <w:sz w:val="18"/>
          <w:szCs w:val="18"/>
          <w:color w:val="auto"/>
        </w:rPr>
      </w:pPr>
    </w:p>
    <w:p>
      <w:pPr>
        <w:ind w:left="72" w:right="20" w:firstLine="576"/>
        <w:spacing w:after="0" w:line="291" w:lineRule="auto"/>
        <w:tabs>
          <w:tab w:leader="none" w:pos="1298" w:val="left"/>
        </w:tabs>
        <w:numPr>
          <w:ilvl w:val="2"/>
          <w:numId w:val="384"/>
        </w:numPr>
        <w:rPr>
          <w:rFonts w:ascii="Arial" w:cs="Arial" w:eastAsia="Arial" w:hAnsi="Arial"/>
          <w:sz w:val="16"/>
          <w:szCs w:val="16"/>
          <w:color w:val="auto"/>
        </w:rPr>
      </w:pPr>
      <w:r>
        <w:rPr>
          <w:rFonts w:ascii="Arial" w:cs="Arial" w:eastAsia="Arial" w:hAnsi="Arial"/>
          <w:sz w:val="16"/>
          <w:szCs w:val="16"/>
          <w:color w:val="auto"/>
        </w:rPr>
        <w:t>Counterparty shall deliver to Dealer (i) an incumbency certificate, dated as of the Trade Date, of Counterparty in customary form and (ii) an opinion of counsel, dated as of the Trade Date and reasonably acceptable to Dealer in form and substance, with respect to the matters set forth in</w:t>
      </w:r>
    </w:p>
    <w:p>
      <w:pPr>
        <w:ind w:left="72"/>
        <w:spacing w:after="0"/>
        <w:rPr>
          <w:rFonts w:ascii="Arial" w:cs="Arial" w:eastAsia="Arial" w:hAnsi="Arial"/>
          <w:sz w:val="16"/>
          <w:szCs w:val="16"/>
          <w:color w:val="auto"/>
        </w:rPr>
      </w:pPr>
      <w:r>
        <w:rPr>
          <w:rFonts w:ascii="Arial" w:cs="Arial" w:eastAsia="Arial" w:hAnsi="Arial"/>
          <w:sz w:val="16"/>
          <w:szCs w:val="16"/>
          <w:color w:val="auto"/>
        </w:rPr>
        <w:t>Section 3(a) of the Agreement and Sections 7(a)(v), 7(a)(xii) and 7(a)(xv) of this Confirmation and such other matters as Dealer may reasonably request and</w:t>
      </w:r>
    </w:p>
    <w:p>
      <w:pPr>
        <w:spacing w:after="0" w:line="32" w:lineRule="exact"/>
        <w:rPr>
          <w:rFonts w:ascii="Arial" w:cs="Arial" w:eastAsia="Arial" w:hAnsi="Arial"/>
          <w:sz w:val="16"/>
          <w:szCs w:val="16"/>
          <w:color w:val="auto"/>
        </w:rPr>
      </w:pPr>
    </w:p>
    <w:p>
      <w:pPr>
        <w:ind w:left="392" w:hanging="311"/>
        <w:spacing w:after="0"/>
        <w:tabs>
          <w:tab w:leader="none" w:pos="39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evidence that the listing of the Shares issuable upon exercise or</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t>termination of the Warrants on the Exchange has been approved by the Exchange, subject only to official notice of issuance.</w:t>
      </w:r>
    </w:p>
    <w:p>
      <w:pPr>
        <w:spacing w:after="0" w:line="225" w:lineRule="exact"/>
        <w:rPr>
          <w:sz w:val="20"/>
          <w:szCs w:val="20"/>
          <w:color w:val="auto"/>
        </w:rPr>
      </w:pPr>
    </w:p>
    <w:p>
      <w:pPr>
        <w:ind w:left="80" w:right="80" w:firstLine="576"/>
        <w:spacing w:after="0" w:line="312" w:lineRule="auto"/>
        <w:tabs>
          <w:tab w:leader="none" w:pos="13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spacing w:after="0" w:line="142" w:lineRule="exact"/>
        <w:rPr>
          <w:rFonts w:ascii="Arial" w:cs="Arial" w:eastAsia="Arial" w:hAnsi="Arial"/>
          <w:sz w:val="16"/>
          <w:szCs w:val="16"/>
          <w:color w:val="auto"/>
        </w:rPr>
      </w:pPr>
    </w:p>
    <w:p>
      <w:pPr>
        <w:ind w:right="200" w:firstLine="656"/>
        <w:spacing w:after="0" w:line="347" w:lineRule="auto"/>
        <w:tabs>
          <w:tab w:leader="none" w:pos="1317"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Counterparty represents and warrants that 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280" w:firstLine="656"/>
        <w:spacing w:after="0" w:line="277" w:lineRule="auto"/>
        <w:tabs>
          <w:tab w:leader="none" w:pos="130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sz w:val="20"/>
          <w:szCs w:val="20"/>
          <w:color w:val="auto"/>
        </w:rPr>
      </w:pPr>
    </w:p>
    <w:p>
      <w:pPr>
        <w:ind w:left="980" w:hanging="324"/>
        <w:spacing w:after="0"/>
        <w:tabs>
          <w:tab w:leader="none" w:pos="98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90" w:lineRule="auto"/>
        <w:tabs>
          <w:tab w:leader="none" w:pos="1294" w:val="left"/>
        </w:tabs>
        <w:numPr>
          <w:ilvl w:val="0"/>
          <w:numId w:val="387"/>
        </w:numPr>
        <w:rPr>
          <w:rFonts w:ascii="Arial" w:cs="Arial" w:eastAsia="Arial" w:hAnsi="Arial"/>
          <w:sz w:val="16"/>
          <w:szCs w:val="16"/>
          <w:color w:val="auto"/>
        </w:rPr>
      </w:pPr>
      <w:r>
        <w:rPr>
          <w:rFonts w:ascii="Arial" w:cs="Arial" w:eastAsia="Arial" w:hAnsi="Arial"/>
          <w:sz w:val="16"/>
          <w:szCs w:val="16"/>
          <w:i w:val="1"/>
          <w:iCs w:val="1"/>
          <w:color w:val="auto"/>
        </w:rPr>
        <w:t>Right to Extend</w:t>
      </w:r>
      <w:r>
        <w:rPr>
          <w:rFonts w:ascii="Arial" w:cs="Arial" w:eastAsia="Arial" w:hAnsi="Arial"/>
          <w:sz w:val="16"/>
          <w:szCs w:val="16"/>
          <w:color w:val="auto"/>
        </w:rPr>
        <w:t>. Dealer may postpone or add, in whole or in part, any Expiration Date or Settlement Date or any other date of valuation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w:t>
      </w:r>
    </w:p>
    <w:p>
      <w:pPr>
        <w:spacing w:after="0" w:line="166" w:lineRule="exact"/>
        <w:rPr>
          <w:rFonts w:ascii="Arial" w:cs="Arial" w:eastAsia="Arial" w:hAnsi="Arial"/>
          <w:sz w:val="16"/>
          <w:szCs w:val="16"/>
          <w:color w:val="auto"/>
        </w:rPr>
      </w:pPr>
    </w:p>
    <w:p>
      <w:pPr>
        <w:ind w:right="40" w:firstLine="656"/>
        <w:spacing w:after="0" w:line="286" w:lineRule="auto"/>
        <w:tabs>
          <w:tab w:leader="none" w:pos="1304" w:val="left"/>
        </w:tabs>
        <w:numPr>
          <w:ilvl w:val="0"/>
          <w:numId w:val="387"/>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Counterparty shall owe Dealer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pursuant to Section 6(d)(ii) of the Agreement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Merger Date, Tender Offer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8620" w:type="dxa"/>
            <w:vAlign w:val="bottom"/>
          </w:tcPr>
          <w:p>
            <w:pPr>
              <w:ind w:left="620"/>
              <w:spacing w:after="0"/>
              <w:rPr>
                <w:sz w:val="20"/>
                <w:szCs w:val="20"/>
                <w:color w:val="auto"/>
              </w:rPr>
            </w:pPr>
            <w:r>
              <w:rPr>
                <w:rFonts w:ascii="Arial" w:cs="Arial" w:eastAsia="Arial" w:hAnsi="Arial"/>
                <w:sz w:val="18"/>
                <w:szCs w:val="18"/>
                <w:color w:val="auto"/>
                <w:w w:val="92"/>
              </w:rPr>
              <w:t>If applicable, means that Counterparty shall deliver to Dealer the Share Termination Delivery Property on the</w:t>
            </w:r>
          </w:p>
        </w:tc>
      </w:tr>
      <w:tr>
        <w:trPr>
          <w:trHeight w:val="212"/>
        </w:trPr>
        <w:tc>
          <w:tcPr>
            <w:tcW w:w="2840" w:type="dxa"/>
            <w:vAlign w:val="bottom"/>
          </w:tcPr>
          <w:p>
            <w:pPr>
              <w:spacing w:after="0"/>
              <w:rPr>
                <w:sz w:val="18"/>
                <w:szCs w:val="18"/>
                <w:color w:val="auto"/>
              </w:rPr>
            </w:pPr>
          </w:p>
        </w:tc>
        <w:tc>
          <w:tcPr>
            <w:tcW w:w="8620" w:type="dxa"/>
            <w:vAlign w:val="bottom"/>
          </w:tcPr>
          <w:p>
            <w:pPr>
              <w:ind w:left="620"/>
              <w:spacing w:after="0"/>
              <w:rPr>
                <w:sz w:val="20"/>
                <w:szCs w:val="20"/>
                <w:color w:val="auto"/>
              </w:rPr>
            </w:pPr>
            <w:r>
              <w:rPr>
                <w:rFonts w:ascii="Arial" w:cs="Arial" w:eastAsia="Arial" w:hAnsi="Arial"/>
                <w:sz w:val="18"/>
                <w:szCs w:val="18"/>
                <w:color w:val="auto"/>
                <w:w w:val="92"/>
              </w:rPr>
              <w:t>date on which the Payment Obligation would otherwise be due pursuant to Section 6(d)(ii) of the Agreement,</w:t>
            </w:r>
          </w:p>
        </w:tc>
      </w:tr>
      <w:tr>
        <w:trPr>
          <w:trHeight w:val="216"/>
        </w:trPr>
        <w:tc>
          <w:tcPr>
            <w:tcW w:w="2840" w:type="dxa"/>
            <w:vAlign w:val="bottom"/>
          </w:tcPr>
          <w:p>
            <w:pPr>
              <w:spacing w:after="0"/>
              <w:rPr>
                <w:sz w:val="18"/>
                <w:szCs w:val="18"/>
                <w:color w:val="auto"/>
              </w:rPr>
            </w:pPr>
          </w:p>
        </w:tc>
        <w:tc>
          <w:tcPr>
            <w:tcW w:w="8620" w:type="dxa"/>
            <w:vAlign w:val="bottom"/>
          </w:tcPr>
          <w:p>
            <w:pPr>
              <w:ind w:left="620"/>
              <w:spacing w:after="0"/>
              <w:rPr>
                <w:sz w:val="20"/>
                <w:szCs w:val="20"/>
                <w:color w:val="auto"/>
              </w:rPr>
            </w:pPr>
            <w:r>
              <w:rPr>
                <w:rFonts w:ascii="Arial" w:cs="Arial" w:eastAsia="Arial" w:hAnsi="Arial"/>
                <w:sz w:val="18"/>
                <w:szCs w:val="18"/>
                <w:color w:val="auto"/>
                <w:w w:val="95"/>
              </w:rPr>
              <w:t>or such later date or dates as the Calculation Agent may reasonably determine (the “</w:t>
            </w:r>
            <w:r>
              <w:rPr>
                <w:rFonts w:ascii="Arial" w:cs="Arial" w:eastAsia="Arial" w:hAnsi="Arial"/>
                <w:sz w:val="18"/>
                <w:szCs w:val="18"/>
                <w:b w:val="1"/>
                <w:bCs w:val="1"/>
                <w:color w:val="auto"/>
                <w:w w:val="95"/>
              </w:rPr>
              <w:t>Share Termination</w:t>
            </w:r>
          </w:p>
        </w:tc>
      </w:tr>
      <w:tr>
        <w:trPr>
          <w:trHeight w:val="234"/>
        </w:trPr>
        <w:tc>
          <w:tcPr>
            <w:tcW w:w="2840" w:type="dxa"/>
            <w:vAlign w:val="bottom"/>
          </w:tcPr>
          <w:p>
            <w:pPr>
              <w:spacing w:after="0"/>
              <w:rPr>
                <w:sz w:val="20"/>
                <w:szCs w:val="20"/>
                <w:color w:val="auto"/>
              </w:rPr>
            </w:pPr>
          </w:p>
        </w:tc>
        <w:tc>
          <w:tcPr>
            <w:tcW w:w="8620" w:type="dxa"/>
            <w:vAlign w:val="bottom"/>
          </w:tcPr>
          <w:p>
            <w:pPr>
              <w:ind w:left="620"/>
              <w:spacing w:after="0"/>
              <w:rPr>
                <w:sz w:val="20"/>
                <w:szCs w:val="20"/>
                <w:color w:val="auto"/>
              </w:rPr>
            </w:pPr>
            <w:r>
              <w:rPr>
                <w:rFonts w:ascii="Arial" w:cs="Arial" w:eastAsia="Arial" w:hAnsi="Arial"/>
                <w:sz w:val="18"/>
                <w:szCs w:val="18"/>
                <w:b w:val="1"/>
                <w:bCs w:val="1"/>
                <w:color w:val="auto"/>
              </w:rPr>
              <w:t>Payment Date</w:t>
            </w:r>
            <w:r>
              <w:rPr>
                <w:rFonts w:ascii="Arial" w:cs="Arial" w:eastAsia="Arial" w:hAnsi="Arial"/>
                <w:sz w:val="18"/>
                <w:szCs w:val="18"/>
                <w:color w:val="auto"/>
              </w:rPr>
              <w:t>”), in</w:t>
            </w:r>
          </w:p>
        </w:tc>
      </w:tr>
      <w:tr>
        <w:trPr>
          <w:trHeight w:val="432"/>
        </w:trPr>
        <w:tc>
          <w:tcPr>
            <w:tcW w:w="2840" w:type="dxa"/>
            <w:vAlign w:val="bottom"/>
          </w:tcPr>
          <w:p>
            <w:pPr>
              <w:spacing w:after="0"/>
              <w:rPr>
                <w:sz w:val="24"/>
                <w:szCs w:val="24"/>
                <w:color w:val="auto"/>
              </w:rPr>
            </w:pPr>
          </w:p>
        </w:tc>
        <w:tc>
          <w:tcPr>
            <w:tcW w:w="8620" w:type="dxa"/>
            <w:vAlign w:val="bottom"/>
          </w:tcPr>
          <w:p>
            <w:pPr>
              <w:ind w:left="2780"/>
              <w:spacing w:after="0"/>
              <w:rPr>
                <w:sz w:val="20"/>
                <w:szCs w:val="20"/>
                <w:color w:val="auto"/>
              </w:rPr>
            </w:pPr>
            <w:r>
              <w:rPr>
                <w:rFonts w:ascii="Arial" w:cs="Arial" w:eastAsia="Arial" w:hAnsi="Arial"/>
                <w:sz w:val="18"/>
                <w:szCs w:val="18"/>
                <w:color w:val="auto"/>
              </w:rPr>
              <w:t>15</w:t>
            </w:r>
          </w:p>
        </w:tc>
      </w:tr>
      <w:tr>
        <w:trPr>
          <w:trHeight w:val="132"/>
        </w:trPr>
        <w:tc>
          <w:tcPr>
            <w:tcW w:w="2840" w:type="dxa"/>
            <w:vAlign w:val="bottom"/>
            <w:tcBorders>
              <w:bottom w:val="single" w:sz="8" w:color="808080"/>
            </w:tcBorders>
          </w:tcPr>
          <w:p>
            <w:pPr>
              <w:spacing w:after="0"/>
              <w:rPr>
                <w:sz w:val="11"/>
                <w:szCs w:val="11"/>
                <w:color w:val="auto"/>
              </w:rPr>
            </w:pPr>
          </w:p>
        </w:tc>
        <w:tc>
          <w:tcPr>
            <w:tcW w:w="8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56" w:name="page357"/>
    <w:bookmarkEnd w:id="356"/>
    <w:p>
      <w:pPr>
        <w:ind w:left="3460"/>
        <w:spacing w:after="0"/>
        <w:rPr>
          <w:sz w:val="20"/>
          <w:szCs w:val="20"/>
          <w:color w:val="auto"/>
        </w:rPr>
      </w:pPr>
      <w:r>
        <w:rPr>
          <w:rFonts w:ascii="Arial" w:cs="Arial" w:eastAsia="Arial" w:hAnsi="Arial"/>
          <w:sz w:val="16"/>
          <w:szCs w:val="16"/>
          <w:color w:val="auto"/>
        </w:rPr>
        <w:t>satisfaction of the Payment Obligation.</w:t>
      </w:r>
    </w:p>
    <w:p>
      <w:pPr>
        <w:sectPr>
          <w:pgSz w:w="11900" w:h="16838" w:orient="portrait"/>
          <w:cols w:equalWidth="0" w:num="1">
            <w:col w:w="11400"/>
          </w:cols>
          <w:pgMar w:left="240" w:top="341"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Delivery Property: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p>
      <w:pPr>
        <w:spacing w:after="0" w:line="188" w:lineRule="exact"/>
        <w:rPr>
          <w:sz w:val="20"/>
          <w:szCs w:val="20"/>
          <w:color w:val="auto"/>
        </w:rPr>
      </w:pPr>
    </w:p>
    <w:p>
      <w:pPr>
        <w:sectPr>
          <w:pgSz w:w="11900" w:h="16838" w:orient="portrait"/>
          <w:cols w:equalWidth="0" w:num="2">
            <w:col w:w="2740" w:space="720"/>
            <w:col w:w="7940"/>
          </w:cols>
          <w:pgMar w:left="240" w:top="3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p>
      <w:pPr>
        <w:spacing w:after="0" w:line="187" w:lineRule="exact"/>
        <w:rPr>
          <w:sz w:val="20"/>
          <w:szCs w:val="20"/>
          <w:color w:val="auto"/>
        </w:rPr>
      </w:pPr>
    </w:p>
    <w:p>
      <w:pPr>
        <w:sectPr>
          <w:pgSz w:w="11900" w:h="16838" w:orient="portrait"/>
          <w:cols w:equalWidth="0" w:num="2">
            <w:col w:w="2740" w:space="720"/>
            <w:col w:w="7940"/>
          </w:cols>
          <w:pgMar w:left="240" w:top="3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Arial" w:cs="Arial" w:eastAsia="Arial" w:hAnsi="Arial"/>
          <w:sz w:val="18"/>
          <w:szCs w:val="18"/>
          <w:color w:val="auto"/>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p>
      <w:pPr>
        <w:spacing w:after="0" w:line="192" w:lineRule="exact"/>
        <w:rPr>
          <w:sz w:val="20"/>
          <w:szCs w:val="20"/>
          <w:color w:val="auto"/>
        </w:rPr>
      </w:pPr>
    </w:p>
    <w:p>
      <w:pPr>
        <w:sectPr>
          <w:pgSz w:w="11900" w:h="16838" w:orient="portrait"/>
          <w:cols w:equalWidth="0" w:num="2">
            <w:col w:w="2740" w:space="720"/>
            <w:col w:w="7940"/>
          </w:cols>
          <w:pgMar w:left="240" w:top="341" w:right="259" w:bottom="1440" w:gutter="0" w:footer="0" w:header="0"/>
          <w:type w:val="continuous"/>
        </w:sect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2740" w:space="720"/>
            <w:col w:w="7940"/>
          </w:cols>
          <w:pgMar w:left="240" w:top="341"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p>
      <w:pPr>
        <w:spacing w:after="0" w:line="173" w:lineRule="exact"/>
        <w:rPr>
          <w:sz w:val="20"/>
          <w:szCs w:val="20"/>
          <w:color w:val="auto"/>
        </w:rPr>
      </w:pPr>
    </w:p>
    <w:p>
      <w:pPr>
        <w:sectPr>
          <w:pgSz w:w="11900" w:h="16838" w:orient="portrait"/>
          <w:cols w:equalWidth="0" w:num="2">
            <w:col w:w="2740" w:space="720"/>
            <w:col w:w="7940"/>
          </w:cols>
          <w:pgMar w:left="240" w:top="341" w:right="259" w:bottom="1440" w:gutter="0" w:footer="0" w:header="0"/>
          <w:type w:val="continuous"/>
        </w:sectPr>
      </w:pPr>
    </w:p>
    <w:p>
      <w:pPr>
        <w:ind w:right="60" w:firstLine="656"/>
        <w:spacing w:after="0" w:line="255" w:lineRule="auto"/>
        <w:tabs>
          <w:tab w:leader="none" w:pos="1388"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Registration/Private Placement Procedures</w:t>
      </w:r>
      <w:r>
        <w:rPr>
          <w:rFonts w:ascii="Arial" w:cs="Arial" w:eastAsia="Arial" w:hAnsi="Arial"/>
          <w:sz w:val="18"/>
          <w:szCs w:val="18"/>
          <w:color w:val="auto"/>
        </w:rPr>
        <w:t>. (i) With respect to the Transaction, the following provisions shall apply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357" w:name="page358"/>
    <w:bookmarkEnd w:id="357"/>
    <w:p>
      <w:pPr>
        <w:ind w:right="40"/>
        <w:spacing w:after="0" w:line="271" w:lineRule="auto"/>
        <w:rPr>
          <w:sz w:val="20"/>
          <w:szCs w:val="20"/>
          <w:color w:val="auto"/>
        </w:rPr>
      </w:pPr>
      <w:r>
        <w:rPr>
          <w:rFonts w:ascii="Arial" w:cs="Arial" w:eastAsia="Arial" w:hAnsi="Arial"/>
          <w:sz w:val="17"/>
          <w:szCs w:val="17"/>
          <w:color w:val="auto"/>
        </w:rPr>
        <w:t>corresponding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Arial" w:cs="Arial" w:eastAsia="Arial" w:hAnsi="Arial"/>
          <w:sz w:val="17"/>
          <w:szCs w:val="17"/>
          <w:b w:val="1"/>
          <w:bCs w:val="1"/>
          <w:color w:val="auto"/>
        </w:rPr>
        <w:t>Freely Tradeable 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spacing w:after="0" w:line="178" w:lineRule="exact"/>
        <w:rPr>
          <w:sz w:val="20"/>
          <w:szCs w:val="20"/>
          <w:color w:val="auto"/>
        </w:rPr>
      </w:pPr>
    </w:p>
    <w:p>
      <w:pPr>
        <w:ind w:left="1340" w:hanging="684"/>
        <w:spacing w:after="0"/>
        <w:tabs>
          <w:tab w:leader="none" w:pos="13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It shall be a condition to Counterparty’s right to make the election described in clause (c)(i)(A) that:</w:t>
      </w:r>
    </w:p>
    <w:p>
      <w:pPr>
        <w:spacing w:after="0" w:line="225" w:lineRule="exact"/>
        <w:rPr>
          <w:rFonts w:ascii="Arial" w:cs="Arial" w:eastAsia="Arial" w:hAnsi="Arial"/>
          <w:sz w:val="18"/>
          <w:szCs w:val="18"/>
          <w:color w:val="auto"/>
        </w:rPr>
      </w:pPr>
    </w:p>
    <w:p>
      <w:pPr>
        <w:ind w:left="660" w:right="300" w:firstLine="645"/>
        <w:spacing w:after="0" w:line="264" w:lineRule="auto"/>
        <w:tabs>
          <w:tab w:leader="none" w:pos="197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spacing w:after="0" w:line="177" w:lineRule="exact"/>
        <w:rPr>
          <w:rFonts w:ascii="Arial" w:cs="Arial" w:eastAsia="Arial" w:hAnsi="Arial"/>
          <w:sz w:val="18"/>
          <w:szCs w:val="18"/>
          <w:color w:val="auto"/>
        </w:rPr>
      </w:pPr>
    </w:p>
    <w:p>
      <w:pPr>
        <w:ind w:left="660" w:firstLine="645"/>
        <w:spacing w:after="0" w:line="271" w:lineRule="auto"/>
        <w:tabs>
          <w:tab w:leader="none" w:pos="196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Counterparty shall enter into an agreement (a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commercially reasonable terms in connection with the public resale of such Shares or Share Termination Delivery Units, as the case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spacing w:after="0" w:line="178" w:lineRule="exact"/>
        <w:rPr>
          <w:rFonts w:ascii="Arial" w:cs="Arial" w:eastAsia="Arial" w:hAnsi="Arial"/>
          <w:sz w:val="17"/>
          <w:szCs w:val="17"/>
          <w:color w:val="auto"/>
        </w:rPr>
      </w:pPr>
    </w:p>
    <w:p>
      <w:pPr>
        <w:ind w:left="1340" w:hanging="684"/>
        <w:spacing w:after="0"/>
        <w:tabs>
          <w:tab w:leader="none" w:pos="13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Counterparty makes the election described in clause (c)(i)(B) above:</w:t>
      </w:r>
    </w:p>
    <w:p>
      <w:pPr>
        <w:spacing w:after="0" w:line="225" w:lineRule="exact"/>
        <w:rPr>
          <w:rFonts w:ascii="Arial" w:cs="Arial" w:eastAsia="Arial" w:hAnsi="Arial"/>
          <w:sz w:val="18"/>
          <w:szCs w:val="18"/>
          <w:color w:val="auto"/>
        </w:rPr>
      </w:pPr>
    </w:p>
    <w:p>
      <w:pPr>
        <w:ind w:left="660" w:right="100" w:firstLine="645"/>
        <w:spacing w:after="0" w:line="273" w:lineRule="auto"/>
        <w:tabs>
          <w:tab w:leader="none" w:pos="197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spacing w:after="0" w:line="174" w:lineRule="exact"/>
        <w:rPr>
          <w:rFonts w:ascii="Arial" w:cs="Arial" w:eastAsia="Arial" w:hAnsi="Arial"/>
          <w:sz w:val="17"/>
          <w:szCs w:val="17"/>
          <w:color w:val="auto"/>
        </w:rPr>
      </w:pPr>
    </w:p>
    <w:p>
      <w:pPr>
        <w:ind w:left="660" w:firstLine="645"/>
        <w:spacing w:after="0" w:line="272" w:lineRule="auto"/>
        <w:tabs>
          <w:tab w:leader="none" w:pos="196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Dealer (or an affiliate of Dealer designated by Dealer) and Counterparty shall enter into an agreement (a “</w:t>
      </w:r>
      <w:r>
        <w:rPr>
          <w:rFonts w:ascii="Arial" w:cs="Arial" w:eastAsia="Arial" w:hAnsi="Arial"/>
          <w:sz w:val="17"/>
          <w:szCs w:val="17"/>
          <w:b w:val="1"/>
          <w:bCs w:val="1"/>
          <w:color w:val="auto"/>
        </w:rPr>
        <w:t>Private Placement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commercially reasonable terms in connection with the private placement of such Shares or Share Termination Delivery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8" w:name="page359"/>
    <w:bookmarkEnd w:id="358"/>
    <w:p>
      <w:pPr>
        <w:ind w:left="620" w:right="380"/>
        <w:spacing w:after="0" w:line="302" w:lineRule="auto"/>
        <w:rPr>
          <w:sz w:val="20"/>
          <w:szCs w:val="20"/>
          <w:color w:val="auto"/>
        </w:rPr>
      </w:pPr>
      <w:r>
        <w:rPr>
          <w:rFonts w:ascii="Arial" w:cs="Arial" w:eastAsia="Arial" w:hAnsi="Arial"/>
          <w:sz w:val="16"/>
          <w:szCs w:val="16"/>
          <w:color w:val="auto"/>
        </w:rPr>
        <w:t>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spacing w:after="0" w:line="154" w:lineRule="exact"/>
        <w:rPr>
          <w:sz w:val="20"/>
          <w:szCs w:val="20"/>
          <w:color w:val="auto"/>
        </w:rPr>
      </w:pPr>
    </w:p>
    <w:p>
      <w:pPr>
        <w:ind w:left="620" w:right="80" w:firstLine="645"/>
        <w:spacing w:after="0" w:line="272" w:lineRule="auto"/>
        <w:tabs>
          <w:tab w:leader="none" w:pos="1927" w:val="left"/>
        </w:tabs>
        <w:numPr>
          <w:ilvl w:val="1"/>
          <w:numId w:val="390"/>
        </w:numPr>
        <w:rPr>
          <w:rFonts w:ascii="Arial" w:cs="Arial" w:eastAsia="Arial" w:hAnsi="Arial"/>
          <w:sz w:val="17"/>
          <w:szCs w:val="17"/>
          <w:color w:val="auto"/>
        </w:rPr>
      </w:pPr>
      <w:r>
        <w:rPr>
          <w:rFonts w:ascii="Arial" w:cs="Arial" w:eastAsia="Arial" w:hAnsi="Arial"/>
          <w:sz w:val="17"/>
          <w:szCs w:val="17"/>
          <w:color w:val="auto"/>
        </w:rPr>
        <w:t>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spacing w:after="0" w:line="177" w:lineRule="exact"/>
        <w:rPr>
          <w:rFonts w:ascii="Arial" w:cs="Arial" w:eastAsia="Arial" w:hAnsi="Arial"/>
          <w:sz w:val="17"/>
          <w:szCs w:val="17"/>
          <w:color w:val="auto"/>
        </w:rPr>
      </w:pPr>
    </w:p>
    <w:p>
      <w:pPr>
        <w:ind w:left="620" w:right="20" w:firstLine="645"/>
        <w:spacing w:after="0" w:line="279" w:lineRule="auto"/>
        <w:tabs>
          <w:tab w:leader="none" w:pos="1937" w:val="left"/>
        </w:tabs>
        <w:numPr>
          <w:ilvl w:val="1"/>
          <w:numId w:val="390"/>
        </w:numPr>
        <w:rPr>
          <w:rFonts w:ascii="Arial" w:cs="Arial" w:eastAsia="Arial" w:hAnsi="Arial"/>
          <w:sz w:val="17"/>
          <w:szCs w:val="17"/>
          <w:color w:val="auto"/>
        </w:rPr>
      </w:pPr>
      <w:r>
        <w:rPr>
          <w:rFonts w:ascii="Arial" w:cs="Arial" w:eastAsia="Arial" w:hAnsi="Arial"/>
          <w:sz w:val="17"/>
          <w:szCs w:val="17"/>
          <w:color w:val="auto"/>
        </w:rPr>
        <w:t>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spacing w:after="0" w:line="171" w:lineRule="exact"/>
        <w:rPr>
          <w:rFonts w:ascii="Arial" w:cs="Arial" w:eastAsia="Arial" w:hAnsi="Arial"/>
          <w:sz w:val="17"/>
          <w:szCs w:val="17"/>
          <w:color w:val="auto"/>
        </w:rPr>
      </w:pPr>
    </w:p>
    <w:p>
      <w:pPr>
        <w:ind w:left="-40" w:firstLine="656"/>
        <w:spacing w:after="0" w:line="286" w:lineRule="auto"/>
        <w:tabs>
          <w:tab w:leader="none" w:pos="1264" w:val="left"/>
        </w:tabs>
        <w:numPr>
          <w:ilvl w:val="0"/>
          <w:numId w:val="391"/>
        </w:numPr>
        <w:rPr>
          <w:rFonts w:ascii="Arial" w:cs="Arial" w:eastAsia="Arial" w:hAnsi="Arial"/>
          <w:sz w:val="16"/>
          <w:szCs w:val="16"/>
          <w:color w:val="auto"/>
        </w:rPr>
      </w:pPr>
      <w:r>
        <w:rPr>
          <w:rFonts w:ascii="Arial" w:cs="Arial" w:eastAsia="Arial" w:hAnsi="Arial"/>
          <w:sz w:val="16"/>
          <w:szCs w:val="16"/>
          <w:i w:val="1"/>
          <w:iCs w:val="1"/>
          <w:color w:val="auto"/>
        </w:rPr>
        <w:t>Make-whole Shares</w:t>
      </w:r>
      <w:r>
        <w:rPr>
          <w:rFonts w:ascii="Arial" w:cs="Arial" w:eastAsia="Arial" w:hAnsi="Arial"/>
          <w:sz w:val="16"/>
          <w:szCs w:val="16"/>
          <w:color w:val="auto"/>
        </w:rPr>
        <w:t>. If Counterparty makes the election described in clause (i)(B) of paragraph (c) of this Section 8, then Dealer or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may sell (which sale shall be made in a commercially reasonable manner) such Shares or Share Termination Delivery Units, as the case may be,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 (without giving effect to any extension thereof pursuant to the immediately succeeding sentence), the amount of such excess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in cash or in a number of additional Shares or Share Termination Delivery Units, as the case may be, (“</w:t>
      </w:r>
      <w:r>
        <w:rPr>
          <w:rFonts w:ascii="Arial" w:cs="Arial" w:eastAsia="Arial" w:hAnsi="Arial"/>
          <w:sz w:val="16"/>
          <w:szCs w:val="16"/>
          <w:b w:val="1"/>
          <w:bCs w:val="1"/>
          <w:color w:val="auto"/>
        </w:rPr>
        <w:t>Make-whole Shares</w:t>
      </w:r>
      <w:r>
        <w:rPr>
          <w:rFonts w:ascii="Arial" w:cs="Arial" w:eastAsia="Arial" w:hAnsi="Arial"/>
          <w:sz w:val="16"/>
          <w:szCs w:val="16"/>
          <w:color w:val="auto"/>
        </w:rPr>
        <w:t>”) in an amount that,</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spacing w:after="0" w:line="174" w:lineRule="exact"/>
        <w:rPr>
          <w:rFonts w:ascii="Arial" w:cs="Arial" w:eastAsia="Arial" w:hAnsi="Arial"/>
          <w:sz w:val="16"/>
          <w:szCs w:val="16"/>
          <w:color w:val="auto"/>
        </w:rPr>
      </w:pPr>
    </w:p>
    <w:p>
      <w:pPr>
        <w:ind w:left="-40" w:firstLine="656"/>
        <w:spacing w:after="0" w:line="253" w:lineRule="auto"/>
        <w:tabs>
          <w:tab w:leader="none" w:pos="1267" w:val="left"/>
        </w:tabs>
        <w:numPr>
          <w:ilvl w:val="0"/>
          <w:numId w:val="391"/>
        </w:numPr>
        <w:rPr>
          <w:rFonts w:ascii="Arial" w:cs="Arial" w:eastAsia="Arial" w:hAnsi="Arial"/>
          <w:sz w:val="18"/>
          <w:szCs w:val="18"/>
          <w:color w:val="auto"/>
        </w:rPr>
      </w:pPr>
      <w:r>
        <w:rPr>
          <w:rFonts w:ascii="Arial" w:cs="Arial" w:eastAsia="Arial" w:hAnsi="Arial"/>
          <w:sz w:val="18"/>
          <w:szCs w:val="18"/>
          <w:i w:val="1"/>
          <w:iCs w:val="1"/>
          <w:color w:val="auto"/>
        </w:rPr>
        <w:t>Beneficial Ownership</w:t>
      </w:r>
      <w:r>
        <w:rPr>
          <w:rFonts w:ascii="Arial" w:cs="Arial" w:eastAsia="Arial" w:hAnsi="Arial"/>
          <w:sz w:val="18"/>
          <w:szCs w:val="18"/>
          <w:color w:val="auto"/>
        </w:rPr>
        <w:t>. Notwithstanding anything to the contrary in the Agreement or this Confirmation, in no event shall Dealer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Arial" w:cs="Arial" w:eastAsia="Arial" w:hAnsi="Arial"/>
          <w:sz w:val="18"/>
          <w:szCs w:val="18"/>
          <w:b w:val="1"/>
          <w:bCs w:val="1"/>
          <w:color w:val="auto"/>
        </w:rPr>
        <w:t>Dealer Group</w:t>
      </w:r>
      <w:r>
        <w:rPr>
          <w:rFonts w:ascii="Arial" w:cs="Arial" w:eastAsia="Arial" w:hAnsi="Arial"/>
          <w:sz w:val="18"/>
          <w:szCs w:val="18"/>
          <w:color w:val="auto"/>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359" w:name="page360"/>
    <w:bookmarkEnd w:id="359"/>
    <w:p>
      <w:pPr>
        <w:ind w:right="80"/>
        <w:spacing w:after="0" w:line="269" w:lineRule="auto"/>
        <w:rPr>
          <w:sz w:val="20"/>
          <w:szCs w:val="20"/>
          <w:color w:val="auto"/>
        </w:rPr>
      </w:pPr>
      <w:r>
        <w:rPr>
          <w:rFonts w:ascii="Arial" w:cs="Arial" w:eastAsia="Arial" w:hAnsi="Arial"/>
          <w:sz w:val="17"/>
          <w:szCs w:val="17"/>
          <w:color w:val="auto"/>
        </w:rPr>
        <w:t>ownership position would be aggregated with that of Dealer or Dealer Group (Dealer, Dealer Group or any such person, a “</w:t>
      </w:r>
      <w:r>
        <w:rPr>
          <w:rFonts w:ascii="Arial" w:cs="Arial" w:eastAsia="Arial" w:hAnsi="Arial"/>
          <w:sz w:val="17"/>
          <w:szCs w:val="17"/>
          <w:b w:val="1"/>
          <w:bCs w:val="1"/>
          <w:color w:val="auto"/>
        </w:rPr>
        <w:t>Dealer Person</w:t>
      </w:r>
      <w:r>
        <w:rPr>
          <w:rFonts w:ascii="Arial" w:cs="Arial" w:eastAsia="Arial" w:hAnsi="Arial"/>
          <w:sz w:val="17"/>
          <w:szCs w:val="17"/>
          <w:color w:val="auto"/>
        </w:rPr>
        <w:t>”) under the Iowa Business Corporation Act or other federal, state or local law, rule, regulation or regulatory order or organizational documents or contracts of Counterparty applicable to ownership of Shares (“</w:t>
      </w:r>
      <w:r>
        <w:rPr>
          <w:rFonts w:ascii="Arial" w:cs="Arial" w:eastAsia="Arial" w:hAnsi="Arial"/>
          <w:sz w:val="17"/>
          <w:szCs w:val="17"/>
          <w:b w:val="1"/>
          <w:bCs w:val="1"/>
          <w:color w:val="auto"/>
        </w:rPr>
        <w:t>Applicable Restrictions</w:t>
      </w:r>
      <w:r>
        <w:rPr>
          <w:rFonts w:ascii="Arial" w:cs="Arial" w:eastAsia="Arial" w:hAnsi="Arial"/>
          <w:sz w:val="17"/>
          <w:szCs w:val="17"/>
          <w:color w:val="auto"/>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1.0% of the number of Shares outstanding on the date of determination (either such condition described in clause (i) or (ii), an “</w:t>
      </w:r>
      <w:r>
        <w:rPr>
          <w:rFonts w:ascii="Arial" w:cs="Arial" w:eastAsia="Arial" w:hAnsi="Arial"/>
          <w:sz w:val="17"/>
          <w:szCs w:val="17"/>
          <w:b w:val="1"/>
          <w:bCs w:val="1"/>
          <w:color w:val="auto"/>
        </w:rPr>
        <w:t>Excess Ownership Position</w:t>
      </w:r>
      <w:r>
        <w:rPr>
          <w:rFonts w:ascii="Arial" w:cs="Arial" w:eastAsia="Arial" w:hAnsi="Arial"/>
          <w:sz w:val="17"/>
          <w:szCs w:val="17"/>
          <w:color w:val="auto"/>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spacing w:after="0" w:line="184" w:lineRule="exact"/>
        <w:rPr>
          <w:sz w:val="20"/>
          <w:szCs w:val="20"/>
          <w:color w:val="auto"/>
        </w:rPr>
      </w:pPr>
    </w:p>
    <w:p>
      <w:pPr>
        <w:ind w:firstLine="656"/>
        <w:spacing w:after="0" w:line="284" w:lineRule="auto"/>
        <w:tabs>
          <w:tab w:leader="none" w:pos="1301" w:val="left"/>
        </w:tabs>
        <w:numPr>
          <w:ilvl w:val="0"/>
          <w:numId w:val="392"/>
        </w:numPr>
        <w:rPr>
          <w:rFonts w:ascii="Arial" w:cs="Arial" w:eastAsia="Arial" w:hAnsi="Arial"/>
          <w:sz w:val="16"/>
          <w:szCs w:val="16"/>
          <w:color w:val="auto"/>
        </w:rPr>
      </w:pPr>
      <w:r>
        <w:rPr>
          <w:rFonts w:ascii="Arial" w:cs="Arial" w:eastAsia="Arial" w:hAnsi="Arial"/>
          <w:sz w:val="16"/>
          <w:szCs w:val="16"/>
          <w:i w:val="1"/>
          <w:iCs w:val="1"/>
          <w:color w:val="auto"/>
        </w:rPr>
        <w:t>Limitations on Settlement by Counterparty</w:t>
      </w:r>
      <w:r>
        <w:rPr>
          <w:rFonts w:ascii="Arial" w:cs="Arial" w:eastAsia="Arial" w:hAnsi="Arial"/>
          <w:sz w:val="16"/>
          <w:szCs w:val="16"/>
          <w:color w:val="auto"/>
        </w:rPr>
        <w:t>. Notwithstanding anything herein or in the Agreement to the contrary (except as set forth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8(f)), in no event shall Counterparty be required to deliver Shares in connection with the Transaction in excess of 470,718 Shares, as such number may be adjusted from time to time in accordance with the provisions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adjustment shall cause the Capped Number to exceed the Available Shares (as in effect from time to time), other than as a result of actions of Counterparty or events within Counterparty’s control (the “</w:t>
      </w:r>
      <w:r>
        <w:rPr>
          <w:rFonts w:ascii="Arial" w:cs="Arial" w:eastAsia="Arial" w:hAnsi="Arial"/>
          <w:sz w:val="16"/>
          <w:szCs w:val="16"/>
          <w:b w:val="1"/>
          <w:bCs w:val="1"/>
          <w:color w:val="auto"/>
        </w:rPr>
        <w:t>Capped</w:t>
      </w:r>
      <w:r>
        <w:rPr>
          <w:rFonts w:ascii="Arial" w:cs="Arial" w:eastAsia="Arial" w:hAnsi="Arial"/>
          <w:sz w:val="16"/>
          <w:szCs w:val="16"/>
          <w:color w:val="auto"/>
        </w:rPr>
        <w:t xml:space="preserve"> </w:t>
      </w:r>
      <w:r>
        <w:rPr>
          <w:rFonts w:ascii="Arial" w:cs="Arial" w:eastAsia="Arial" w:hAnsi="Arial"/>
          <w:sz w:val="16"/>
          <w:szCs w:val="16"/>
          <w:b w:val="1"/>
          <w:bCs w:val="1"/>
          <w:color w:val="auto"/>
        </w:rPr>
        <w:t>Number</w:t>
      </w:r>
      <w:r>
        <w:rPr>
          <w:rFonts w:ascii="Arial" w:cs="Arial" w:eastAsia="Arial" w:hAnsi="Arial"/>
          <w:sz w:val="16"/>
          <w:szCs w:val="16"/>
          <w:color w:val="auto"/>
        </w:rPr>
        <w:t>”). Notwithstanding anything to the contrary in the Agreement or the Equity Definitions, such limitation shall not affect the calculation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Obligation (as defined in Section </w:t>
      </w:r>
      <w:r>
        <w:rPr>
          <w:rFonts w:ascii="Arial" w:cs="Arial" w:eastAsia="Arial" w:hAnsi="Arial"/>
          <w:sz w:val="16"/>
          <w:szCs w:val="16"/>
          <w:b w:val="1"/>
          <w:bCs w:val="1"/>
          <w:color w:val="auto"/>
        </w:rPr>
        <w:t>Error! Reference source not found.</w:t>
      </w:r>
      <w:r>
        <w:rPr>
          <w:rFonts w:ascii="Arial" w:cs="Arial" w:eastAsia="Arial" w:hAnsi="Arial"/>
          <w:sz w:val="16"/>
          <w:szCs w:val="16"/>
          <w:color w:val="auto"/>
        </w:rPr>
        <w:t>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Arial" w:cs="Arial" w:eastAsia="Arial" w:hAnsi="Arial"/>
          <w:sz w:val="16"/>
          <w:szCs w:val="16"/>
          <w:b w:val="1"/>
          <w:bCs w:val="1"/>
          <w:color w:val="auto"/>
        </w:rPr>
        <w:t>Available Shares</w:t>
      </w:r>
      <w:r>
        <w:rPr>
          <w:rFonts w:ascii="Arial" w:cs="Arial" w:eastAsia="Arial" w:hAnsi="Arial"/>
          <w:sz w:val="16"/>
          <w:szCs w:val="16"/>
          <w:color w:val="auto"/>
        </w:rPr>
        <w:t>”). In the event Counterparty shall not have delivered the full number of Shares otherwise deliverable as a result of this Section 8(f) (the resulting deficit, the “</w:t>
      </w:r>
      <w:r>
        <w:rPr>
          <w:rFonts w:ascii="Arial" w:cs="Arial" w:eastAsia="Arial" w:hAnsi="Arial"/>
          <w:sz w:val="16"/>
          <w:szCs w:val="16"/>
          <w:b w:val="1"/>
          <w:bCs w:val="1"/>
          <w:color w:val="auto"/>
        </w:rPr>
        <w:t>Deficit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Counterparty shall be continually obligated to deliver Shares, from time to time until the full number of Deficit Shares have been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paragraph, when, 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Arial" w:cs="Arial" w:eastAsia="Arial" w:hAnsi="Arial"/>
          <w:sz w:val="16"/>
          <w:szCs w:val="16"/>
          <w:b w:val="1"/>
          <w:bCs w:val="1"/>
          <w:color w:val="auto"/>
        </w:rPr>
        <w:t>Share Issuance Events</w:t>
      </w:r>
      <w:r>
        <w:rPr>
          <w:rFonts w:ascii="Arial" w:cs="Arial" w:eastAsia="Arial" w:hAnsi="Arial"/>
          <w:sz w:val="16"/>
          <w:szCs w:val="16"/>
          <w:color w:val="auto"/>
        </w:rPr>
        <w:t xml:space="preserve">”). In the event that there are any Deficit Shares 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60" w:name="page361"/>
    <w:bookmarkEnd w:id="360"/>
    <w:p>
      <w:pPr>
        <w:ind w:left="-20" w:right="20" w:firstLine="656"/>
        <w:spacing w:after="0" w:line="255" w:lineRule="auto"/>
        <w:tabs>
          <w:tab w:leader="none" w:pos="1378"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Equity Rights</w:t>
      </w:r>
      <w:r>
        <w:rPr>
          <w:rFonts w:ascii="Arial" w:cs="Arial" w:eastAsia="Arial" w:hAnsi="Arial"/>
          <w:sz w:val="18"/>
          <w:szCs w:val="18"/>
          <w:color w:val="auto"/>
        </w:rPr>
        <w:t>. Dealer acknowledges and agrees that this Confirmation is not intended to convey to it rights with respect to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93" w:lineRule="exact"/>
        <w:rPr>
          <w:rFonts w:ascii="Arial" w:cs="Arial" w:eastAsia="Arial" w:hAnsi="Arial"/>
          <w:sz w:val="18"/>
          <w:szCs w:val="18"/>
          <w:color w:val="auto"/>
        </w:rPr>
      </w:pPr>
    </w:p>
    <w:p>
      <w:pPr>
        <w:ind w:left="1380" w:hanging="744"/>
        <w:spacing w:after="0"/>
        <w:tabs>
          <w:tab w:leader="none" w:pos="1380"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Amendments to Equity Definitions</w:t>
      </w:r>
      <w:r>
        <w:rPr>
          <w:rFonts w:ascii="Arial" w:cs="Arial" w:eastAsia="Arial" w:hAnsi="Arial"/>
          <w:sz w:val="18"/>
          <w:szCs w:val="18"/>
          <w:color w:val="auto"/>
        </w:rPr>
        <w:t>. The following amendments shall be made to the Equity Definitions:</w:t>
      </w:r>
    </w:p>
    <w:p>
      <w:pPr>
        <w:spacing w:after="0" w:line="225" w:lineRule="exact"/>
        <w:rPr>
          <w:rFonts w:ascii="Arial" w:cs="Arial" w:eastAsia="Arial" w:hAnsi="Arial"/>
          <w:sz w:val="18"/>
          <w:szCs w:val="18"/>
          <w:color w:val="auto"/>
        </w:rPr>
      </w:pPr>
    </w:p>
    <w:p>
      <w:pPr>
        <w:ind w:left="640" w:right="100" w:firstLine="645"/>
        <w:spacing w:after="0" w:line="253" w:lineRule="auto"/>
        <w:tabs>
          <w:tab w:leader="none" w:pos="1958"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spacing w:after="0" w:line="197" w:lineRule="exact"/>
        <w:rPr>
          <w:rFonts w:ascii="Arial" w:cs="Arial" w:eastAsia="Arial" w:hAnsi="Arial"/>
          <w:sz w:val="18"/>
          <w:szCs w:val="18"/>
          <w:color w:val="auto"/>
        </w:rPr>
      </w:pPr>
    </w:p>
    <w:p>
      <w:pPr>
        <w:jc w:val="both"/>
        <w:ind w:left="640" w:right="40" w:firstLine="645"/>
        <w:spacing w:after="0" w:line="264" w:lineRule="auto"/>
        <w:tabs>
          <w:tab w:leader="none" w:pos="1967"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spacing w:after="0" w:line="181" w:lineRule="exact"/>
        <w:rPr>
          <w:rFonts w:ascii="Arial" w:cs="Arial" w:eastAsia="Arial" w:hAnsi="Arial"/>
          <w:sz w:val="18"/>
          <w:szCs w:val="18"/>
          <w:color w:val="auto"/>
        </w:rPr>
      </w:pPr>
    </w:p>
    <w:p>
      <w:pPr>
        <w:jc w:val="both"/>
        <w:ind w:left="640" w:right="520" w:firstLine="645"/>
        <w:spacing w:after="0" w:line="342" w:lineRule="auto"/>
        <w:tabs>
          <w:tab w:leader="none" w:pos="1977" w:val="left"/>
        </w:tabs>
        <w:numPr>
          <w:ilvl w:val="1"/>
          <w:numId w:val="393"/>
        </w:numPr>
        <w:rPr>
          <w:rFonts w:ascii="Arial" w:cs="Arial" w:eastAsia="Arial" w:hAnsi="Arial"/>
          <w:sz w:val="16"/>
          <w:szCs w:val="16"/>
          <w:color w:val="auto"/>
        </w:rPr>
      </w:pPr>
      <w:r>
        <w:rPr>
          <w:rFonts w:ascii="Arial" w:cs="Arial" w:eastAsia="Arial" w:hAnsi="Arial"/>
          <w:sz w:val="16"/>
          <w:szCs w:val="16"/>
          <w:color w:val="auto"/>
        </w:rPr>
        <w:t>Section 12.7(b) of the Equity Definitions is hereby amended by deleting the words “(and in any event within five Exchange Business Days) by the parties after” appearing after the words “agreed promptly” and replacing with the words “by the parties on or prior to”;</w:t>
      </w:r>
    </w:p>
    <w:p>
      <w:pPr>
        <w:spacing w:after="0" w:line="123" w:lineRule="exact"/>
        <w:rPr>
          <w:rFonts w:ascii="Arial" w:cs="Arial" w:eastAsia="Arial" w:hAnsi="Arial"/>
          <w:sz w:val="16"/>
          <w:szCs w:val="16"/>
          <w:color w:val="auto"/>
        </w:rPr>
      </w:pPr>
    </w:p>
    <w:p>
      <w:pPr>
        <w:ind w:left="640" w:firstLine="645"/>
        <w:spacing w:after="0" w:line="274" w:lineRule="auto"/>
        <w:tabs>
          <w:tab w:leader="none" w:pos="1953" w:val="left"/>
        </w:tabs>
        <w:numPr>
          <w:ilvl w:val="1"/>
          <w:numId w:val="393"/>
        </w:numPr>
        <w:rPr>
          <w:rFonts w:ascii="Arial" w:cs="Arial" w:eastAsia="Arial" w:hAnsi="Arial"/>
          <w:sz w:val="17"/>
          <w:szCs w:val="17"/>
          <w:color w:val="auto"/>
        </w:rPr>
      </w:pPr>
      <w:r>
        <w:rPr>
          <w:rFonts w:ascii="Arial" w:cs="Arial" w:eastAsia="Arial" w:hAnsi="Arial"/>
          <w:sz w:val="17"/>
          <w:szCs w:val="17"/>
          <w:color w:val="auto"/>
        </w:rPr>
        <w:t>Section 12.9(b)(iv) of the Equity Definitions is hereby amended by (A) deleting (1) subsection (A) in its entirety, (2) the phrase “or (B)” following subsection (A) and (3) the phrase “in each case” in subsection (B); (B) replacing “will lend” with “lends” in subsection (B); and</w:t>
      </w:r>
    </w:p>
    <w:p>
      <w:pPr>
        <w:ind w:left="640"/>
        <w:spacing w:after="0" w:line="270" w:lineRule="auto"/>
        <w:rPr>
          <w:rFonts w:ascii="Arial" w:cs="Arial" w:eastAsia="Arial" w:hAnsi="Arial"/>
          <w:sz w:val="17"/>
          <w:szCs w:val="17"/>
          <w:color w:val="auto"/>
        </w:rPr>
      </w:pPr>
      <w:r>
        <w:rPr>
          <w:rFonts w:ascii="Arial" w:cs="Arial" w:eastAsia="Arial" w:hAnsi="Arial"/>
          <w:sz w:val="17"/>
          <w:szCs w:val="17"/>
          <w:color w:val="auto"/>
        </w:rPr>
        <w:t>(C) deleting the phrase “neither the Non-Hedging Party nor the Lending Party lends Shares in the amount of the Hedging Shares or” in the penultimate sentence; “</w:t>
      </w:r>
      <w:r>
        <w:rPr>
          <w:rFonts w:ascii="Arial" w:cs="Arial" w:eastAsia="Arial" w:hAnsi="Arial"/>
          <w:sz w:val="17"/>
          <w:szCs w:val="17"/>
          <w:b w:val="1"/>
          <w:bCs w:val="1"/>
          <w:color w:val="auto"/>
        </w:rPr>
        <w:t>Lending Party</w:t>
      </w:r>
      <w:r>
        <w:rPr>
          <w:rFonts w:ascii="Arial" w:cs="Arial" w:eastAsia="Arial" w:hAnsi="Arial"/>
          <w:sz w:val="17"/>
          <w:szCs w:val="17"/>
          <w:color w:val="auto"/>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spacing w:after="0" w:line="178" w:lineRule="exact"/>
        <w:rPr>
          <w:rFonts w:ascii="Arial" w:cs="Arial" w:eastAsia="Arial" w:hAnsi="Arial"/>
          <w:sz w:val="17"/>
          <w:szCs w:val="17"/>
          <w:color w:val="auto"/>
        </w:rPr>
      </w:pPr>
    </w:p>
    <w:p>
      <w:pPr>
        <w:ind w:left="640" w:right="120" w:firstLine="645"/>
        <w:spacing w:after="0" w:line="259" w:lineRule="auto"/>
        <w:tabs>
          <w:tab w:leader="none" w:pos="1944"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spacing w:after="0" w:line="186" w:lineRule="exact"/>
        <w:rPr>
          <w:rFonts w:ascii="Arial" w:cs="Arial" w:eastAsia="Arial" w:hAnsi="Arial"/>
          <w:sz w:val="18"/>
          <w:szCs w:val="18"/>
          <w:color w:val="auto"/>
        </w:rPr>
      </w:pPr>
    </w:p>
    <w:p>
      <w:pPr>
        <w:ind w:left="-20" w:right="320" w:firstLine="656"/>
        <w:spacing w:after="0" w:line="277" w:lineRule="auto"/>
        <w:tabs>
          <w:tab w:leader="none" w:pos="1460"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Transfer and Assignment</w:t>
      </w:r>
      <w:r>
        <w:rPr>
          <w:rFonts w:ascii="Arial" w:cs="Arial" w:eastAsia="Arial" w:hAnsi="Arial"/>
          <w:sz w:val="18"/>
          <w:szCs w:val="18"/>
          <w:color w:val="auto"/>
        </w:rPr>
        <w:t>. Dealer may transfer or assign its rights and obligations hereunder and under the Agreement,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at any time without the consent of Counterparty.</w:t>
      </w:r>
    </w:p>
    <w:p>
      <w:pPr>
        <w:spacing w:after="0" w:line="170" w:lineRule="exact"/>
        <w:rPr>
          <w:rFonts w:ascii="Arial" w:cs="Arial" w:eastAsia="Arial" w:hAnsi="Arial"/>
          <w:sz w:val="18"/>
          <w:szCs w:val="18"/>
          <w:color w:val="auto"/>
        </w:rPr>
      </w:pPr>
    </w:p>
    <w:p>
      <w:pPr>
        <w:ind w:left="-20" w:right="460" w:firstLine="656"/>
        <w:spacing w:after="0" w:line="264" w:lineRule="auto"/>
        <w:tabs>
          <w:tab w:leader="none" w:pos="1446"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361" w:name="page362"/>
    <w:bookmarkEnd w:id="361"/>
    <w:p>
      <w:pPr>
        <w:spacing w:after="0"/>
        <w:rPr>
          <w:sz w:val="20"/>
          <w:szCs w:val="20"/>
          <w:color w:val="auto"/>
        </w:rPr>
      </w:pPr>
      <w:r>
        <w:rPr>
          <w:rFonts w:ascii="Arial" w:cs="Arial" w:eastAsia="Arial" w:hAnsi="Arial"/>
          <w:sz w:val="17"/>
          <w:szCs w:val="17"/>
          <w:color w:val="auto"/>
        </w:rPr>
        <w:t>materials of any kind (including opinions or other tax analyses) that are provided to Counterparty relating to such tax treatment and tax structure.</w:t>
      </w:r>
    </w:p>
    <w:p>
      <w:pPr>
        <w:spacing w:after="0" w:line="237" w:lineRule="exact"/>
        <w:rPr>
          <w:sz w:val="20"/>
          <w:szCs w:val="20"/>
          <w:color w:val="auto"/>
        </w:rPr>
      </w:pPr>
    </w:p>
    <w:p>
      <w:pPr>
        <w:ind w:right="280" w:firstLine="656"/>
        <w:spacing w:after="0" w:line="293" w:lineRule="auto"/>
        <w:tabs>
          <w:tab w:leader="none" w:pos="1304" w:val="left"/>
        </w:tabs>
        <w:numPr>
          <w:ilvl w:val="0"/>
          <w:numId w:val="394"/>
        </w:numPr>
        <w:rPr>
          <w:rFonts w:ascii="Arial" w:cs="Arial" w:eastAsia="Arial" w:hAnsi="Arial"/>
          <w:sz w:val="16"/>
          <w:szCs w:val="16"/>
          <w:color w:val="auto"/>
        </w:rPr>
      </w:pPr>
      <w:r>
        <w:rPr>
          <w:rFonts w:ascii="Arial" w:cs="Arial" w:eastAsia="Arial" w:hAnsi="Arial"/>
          <w:sz w:val="16"/>
          <w:szCs w:val="16"/>
          <w:i w:val="1"/>
          <w:iCs w:val="1"/>
          <w:color w:val="auto"/>
        </w:rPr>
        <w:t>Additional Termination Events</w:t>
      </w:r>
      <w:r>
        <w:rPr>
          <w:rFonts w:ascii="Arial" w:cs="Arial" w:eastAsia="Arial" w:hAnsi="Arial"/>
          <w:sz w:val="16"/>
          <w:szCs w:val="16"/>
          <w:color w:val="auto"/>
        </w:rPr>
        <w:t>. The occurrence of any of the following shall constitute an Additional Termination Event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spacing w:after="0" w:line="164" w:lineRule="exact"/>
        <w:rPr>
          <w:rFonts w:ascii="Arial" w:cs="Arial" w:eastAsia="Arial" w:hAnsi="Arial"/>
          <w:sz w:val="16"/>
          <w:szCs w:val="16"/>
          <w:color w:val="auto"/>
        </w:rPr>
      </w:pPr>
    </w:p>
    <w:p>
      <w:pPr>
        <w:ind w:left="640" w:firstLine="652"/>
        <w:spacing w:after="0" w:line="276" w:lineRule="auto"/>
        <w:tabs>
          <w:tab w:leader="none" w:pos="1971" w:val="left"/>
        </w:tabs>
        <w:numPr>
          <w:ilvl w:val="1"/>
          <w:numId w:val="394"/>
        </w:numPr>
        <w:rPr>
          <w:rFonts w:ascii="Arial" w:cs="Arial" w:eastAsia="Arial" w:hAnsi="Arial"/>
          <w:sz w:val="17"/>
          <w:szCs w:val="17"/>
          <w:color w:val="auto"/>
        </w:rPr>
      </w:pPr>
      <w:r>
        <w:rPr>
          <w:rFonts w:ascii="Arial" w:cs="Arial" w:eastAsia="Arial" w:hAnsi="Arial"/>
          <w:sz w:val="17"/>
          <w:szCs w:val="17"/>
          <w:color w:val="auto"/>
        </w:rPr>
        <w:t>Dealer reasonably determines that it is advisable to terminate a portion of the Transaction so that Dealer’s related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spacing w:after="0" w:line="172" w:lineRule="exact"/>
        <w:rPr>
          <w:rFonts w:ascii="Arial" w:cs="Arial" w:eastAsia="Arial" w:hAnsi="Arial"/>
          <w:sz w:val="17"/>
          <w:szCs w:val="17"/>
          <w:color w:val="auto"/>
        </w:rPr>
      </w:pPr>
    </w:p>
    <w:p>
      <w:pPr>
        <w:ind w:left="640" w:right="40" w:firstLine="652"/>
        <w:spacing w:after="0" w:line="255" w:lineRule="auto"/>
        <w:tabs>
          <w:tab w:leader="none" w:pos="1981" w:val="left"/>
        </w:tabs>
        <w:numPr>
          <w:ilvl w:val="1"/>
          <w:numId w:val="394"/>
        </w:numPr>
        <w:rPr>
          <w:rFonts w:ascii="Arial" w:cs="Arial" w:eastAsia="Arial" w:hAnsi="Arial"/>
          <w:sz w:val="18"/>
          <w:szCs w:val="18"/>
          <w:color w:val="auto"/>
        </w:rPr>
      </w:pPr>
      <w:r>
        <w:rPr>
          <w:rFonts w:ascii="Arial" w:cs="Arial" w:eastAsia="Arial" w:hAnsi="Arial"/>
          <w:sz w:val="18"/>
          <w:szCs w:val="18"/>
          <w:color w:val="auto"/>
        </w:rPr>
        <w:t xml:space="preserve">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spacing w:after="0" w:line="193" w:lineRule="exact"/>
        <w:rPr>
          <w:rFonts w:ascii="Arial" w:cs="Arial" w:eastAsia="Arial" w:hAnsi="Arial"/>
          <w:sz w:val="18"/>
          <w:szCs w:val="18"/>
          <w:color w:val="auto"/>
        </w:rPr>
      </w:pPr>
    </w:p>
    <w:p>
      <w:pPr>
        <w:ind w:left="640" w:right="140" w:firstLine="652"/>
        <w:spacing w:after="0" w:line="264" w:lineRule="auto"/>
        <w:tabs>
          <w:tab w:leader="none" w:pos="199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spacing w:after="0" w:line="181" w:lineRule="exact"/>
        <w:rPr>
          <w:rFonts w:ascii="Arial" w:cs="Arial" w:eastAsia="Arial" w:hAnsi="Arial"/>
          <w:sz w:val="18"/>
          <w:szCs w:val="18"/>
          <w:color w:val="auto"/>
        </w:rPr>
      </w:pPr>
    </w:p>
    <w:p>
      <w:pPr>
        <w:ind w:left="640" w:right="60" w:firstLine="652"/>
        <w:spacing w:after="0" w:line="302" w:lineRule="auto"/>
        <w:tabs>
          <w:tab w:leader="none" w:pos="1967" w:val="left"/>
        </w:tabs>
        <w:numPr>
          <w:ilvl w:val="1"/>
          <w:numId w:val="394"/>
        </w:numPr>
        <w:rPr>
          <w:rFonts w:ascii="Arial" w:cs="Arial" w:eastAsia="Arial" w:hAnsi="Arial"/>
          <w:sz w:val="16"/>
          <w:szCs w:val="16"/>
          <w:color w:val="auto"/>
        </w:rPr>
      </w:pPr>
      <w:r>
        <w:rPr>
          <w:rFonts w:ascii="Arial" w:cs="Arial" w:eastAsia="Arial" w:hAnsi="Arial"/>
          <w:sz w:val="16"/>
          <w:szCs w:val="16"/>
          <w:color w:val="auto"/>
        </w:rPr>
        <w:t>(1) any sale, lease or other transfer, in one transaction or a series of transactions, of all or substantially all of the assets of Counterparty and its subsidiaries, taken as a whole, to any 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spacing w:after="0" w:line="154" w:lineRule="exact"/>
        <w:rPr>
          <w:sz w:val="20"/>
          <w:szCs w:val="20"/>
          <w:color w:val="auto"/>
        </w:rPr>
      </w:pPr>
    </w:p>
    <w:p>
      <w:pPr>
        <w:ind w:left="640" w:right="60"/>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notwithstanding the foregoing, any transaction or event set forth in the immediately preceding clause (iv) shall not constitute an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Termination Event if (x)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(y)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2" w:name="page363"/>
    <w:bookmarkEnd w:id="362"/>
    <w:p>
      <w:pPr>
        <w:ind w:left="1880" w:hanging="668"/>
        <w:spacing w:after="0"/>
        <w:tabs>
          <w:tab w:leader="none" w:pos="188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holders of Shares approve any plan or proposal for Counterparty’s liquidation or dissolution (other than in a transaction described</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in (iv) above).</w:t>
      </w:r>
    </w:p>
    <w:p>
      <w:pPr>
        <w:spacing w:after="0" w:line="210" w:lineRule="exact"/>
        <w:rPr>
          <w:rFonts w:ascii="Arial" w:cs="Arial" w:eastAsia="Arial" w:hAnsi="Arial"/>
          <w:sz w:val="16"/>
          <w:szCs w:val="16"/>
          <w:color w:val="auto"/>
        </w:rPr>
      </w:pPr>
    </w:p>
    <w:p>
      <w:pPr>
        <w:ind w:left="-80" w:right="100" w:firstLine="656"/>
        <w:spacing w:after="0" w:line="287" w:lineRule="auto"/>
        <w:tabs>
          <w:tab w:leader="none" w:pos="1238" w:val="left"/>
        </w:tabs>
        <w:numPr>
          <w:ilvl w:val="0"/>
          <w:numId w:val="396"/>
        </w:numPr>
        <w:rPr>
          <w:rFonts w:ascii="Arial" w:cs="Arial" w:eastAsia="Arial" w:hAnsi="Arial"/>
          <w:sz w:val="16"/>
          <w:szCs w:val="16"/>
          <w:color w:val="auto"/>
        </w:rPr>
      </w:pPr>
      <w:r>
        <w:rPr>
          <w:rFonts w:ascii="Arial" w:cs="Arial" w:eastAsia="Arial" w:hAnsi="Arial"/>
          <w:sz w:val="16"/>
          <w:szCs w:val="16"/>
          <w:i w:val="1"/>
          <w:iCs w:val="1"/>
          <w:color w:val="auto"/>
        </w:rPr>
        <w:t>Early Unwind</w:t>
      </w:r>
      <w:r>
        <w:rPr>
          <w:rFonts w:ascii="Arial" w:cs="Arial" w:eastAsia="Arial" w:hAnsi="Arial"/>
          <w:sz w:val="16"/>
          <w:szCs w:val="16"/>
          <w:color w:val="auto"/>
        </w:rPr>
        <w:t>. In the event the sale by Counterparty of the Optional Securities (defined under the Purchase Agreement)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consummated pursuant to the Purchase Agreement for any reason by the close of business in New York on November 1, 2019 (or such later date as agreed upon by the parties) (November 1, 2019 or such later date being the “</w:t>
      </w:r>
      <w:r>
        <w:rPr>
          <w:rFonts w:ascii="Arial" w:cs="Arial" w:eastAsia="Arial" w:hAnsi="Arial"/>
          <w:sz w:val="16"/>
          <w:szCs w:val="16"/>
          <w:b w:val="1"/>
          <w:bCs w:val="1"/>
          <w:color w:val="auto"/>
        </w:rPr>
        <w:t>Early Unwind Date</w:t>
      </w:r>
      <w:r>
        <w:rPr>
          <w:rFonts w:ascii="Arial" w:cs="Arial" w:eastAsia="Arial" w:hAnsi="Arial"/>
          <w:sz w:val="16"/>
          <w:szCs w:val="16"/>
          <w:color w:val="auto"/>
        </w:rPr>
        <w:t>”), the Transaction shall automatically terminate (the “</w:t>
      </w:r>
      <w:r>
        <w:rPr>
          <w:rFonts w:ascii="Arial" w:cs="Arial" w:eastAsia="Arial" w:hAnsi="Arial"/>
          <w:sz w:val="16"/>
          <w:szCs w:val="16"/>
          <w:b w:val="1"/>
          <w:bCs w:val="1"/>
          <w:color w:val="auto"/>
        </w:rPr>
        <w:t>Early</w:t>
      </w:r>
      <w:r>
        <w:rPr>
          <w:rFonts w:ascii="Arial" w:cs="Arial" w:eastAsia="Arial" w:hAnsi="Arial"/>
          <w:sz w:val="16"/>
          <w:szCs w:val="16"/>
          <w:color w:val="auto"/>
        </w:rPr>
        <w:t xml:space="preserve"> </w:t>
      </w:r>
      <w:r>
        <w:rPr>
          <w:rFonts w:ascii="Arial" w:cs="Arial" w:eastAsia="Arial" w:hAnsi="Arial"/>
          <w:sz w:val="16"/>
          <w:szCs w:val="16"/>
          <w:b w:val="1"/>
          <w:bCs w:val="1"/>
          <w:color w:val="auto"/>
        </w:rPr>
        <w:t>Unwind</w:t>
      </w:r>
      <w:r>
        <w:rPr>
          <w:rFonts w:ascii="Arial" w:cs="Arial" w:eastAsia="Arial" w:hAnsi="Arial"/>
          <w:sz w:val="16"/>
          <w:szCs w:val="16"/>
          <w:color w:val="auto"/>
        </w:rPr>
        <w:t>”) on the Early Unwind Date and (i) the Transaction and all of the respective rights and obligations of Dealer and Counterparty thereunder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and terminated and (ii)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spacing w:after="0" w:line="172" w:lineRule="exact"/>
        <w:rPr>
          <w:rFonts w:ascii="Arial" w:cs="Arial" w:eastAsia="Arial" w:hAnsi="Arial"/>
          <w:sz w:val="16"/>
          <w:szCs w:val="16"/>
          <w:color w:val="auto"/>
        </w:rPr>
      </w:pPr>
    </w:p>
    <w:p>
      <w:pPr>
        <w:ind w:left="-80" w:right="80" w:firstLine="656"/>
        <w:spacing w:after="0" w:line="312" w:lineRule="auto"/>
        <w:tabs>
          <w:tab w:leader="none" w:pos="1220" w:val="left"/>
        </w:tabs>
        <w:numPr>
          <w:ilvl w:val="0"/>
          <w:numId w:val="396"/>
        </w:numPr>
        <w:rPr>
          <w:rFonts w:ascii="Arial" w:cs="Arial" w:eastAsia="Arial" w:hAnsi="Arial"/>
          <w:sz w:val="16"/>
          <w:szCs w:val="16"/>
          <w:color w:val="auto"/>
        </w:rPr>
      </w:pPr>
      <w:r>
        <w:rPr>
          <w:rFonts w:ascii="Arial" w:cs="Arial" w:eastAsia="Arial" w:hAnsi="Arial"/>
          <w:sz w:val="16"/>
          <w:szCs w:val="16"/>
          <w:i w:val="1"/>
          <w:iCs w:val="1"/>
          <w:color w:val="auto"/>
        </w:rPr>
        <w:t>No Netting and Set-off</w:t>
      </w:r>
      <w:r>
        <w:rPr>
          <w:rFonts w:ascii="Arial" w:cs="Arial" w:eastAsia="Arial" w:hAnsi="Arial"/>
          <w:sz w:val="16"/>
          <w:szCs w:val="16"/>
          <w:color w:val="auto"/>
        </w:rPr>
        <w:t>. 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6" w:lineRule="exact"/>
        <w:rPr>
          <w:rFonts w:ascii="Arial" w:cs="Arial" w:eastAsia="Arial" w:hAnsi="Arial"/>
          <w:sz w:val="16"/>
          <w:szCs w:val="16"/>
          <w:color w:val="auto"/>
        </w:rPr>
      </w:pPr>
    </w:p>
    <w:p>
      <w:pPr>
        <w:ind w:left="-80" w:firstLine="656"/>
        <w:spacing w:after="0" w:line="257" w:lineRule="auto"/>
        <w:tabs>
          <w:tab w:leader="none" w:pos="1224"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t>Delivery of Cash</w:t>
      </w:r>
      <w:r>
        <w:rPr>
          <w:rFonts w:ascii="Arial" w:cs="Arial" w:eastAsia="Arial" w:hAnsi="Arial"/>
          <w:sz w:val="18"/>
          <w:szCs w:val="18"/>
          <w:color w:val="auto"/>
        </w:rPr>
        <w:t>. For the avoidance of doubt, nothing in this Confirmation shall be interpreted as requiring the Counterparty to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spacing w:after="0" w:line="188" w:lineRule="exact"/>
        <w:rPr>
          <w:rFonts w:ascii="Arial" w:cs="Arial" w:eastAsia="Arial" w:hAnsi="Arial"/>
          <w:sz w:val="18"/>
          <w:szCs w:val="18"/>
          <w:color w:val="auto"/>
        </w:rPr>
      </w:pPr>
    </w:p>
    <w:p>
      <w:pPr>
        <w:ind w:left="-80" w:right="40" w:firstLine="656"/>
        <w:spacing w:after="0" w:line="289" w:lineRule="auto"/>
        <w:tabs>
          <w:tab w:leader="none" w:pos="1224" w:val="left"/>
        </w:tabs>
        <w:numPr>
          <w:ilvl w:val="0"/>
          <w:numId w:val="396"/>
        </w:numPr>
        <w:rPr>
          <w:rFonts w:ascii="Arial" w:cs="Arial" w:eastAsia="Arial" w:hAnsi="Arial"/>
          <w:sz w:val="16"/>
          <w:szCs w:val="16"/>
          <w:color w:val="auto"/>
        </w:rPr>
      </w:pPr>
      <w:r>
        <w:rPr>
          <w:rFonts w:ascii="Arial" w:cs="Arial" w:eastAsia="Arial" w:hAnsi="Arial"/>
          <w:sz w:val="16"/>
          <w:szCs w:val="16"/>
          <w:i w:val="1"/>
          <w:iCs w:val="1"/>
          <w:color w:val="auto"/>
        </w:rPr>
        <w:t>Agreements and Acknowledgements Regarding Hedging</w:t>
      </w:r>
      <w:r>
        <w:rPr>
          <w:rFonts w:ascii="Arial" w:cs="Arial" w:eastAsia="Arial" w:hAnsi="Arial"/>
          <w:sz w:val="16"/>
          <w:szCs w:val="16"/>
          <w:color w:val="auto"/>
        </w:rPr>
        <w:t>. Counterparty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66" w:lineRule="exact"/>
        <w:rPr>
          <w:rFonts w:ascii="Arial" w:cs="Arial" w:eastAsia="Arial" w:hAnsi="Arial"/>
          <w:sz w:val="16"/>
          <w:szCs w:val="16"/>
          <w:color w:val="auto"/>
        </w:rPr>
      </w:pPr>
    </w:p>
    <w:p>
      <w:pPr>
        <w:ind w:left="-80" w:firstLine="656"/>
        <w:spacing w:after="0" w:line="293" w:lineRule="auto"/>
        <w:tabs>
          <w:tab w:leader="none" w:pos="1224" w:val="left"/>
        </w:tabs>
        <w:numPr>
          <w:ilvl w:val="0"/>
          <w:numId w:val="396"/>
        </w:numPr>
        <w:rPr>
          <w:rFonts w:ascii="Arial" w:cs="Arial" w:eastAsia="Arial" w:hAnsi="Arial"/>
          <w:sz w:val="16"/>
          <w:szCs w:val="16"/>
          <w:color w:val="auto"/>
        </w:rPr>
      </w:pPr>
      <w:r>
        <w:rPr>
          <w:rFonts w:ascii="Arial" w:cs="Arial" w:eastAsia="Arial" w:hAnsi="Arial"/>
          <w:sz w:val="16"/>
          <w:szCs w:val="16"/>
          <w:i w:val="1"/>
          <w:iCs w:val="1"/>
          <w:color w:val="auto"/>
        </w:rPr>
        <w:t>Wall Street Transparency and Accountability Act</w:t>
      </w:r>
      <w:r>
        <w:rPr>
          <w:rFonts w:ascii="Arial" w:cs="Arial" w:eastAsia="Arial" w:hAnsi="Arial"/>
          <w:sz w:val="16"/>
          <w:szCs w:val="16"/>
          <w:color w:val="auto"/>
        </w:rPr>
        <w:t>. In connection with Section 739 of the Wall Street Transparency and Accountability Act</w:t>
      </w:r>
      <w:r>
        <w:rPr>
          <w:rFonts w:ascii="Arial" w:cs="Arial" w:eastAsia="Arial" w:hAnsi="Arial"/>
          <w:sz w:val="16"/>
          <w:szCs w:val="16"/>
          <w:i w:val="1"/>
          <w:iCs w:val="1"/>
          <w:color w:val="auto"/>
        </w:rPr>
        <w:t xml:space="preserve"> </w:t>
      </w:r>
      <w:r>
        <w:rPr>
          <w:rFonts w:ascii="Arial" w:cs="Arial" w:eastAsia="Arial" w:hAnsi="Arial"/>
          <w:sz w:val="16"/>
          <w:szCs w:val="16"/>
          <w:color w:val="auto"/>
        </w:rPr>
        <w:t>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63" w:name="page364"/>
    <w:bookmarkEnd w:id="363"/>
    <w:p>
      <w:pPr>
        <w:ind w:right="180"/>
        <w:spacing w:after="0" w:line="277" w:lineRule="auto"/>
        <w:rPr>
          <w:sz w:val="20"/>
          <w:szCs w:val="20"/>
          <w:color w:val="auto"/>
        </w:rPr>
      </w:pPr>
      <w:r>
        <w:rPr>
          <w:rFonts w:ascii="Arial" w:cs="Arial" w:eastAsia="Arial" w:hAnsi="Arial"/>
          <w:sz w:val="18"/>
          <w:szCs w:val="18"/>
          <w:color w:val="auto"/>
        </w:rPr>
        <w:t>Definitions incorporated herein, or the Agreement (including, but not limited to, rights arising from Change in Law, Hedging Disruption, Increased Cost of Hedging or Illegality).</w:t>
      </w:r>
    </w:p>
    <w:p>
      <w:pPr>
        <w:spacing w:after="0" w:line="170" w:lineRule="exact"/>
        <w:rPr>
          <w:sz w:val="20"/>
          <w:szCs w:val="20"/>
          <w:color w:val="auto"/>
        </w:rPr>
      </w:pPr>
    </w:p>
    <w:p>
      <w:pPr>
        <w:ind w:right="120" w:firstLine="656"/>
        <w:spacing w:after="0" w:line="259" w:lineRule="auto"/>
        <w:tabs>
          <w:tab w:leader="none" w:pos="1304"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AGREEMENT, THIS CONFIRMATION AND ALL MATTERS ARISING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86" w:lineRule="exact"/>
        <w:rPr>
          <w:rFonts w:ascii="Arial" w:cs="Arial" w:eastAsia="Arial" w:hAnsi="Arial"/>
          <w:sz w:val="18"/>
          <w:szCs w:val="18"/>
          <w:color w:val="auto"/>
        </w:rPr>
      </w:pPr>
    </w:p>
    <w:p>
      <w:pPr>
        <w:ind w:right="40" w:firstLine="656"/>
        <w:spacing w:after="0" w:line="277" w:lineRule="auto"/>
        <w:tabs>
          <w:tab w:leader="none" w:pos="1314"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Counterparty and Dealer.</w:t>
      </w:r>
    </w:p>
    <w:p>
      <w:pPr>
        <w:spacing w:after="0" w:line="170" w:lineRule="exact"/>
        <w:rPr>
          <w:rFonts w:ascii="Arial" w:cs="Arial" w:eastAsia="Arial" w:hAnsi="Arial"/>
          <w:sz w:val="18"/>
          <w:szCs w:val="18"/>
          <w:color w:val="auto"/>
        </w:rPr>
      </w:pPr>
    </w:p>
    <w:p>
      <w:pPr>
        <w:ind w:right="420" w:firstLine="656"/>
        <w:spacing w:after="0" w:line="277" w:lineRule="auto"/>
        <w:tabs>
          <w:tab w:leader="none" w:pos="1311"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72" w:lineRule="auto"/>
        <w:tabs>
          <w:tab w:leader="none" w:pos="1978" w:val="left"/>
        </w:tabs>
        <w:numPr>
          <w:ilvl w:val="1"/>
          <w:numId w:val="397"/>
        </w:numPr>
        <w:rPr>
          <w:rFonts w:ascii="Arial" w:cs="Arial" w:eastAsia="Arial" w:hAnsi="Arial"/>
          <w:sz w:val="17"/>
          <w:szCs w:val="17"/>
          <w:color w:val="auto"/>
        </w:rPr>
      </w:pPr>
      <w:r>
        <w:rPr>
          <w:rFonts w:ascii="Arial" w:cs="Arial" w:eastAsia="Arial" w:hAnsi="Arial"/>
          <w:sz w:val="17"/>
          <w:szCs w:val="17"/>
          <w:color w:val="auto"/>
        </w:rPr>
        <w:t>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7" w:lineRule="exact"/>
        <w:rPr>
          <w:rFonts w:ascii="Arial" w:cs="Arial" w:eastAsia="Arial" w:hAnsi="Arial"/>
          <w:sz w:val="17"/>
          <w:szCs w:val="17"/>
          <w:color w:val="auto"/>
        </w:rPr>
      </w:pPr>
    </w:p>
    <w:p>
      <w:pPr>
        <w:ind w:left="660" w:firstLine="645"/>
        <w:spacing w:after="0" w:line="271" w:lineRule="auto"/>
        <w:tabs>
          <w:tab w:leader="none" w:pos="1987" w:val="left"/>
        </w:tabs>
        <w:numPr>
          <w:ilvl w:val="1"/>
          <w:numId w:val="397"/>
        </w:numPr>
        <w:rPr>
          <w:rFonts w:ascii="Arial" w:cs="Arial" w:eastAsia="Arial" w:hAnsi="Arial"/>
          <w:sz w:val="17"/>
          <w:szCs w:val="17"/>
          <w:color w:val="auto"/>
        </w:rPr>
      </w:pPr>
      <w:r>
        <w:rPr>
          <w:rFonts w:ascii="Arial" w:cs="Arial" w:eastAsia="Arial" w:hAnsi="Arial"/>
          <w:sz w:val="17"/>
          <w:szCs w:val="17"/>
          <w:color w:val="auto"/>
        </w:rPr>
        <w:t>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Arial" w:cs="Arial" w:eastAsia="Arial" w:hAnsi="Arial"/>
          <w:sz w:val="17"/>
          <w:szCs w:val="17"/>
          <w:b w:val="1"/>
          <w:bCs w:val="1"/>
          <w:color w:val="auto"/>
        </w:rPr>
        <w:t>871(m) Protocol</w:t>
      </w:r>
      <w:r>
        <w:rPr>
          <w:rFonts w:ascii="Arial" w:cs="Arial" w:eastAsia="Arial" w:hAnsi="Arial"/>
          <w:sz w:val="17"/>
          <w:szCs w:val="17"/>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78" w:lineRule="exact"/>
        <w:rPr>
          <w:rFonts w:ascii="Arial" w:cs="Arial" w:eastAsia="Arial" w:hAnsi="Arial"/>
          <w:sz w:val="17"/>
          <w:szCs w:val="17"/>
          <w:color w:val="auto"/>
        </w:rPr>
      </w:pPr>
    </w:p>
    <w:p>
      <w:pPr>
        <w:ind w:left="660" w:right="160" w:firstLine="645"/>
        <w:spacing w:after="0" w:line="293" w:lineRule="auto"/>
        <w:tabs>
          <w:tab w:leader="none" w:pos="1997"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W-8ECI “Certificate of Foreign Person’s Claim That Income Is Effectively Connected With the Conduct of a Trade or Business in the United States” or any successor thereto, (i) on or before the date of execution of this Confirmation, (ii) upon reasonable request of Counterparty and (iii) promptly upon learning that any such tax form previously provided by Dealer has become obsolete or incorrect.</w:t>
      </w:r>
    </w:p>
    <w:p>
      <w:pPr>
        <w:spacing w:after="0" w:line="164" w:lineRule="exact"/>
        <w:rPr>
          <w:rFonts w:ascii="Arial" w:cs="Arial" w:eastAsia="Arial" w:hAnsi="Arial"/>
          <w:sz w:val="16"/>
          <w:szCs w:val="16"/>
          <w:color w:val="auto"/>
        </w:rPr>
      </w:pPr>
    </w:p>
    <w:p>
      <w:pPr>
        <w:ind w:left="660" w:firstLine="645"/>
        <w:spacing w:after="0" w:line="297" w:lineRule="auto"/>
        <w:tabs>
          <w:tab w:leader="none" w:pos="1973"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Tax Representations. For the purpose of Section 3(f) of the Agreement, Counterparty is a corporation for U.S. federal income tax purposes and is organized under the laws of the State of Iowa.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Dealer represents to Counterparty that each payment received or to be received by it under the Agreement will be effectively connected with its conduct of a trade or business in the United States.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64" w:name="page365"/>
    <w:bookmarkEnd w:id="364"/>
    <w:p>
      <w:pPr>
        <w:ind w:left="1320" w:hanging="664"/>
        <w:spacing w:after="0"/>
        <w:tabs>
          <w:tab w:leader="none" w:pos="1320" w:val="left"/>
        </w:tabs>
        <w:numPr>
          <w:ilvl w:val="1"/>
          <w:numId w:val="398"/>
        </w:numPr>
        <w:rPr>
          <w:rFonts w:ascii="Arial" w:cs="Arial" w:eastAsia="Arial" w:hAnsi="Arial"/>
          <w:sz w:val="16"/>
          <w:szCs w:val="16"/>
          <w:color w:val="auto"/>
        </w:rPr>
      </w:pPr>
      <w:r>
        <w:rPr>
          <w:rFonts w:ascii="Arial" w:cs="Arial" w:eastAsia="Arial" w:hAnsi="Arial"/>
          <w:sz w:val="16"/>
          <w:szCs w:val="16"/>
          <w:i w:val="1"/>
          <w:iCs w:val="1"/>
          <w:color w:val="auto"/>
        </w:rPr>
        <w:t>Role of Agent</w:t>
      </w:r>
      <w:r>
        <w:rPr>
          <w:rFonts w:ascii="Arial" w:cs="Arial" w:eastAsia="Arial" w:hAnsi="Arial"/>
          <w:sz w:val="16"/>
          <w:szCs w:val="16"/>
          <w:color w:val="auto"/>
        </w:rPr>
        <w:t>. Each of Dealer and Counterparty acknowledges to and agrees with the other party hereto and to and with the Agent that</w:t>
      </w:r>
    </w:p>
    <w:p>
      <w:pPr>
        <w:spacing w:after="0" w:line="46" w:lineRule="exact"/>
        <w:rPr>
          <w:rFonts w:ascii="Arial" w:cs="Arial" w:eastAsia="Arial" w:hAnsi="Arial"/>
          <w:sz w:val="16"/>
          <w:szCs w:val="16"/>
          <w:color w:val="auto"/>
        </w:rPr>
      </w:pPr>
    </w:p>
    <w:p>
      <w:pPr>
        <w:ind w:firstLine="8"/>
        <w:spacing w:after="0" w:line="281" w:lineRule="auto"/>
        <w:tabs>
          <w:tab w:leader="none" w:pos="21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w:t>
      </w:r>
    </w:p>
    <w:p>
      <w:pPr>
        <w:spacing w:after="0" w:line="3" w:lineRule="exact"/>
        <w:rPr>
          <w:rFonts w:ascii="Arial" w:cs="Arial" w:eastAsia="Arial" w:hAnsi="Arial"/>
          <w:sz w:val="16"/>
          <w:szCs w:val="16"/>
          <w:color w:val="auto"/>
        </w:rPr>
      </w:pPr>
    </w:p>
    <w:p>
      <w:pPr>
        <w:ind w:right="20" w:firstLine="8"/>
        <w:spacing w:after="0" w:line="302" w:lineRule="auto"/>
        <w:tabs>
          <w:tab w:leader="none" w:pos="25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each party agrees to proceed solely against the other party, and not the Agent, to collect or recover any money or securities owed to it in connection with the Transactions. Each party hereto acknowledges and agrees that the Agent is an intended third party beneficiary hereunder. Counterparty acknowledges that the Agent is an affiliate of Dealer. Dealer will be acting for its own account in respect of this Confirmation and the Transactions contemplated hereunder.</w:t>
      </w:r>
    </w:p>
    <w:p>
      <w:pPr>
        <w:spacing w:after="0" w:line="151" w:lineRule="exact"/>
        <w:rPr>
          <w:sz w:val="20"/>
          <w:szCs w:val="20"/>
          <w:color w:val="auto"/>
        </w:rPr>
      </w:pPr>
    </w:p>
    <w:p>
      <w:pPr>
        <w:ind w:left="980" w:hanging="324"/>
        <w:spacing w:after="0"/>
        <w:tabs>
          <w:tab w:leader="none" w:pos="98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225" w:lineRule="exact"/>
        <w:rPr>
          <w:sz w:val="20"/>
          <w:szCs w:val="20"/>
          <w:color w:val="auto"/>
        </w:rPr>
      </w:pPr>
    </w:p>
    <w:p>
      <w:pPr>
        <w:ind w:right="300" w:firstLine="656"/>
        <w:spacing w:after="0" w:line="282" w:lineRule="auto"/>
        <w:tabs>
          <w:tab w:leader="none" w:pos="1304"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402"/>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awards are generally final and binding; a party’s ability to have a court reverse or modify an arbitration award is very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limited.</w:t>
      </w:r>
    </w:p>
    <w:p>
      <w:pPr>
        <w:spacing w:after="0" w:line="206" w:lineRule="exact"/>
        <w:rPr>
          <w:rFonts w:ascii="Arial" w:cs="Arial" w:eastAsia="Arial" w:hAnsi="Arial"/>
          <w:sz w:val="16"/>
          <w:szCs w:val="16"/>
          <w:b w:val="1"/>
          <w:bCs w:val="1"/>
          <w:color w:val="auto"/>
        </w:rPr>
      </w:pPr>
    </w:p>
    <w:p>
      <w:pPr>
        <w:ind w:right="80" w:firstLine="656"/>
        <w:spacing w:after="0" w:line="282" w:lineRule="auto"/>
        <w:tabs>
          <w:tab w:leader="none" w:pos="1307"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the parties to obtain documents, witness statements and other discovery is generally more limited in arbitration than in court proceedings.</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do not have to explain the reason(s) for their award.</w:t>
      </w:r>
    </w:p>
    <w:p>
      <w:pPr>
        <w:spacing w:after="0" w:line="225" w:lineRule="exact"/>
        <w:rPr>
          <w:rFonts w:ascii="Arial" w:cs="Arial" w:eastAsia="Arial" w:hAnsi="Arial"/>
          <w:sz w:val="18"/>
          <w:szCs w:val="18"/>
          <w:b w:val="1"/>
          <w:bCs w:val="1"/>
          <w:color w:val="auto"/>
        </w:rPr>
      </w:pPr>
    </w:p>
    <w:p>
      <w:pPr>
        <w:jc w:val="both"/>
        <w:ind w:right="460" w:firstLine="656"/>
        <w:spacing w:after="0" w:line="266" w:lineRule="auto"/>
        <w:tabs>
          <w:tab w:leader="none" w:pos="1307"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6" w:lineRule="exact"/>
        <w:rPr>
          <w:rFonts w:ascii="Arial" w:cs="Arial" w:eastAsia="Arial" w:hAnsi="Arial"/>
          <w:sz w:val="18"/>
          <w:szCs w:val="18"/>
          <w:b w:val="1"/>
          <w:bCs w:val="1"/>
          <w:color w:val="auto"/>
        </w:rPr>
      </w:pPr>
    </w:p>
    <w:p>
      <w:pPr>
        <w:ind w:right="420" w:firstLine="656"/>
        <w:spacing w:after="0" w:line="282" w:lineRule="auto"/>
        <w:tabs>
          <w:tab w:leader="none" w:pos="1301"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The rules of some arbitration forums may impose time limits for bringing a claim in arbitration. In some cases, a claim that is ineligible for arbitration may be brought in court.</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402"/>
        </w:numPr>
        <w:rPr>
          <w:rFonts w:ascii="Arial" w:cs="Arial" w:eastAsia="Arial" w:hAnsi="Arial"/>
          <w:sz w:val="17"/>
          <w:szCs w:val="17"/>
          <w:b w:val="1"/>
          <w:bCs w:val="1"/>
          <w:color w:val="auto"/>
        </w:rPr>
      </w:pPr>
      <w:r>
        <w:rPr>
          <w:rFonts w:ascii="Arial" w:cs="Arial" w:eastAsia="Arial" w:hAnsi="Arial"/>
          <w:sz w:val="17"/>
          <w:szCs w:val="17"/>
          <w:b w:val="1"/>
          <w:bCs w:val="1"/>
          <w:color w:val="auto"/>
        </w:rPr>
        <w:t>The rules of the arbitration forum in which the claim is filed, and any amendments thereto, shall be incorporated into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Confirmation.</w:t>
      </w:r>
    </w:p>
    <w:p>
      <w:pPr>
        <w:spacing w:after="0" w:line="206" w:lineRule="exact"/>
        <w:rPr>
          <w:rFonts w:ascii="Arial" w:cs="Arial" w:eastAsia="Arial" w:hAnsi="Arial"/>
          <w:sz w:val="17"/>
          <w:szCs w:val="17"/>
          <w:b w:val="1"/>
          <w:bCs w:val="1"/>
          <w:color w:val="auto"/>
        </w:rPr>
      </w:pPr>
    </w:p>
    <w:p>
      <w:pPr>
        <w:ind w:firstLine="656"/>
        <w:spacing w:after="0" w:line="258" w:lineRule="auto"/>
        <w:tabs>
          <w:tab w:leader="none" w:pos="1314"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83" w:lineRule="exact"/>
        <w:rPr>
          <w:rFonts w:ascii="Arial" w:cs="Arial" w:eastAsia="Arial" w:hAnsi="Arial"/>
          <w:sz w:val="18"/>
          <w:szCs w:val="18"/>
          <w:b w:val="1"/>
          <w:bCs w:val="1"/>
          <w:color w:val="auto"/>
        </w:rPr>
      </w:pPr>
    </w:p>
    <w:p>
      <w:pPr>
        <w:jc w:val="both"/>
        <w:ind w:right="180" w:firstLine="656"/>
        <w:spacing w:after="0" w:line="289" w:lineRule="auto"/>
        <w:tabs>
          <w:tab w:leader="none" w:pos="1304" w:val="left"/>
        </w:tabs>
        <w:numPr>
          <w:ilvl w:val="1"/>
          <w:numId w:val="402"/>
        </w:numPr>
        <w:rPr>
          <w:rFonts w:ascii="Arial" w:cs="Arial" w:eastAsia="Arial" w:hAnsi="Arial"/>
          <w:sz w:val="16"/>
          <w:szCs w:val="16"/>
          <w:b w:val="1"/>
          <w:bCs w:val="1"/>
          <w:color w:val="auto"/>
        </w:rPr>
      </w:pPr>
      <w:r>
        <w:rPr>
          <w:rFonts w:ascii="Arial" w:cs="Arial" w:eastAsia="Arial" w:hAnsi="Arial"/>
          <w:sz w:val="16"/>
          <w:szCs w:val="16"/>
          <w:b w:val="1"/>
          <w:bCs w:val="1"/>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is excluded from the class by the court.</w:t>
      </w:r>
    </w:p>
    <w:p>
      <w:pPr>
        <w:spacing w:after="0" w:line="206" w:lineRule="exact"/>
        <w:rPr>
          <w:rFonts w:ascii="Arial" w:cs="Arial" w:eastAsia="Arial" w:hAnsi="Arial"/>
          <w:sz w:val="18"/>
          <w:szCs w:val="18"/>
          <w:b w:val="1"/>
          <w:bCs w:val="1"/>
          <w:color w:val="auto"/>
        </w:rPr>
      </w:pPr>
    </w:p>
    <w:p>
      <w:pPr>
        <w:ind w:right="40" w:firstLine="656"/>
        <w:spacing w:after="0" w:line="282" w:lineRule="auto"/>
        <w:tabs>
          <w:tab w:leader="none" w:pos="1314" w:val="left"/>
        </w:tabs>
        <w:numPr>
          <w:ilvl w:val="1"/>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Such forbearance to enforce an agreement to arbitrate shall not constitute a waiver of any rights under this Confirmation except to the extent stated 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5" w:name="page366"/>
    <w:bookmarkEnd w:id="365"/>
    <w:p>
      <w:pPr>
        <w:jc w:val="both"/>
        <w:ind w:right="280" w:firstLine="654"/>
        <w:spacing w:after="0" w:line="279" w:lineRule="auto"/>
        <w:rPr>
          <w:sz w:val="20"/>
          <w:szCs w:val="20"/>
          <w:color w:val="auto"/>
        </w:rPr>
      </w:pPr>
      <w:r>
        <w:rPr>
          <w:rFonts w:ascii="Arial" w:cs="Arial" w:eastAsia="Arial" w:hAnsi="Arial"/>
          <w:sz w:val="17"/>
          <w:szCs w:val="17"/>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Dealer.</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BMO CAPITAL MARKETS CORP.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as agent for </w:t>
      </w:r>
      <w:r>
        <w:rPr>
          <w:rFonts w:ascii="Arial" w:cs="Arial" w:eastAsia="Arial" w:hAnsi="Arial"/>
          <w:sz w:val="18"/>
          <w:szCs w:val="18"/>
          <w:b w:val="1"/>
          <w:bCs w:val="1"/>
          <w:color w:val="auto"/>
        </w:rPr>
        <w:t>BANK OF MONTREAL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Stamou</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Nick Stamou</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 Derivatives Operations</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Riley</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Brian Riley</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20"/>
                <w:szCs w:val="20"/>
                <w:color w:val="auto"/>
              </w:rPr>
            </w:pPr>
          </w:p>
        </w:tc>
      </w:tr>
      <w:tr>
        <w:trPr>
          <w:trHeight w:val="648"/>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BANK OF MONTREAL</w:t>
            </w:r>
          </w:p>
        </w:tc>
        <w:tc>
          <w:tcPr>
            <w:tcW w:w="40" w:type="dxa"/>
            <w:vAlign w:val="bottom"/>
          </w:tcPr>
          <w:p>
            <w:pPr>
              <w:spacing w:after="0"/>
              <w:rPr>
                <w:sz w:val="24"/>
                <w:szCs w:val="24"/>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Henderson</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Andrew Henderson</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 Derivatives Operations</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Bryan L. Hughes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Bryan L. Hughes</w:t>
            </w:r>
          </w:p>
        </w:tc>
        <w:tc>
          <w:tcPr>
            <w:tcW w:w="576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Vice President, Chief Financial Officer</w:t>
            </w:r>
          </w:p>
        </w:tc>
        <w:tc>
          <w:tcPr>
            <w:tcW w:w="5760" w:type="dxa"/>
            <w:vAlign w:val="bottom"/>
          </w:tcPr>
          <w:p>
            <w:pPr>
              <w:spacing w:after="0"/>
              <w:rPr>
                <w:sz w:val="20"/>
                <w:szCs w:val="20"/>
                <w:color w:val="auto"/>
              </w:rPr>
            </w:pPr>
          </w:p>
        </w:tc>
      </w:tr>
      <w:tr>
        <w:trPr>
          <w:trHeight w:val="348"/>
        </w:trPr>
        <w:tc>
          <w:tcPr>
            <w:tcW w:w="4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67" w:name="page368"/>
    <w:bookmarkEnd w:id="367"/>
    <w:p>
      <w:pPr>
        <w:ind w:left="10740"/>
        <w:spacing w:after="0"/>
        <w:rPr>
          <w:sz w:val="20"/>
          <w:szCs w:val="20"/>
          <w:color w:val="auto"/>
        </w:rPr>
      </w:pPr>
      <w:r>
        <w:rPr>
          <w:rFonts w:ascii="Arial" w:cs="Arial" w:eastAsia="Arial" w:hAnsi="Arial"/>
          <w:sz w:val="17"/>
          <w:szCs w:val="17"/>
          <w:b w:val="1"/>
          <w:bCs w:val="1"/>
          <w:color w:val="auto"/>
        </w:rPr>
        <w:t>Annex 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each Component of the Transaction, the Number of Warrants and Expiration Date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Component Number</w:t>
            </w:r>
          </w:p>
        </w:tc>
        <w:tc>
          <w:tcPr>
            <w:tcW w:w="3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Number of Warrants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40" w:type="dxa"/>
            <w:vAlign w:val="bottom"/>
          </w:tcPr>
          <w:p>
            <w:pPr>
              <w:spacing w:after="0"/>
              <w:rPr>
                <w:sz w:val="14"/>
                <w:szCs w:val="14"/>
                <w:color w:val="auto"/>
              </w:rPr>
            </w:pPr>
          </w:p>
        </w:tc>
      </w:tr>
      <w:tr>
        <w:trPr>
          <w:trHeight w:val="210"/>
        </w:trPr>
        <w:tc>
          <w:tcPr>
            <w:tcW w:w="3680" w:type="dxa"/>
            <w:vAlign w:val="bottom"/>
            <w:tcBorders>
              <w:top w:val="single" w:sz="8" w:color="auto"/>
            </w:tcBorders>
            <w:shd w:val="clear" w:color="auto" w:fill="CCEEFF"/>
          </w:tcPr>
          <w:p>
            <w:pPr>
              <w:ind w:left="184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1,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2,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3,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7,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8,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July 9,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10,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July 11,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14, 2024</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15,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16,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17,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18,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21,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22,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23,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24,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25,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29,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31,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1,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4,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5,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6,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7,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August 8,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11,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12,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13,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14,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15,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18,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19,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20,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22,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25,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26,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27,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August 28,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29,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2,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4,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5, 2025</w:t>
            </w:r>
          </w:p>
        </w:tc>
        <w:tc>
          <w:tcPr>
            <w:tcW w:w="40" w:type="dxa"/>
            <w:vAlign w:val="bottom"/>
          </w:tcPr>
          <w:p>
            <w:pPr>
              <w:spacing w:after="0"/>
              <w:rPr>
                <w:sz w:val="18"/>
                <w:szCs w:val="18"/>
                <w:color w:val="auto"/>
              </w:rPr>
            </w:pPr>
          </w:p>
        </w:tc>
      </w:tr>
      <w:tr>
        <w:trPr>
          <w:trHeight w:val="216"/>
        </w:trPr>
        <w:tc>
          <w:tcPr>
            <w:tcW w:w="3680" w:type="dxa"/>
            <w:vAlign w:val="bottom"/>
          </w:tcPr>
          <w:p>
            <w:pPr>
              <w:ind w:left="18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8, 2025</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9, 2025</w:t>
            </w:r>
          </w:p>
        </w:tc>
        <w:tc>
          <w:tcPr>
            <w:tcW w:w="40" w:type="dxa"/>
            <w:vAlign w:val="bottom"/>
          </w:tcPr>
          <w:p>
            <w:pPr>
              <w:spacing w:after="0"/>
              <w:rPr>
                <w:sz w:val="18"/>
                <w:szCs w:val="18"/>
                <w:color w:val="auto"/>
              </w:rPr>
            </w:pPr>
          </w:p>
        </w:tc>
      </w:tr>
      <w:tr>
        <w:trPr>
          <w:trHeight w:val="230"/>
        </w:trPr>
        <w:tc>
          <w:tcPr>
            <w:tcW w:w="3680" w:type="dxa"/>
            <w:vAlign w:val="bottom"/>
          </w:tcPr>
          <w:p>
            <w:pPr>
              <w:ind w:left="184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2,354</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September 10, 2025</w:t>
            </w:r>
          </w:p>
        </w:tc>
        <w:tc>
          <w:tcPr>
            <w:tcW w:w="40" w:type="dxa"/>
            <w:vAlign w:val="bottom"/>
          </w:tcPr>
          <w:p>
            <w:pPr>
              <w:spacing w:after="0"/>
              <w:rPr>
                <w:sz w:val="20"/>
                <w:szCs w:val="20"/>
                <w:color w:val="auto"/>
              </w:rPr>
            </w:pPr>
          </w:p>
        </w:tc>
      </w:tr>
      <w:tr>
        <w:trPr>
          <w:trHeight w:val="334"/>
        </w:trPr>
        <w:tc>
          <w:tcPr>
            <w:tcW w:w="3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11,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52.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12,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15,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54.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16,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17,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56.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18,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19,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58.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22,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23,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24,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25,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26,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September 29,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8"/>
              </w:rPr>
              <w:t>September 30,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October 1,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9"/>
              </w:rPr>
              <w:t>October 2,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October 3,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68.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9"/>
              </w:rPr>
              <w:t>October 6,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October 7,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89"/>
              </w:rPr>
              <w:t>October 8,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October 9,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10,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13,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14,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15,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16,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17,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78.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20,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21,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22,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23,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24,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27,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28,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29,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October 30,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October 31,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88.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November 3,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89.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November 4,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November 5,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91.</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November 6,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92.</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70"/>
              <w:spacing w:after="0"/>
              <w:rPr>
                <w:sz w:val="20"/>
                <w:szCs w:val="20"/>
                <w:color w:val="auto"/>
              </w:rPr>
            </w:pPr>
            <w:r>
              <w:rPr>
                <w:rFonts w:ascii="Arial" w:cs="Arial" w:eastAsia="Arial" w:hAnsi="Arial"/>
                <w:sz w:val="18"/>
                <w:szCs w:val="18"/>
                <w:color w:val="auto"/>
                <w:w w:val="90"/>
              </w:rPr>
              <w:t>November 7,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93.</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November 10,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94.</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91"/>
              </w:rPr>
              <w:t>November 11,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95.</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November 12,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96.</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91"/>
              </w:rPr>
              <w:t>November 13,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97.</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November 14, 2025</w:t>
            </w:r>
          </w:p>
        </w:tc>
        <w:tc>
          <w:tcPr>
            <w:tcW w:w="40" w:type="dxa"/>
            <w:vAlign w:val="bottom"/>
          </w:tcPr>
          <w:p>
            <w:pPr>
              <w:spacing w:after="0"/>
              <w:rPr>
                <w:sz w:val="18"/>
                <w:szCs w:val="18"/>
                <w:color w:val="auto"/>
              </w:rPr>
            </w:pPr>
          </w:p>
        </w:tc>
      </w:tr>
      <w:tr>
        <w:trPr>
          <w:trHeight w:val="216"/>
        </w:trPr>
        <w:tc>
          <w:tcPr>
            <w:tcW w:w="3840" w:type="dxa"/>
            <w:vAlign w:val="bottom"/>
          </w:tcPr>
          <w:p>
            <w:pPr>
              <w:ind w:left="1840"/>
              <w:spacing w:after="0"/>
              <w:rPr>
                <w:sz w:val="20"/>
                <w:szCs w:val="20"/>
                <w:color w:val="auto"/>
              </w:rPr>
            </w:pPr>
            <w:r>
              <w:rPr>
                <w:rFonts w:ascii="Arial" w:cs="Arial" w:eastAsia="Arial" w:hAnsi="Arial"/>
                <w:sz w:val="18"/>
                <w:szCs w:val="18"/>
                <w:color w:val="auto"/>
              </w:rPr>
              <w:t>98.</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91"/>
              </w:rPr>
              <w:t>November 17, 2025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99.</w:t>
            </w:r>
          </w:p>
        </w:tc>
        <w:tc>
          <w:tcPr>
            <w:tcW w:w="35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November 18, 2025</w:t>
            </w:r>
          </w:p>
        </w:tc>
        <w:tc>
          <w:tcPr>
            <w:tcW w:w="40" w:type="dxa"/>
            <w:vAlign w:val="bottom"/>
          </w:tcPr>
          <w:p>
            <w:pPr>
              <w:spacing w:after="0"/>
              <w:rPr>
                <w:sz w:val="18"/>
                <w:szCs w:val="18"/>
                <w:color w:val="auto"/>
              </w:rPr>
            </w:pPr>
          </w:p>
        </w:tc>
      </w:tr>
      <w:tr>
        <w:trPr>
          <w:trHeight w:val="230"/>
        </w:trPr>
        <w:tc>
          <w:tcPr>
            <w:tcW w:w="3840" w:type="dxa"/>
            <w:vAlign w:val="bottom"/>
          </w:tcPr>
          <w:p>
            <w:pPr>
              <w:ind w:left="1840"/>
              <w:spacing w:after="0"/>
              <w:rPr>
                <w:sz w:val="20"/>
                <w:szCs w:val="20"/>
                <w:color w:val="auto"/>
              </w:rPr>
            </w:pPr>
            <w:r>
              <w:rPr>
                <w:rFonts w:ascii="Arial" w:cs="Arial" w:eastAsia="Arial" w:hAnsi="Arial"/>
                <w:sz w:val="18"/>
                <w:szCs w:val="18"/>
                <w:color w:val="auto"/>
              </w:rPr>
              <w:t>100.</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88"/>
              </w:rPr>
              <w:t>2,354</w:t>
            </w:r>
          </w:p>
        </w:tc>
        <w:tc>
          <w:tcPr>
            <w:tcW w:w="4020" w:type="dxa"/>
            <w:vAlign w:val="bottom"/>
          </w:tcPr>
          <w:p>
            <w:pPr>
              <w:jc w:val="center"/>
              <w:ind w:left="290"/>
              <w:spacing w:after="0"/>
              <w:rPr>
                <w:sz w:val="20"/>
                <w:szCs w:val="20"/>
                <w:color w:val="auto"/>
              </w:rPr>
            </w:pPr>
            <w:r>
              <w:rPr>
                <w:rFonts w:ascii="Arial" w:cs="Arial" w:eastAsia="Arial" w:hAnsi="Arial"/>
                <w:sz w:val="18"/>
                <w:szCs w:val="18"/>
                <w:color w:val="auto"/>
                <w:w w:val="91"/>
              </w:rPr>
              <w:t>November 19, 2025</w:t>
            </w:r>
          </w:p>
        </w:tc>
        <w:tc>
          <w:tcPr>
            <w:tcW w:w="40" w:type="dxa"/>
            <w:vAlign w:val="bottom"/>
          </w:tcPr>
          <w:p>
            <w:pPr>
              <w:spacing w:after="0"/>
              <w:rPr>
                <w:sz w:val="20"/>
                <w:szCs w:val="20"/>
                <w:color w:val="auto"/>
              </w:rPr>
            </w:pPr>
          </w:p>
        </w:tc>
      </w:tr>
      <w:tr>
        <w:trPr>
          <w:trHeight w:val="418"/>
        </w:trPr>
        <w:tc>
          <w:tcPr>
            <w:tcW w:w="3840" w:type="dxa"/>
            <w:vAlign w:val="bottom"/>
          </w:tcPr>
          <w:p>
            <w:pPr>
              <w:spacing w:after="0"/>
              <w:rPr>
                <w:sz w:val="24"/>
                <w:szCs w:val="24"/>
                <w:color w:val="auto"/>
              </w:rPr>
            </w:pPr>
          </w:p>
        </w:tc>
        <w:tc>
          <w:tcPr>
            <w:tcW w:w="3560" w:type="dxa"/>
            <w:vAlign w:val="bottom"/>
          </w:tcPr>
          <w:p>
            <w:pPr>
              <w:jc w:val="center"/>
              <w:ind w:left="90"/>
              <w:spacing w:after="0"/>
              <w:rPr>
                <w:sz w:val="20"/>
                <w:szCs w:val="20"/>
                <w:color w:val="auto"/>
              </w:rPr>
            </w:pPr>
            <w:r>
              <w:rPr>
                <w:rFonts w:ascii="Arial" w:cs="Arial" w:eastAsia="Arial" w:hAnsi="Arial"/>
                <w:sz w:val="18"/>
                <w:szCs w:val="18"/>
                <w:color w:val="auto"/>
                <w:w w:val="99"/>
              </w:rPr>
              <w:t>2</w:t>
            </w: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4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272665" cy="3257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272665" cy="3257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 Steve Stuber - Investor Relations - 952-828-8461 - srstuber@wgo.net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Contact: Sam Jefson - Public Relations Specialist — 641-585-6803 - sjefson@wgo.net</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WINNEBAGO INDUSTRIES ANNOUNCES PRICING OF OFFERING OF $270.0 MILLION AGGREGATE PRINCIPAL AMOUNT OF CONVERTIBLE SENIOR NOTES</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FOREST CITY, IOWA, October 29, 2019 — Winnebago Industries, Inc. (NYSE: WGO) (the “Company”), a leading outdoor lifestyle product manufacturer, priced $270.0 million in aggregate principal amount of 1.50% convertible senior notes due 2025 (the “notes”) in a previously announced private offering to qualified institutional buyers pursuant to Rule 144A under the Securities Act of 1933, as amended (the “Securities Act”). In connection with the offering, the Company has granted the initial purchasers a 30-day option to purchase up to an additional $30.0 million in aggregate principal amount of notes.</w:t>
      </w:r>
    </w:p>
    <w:p>
      <w:pPr>
        <w:spacing w:after="0" w:line="15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notes will bear interest at a rate of 1.50% per year, payable semi-annually in arrears on April 1 and October 1 of each year, beginning April 1, 2020. The notes will mature on April 1, 2025, unless repurchased or converted in accordance with their terms prior to such date. Prior to October 1, 2024, the notes will be convertible only upon satisfaction of certain conditions and during certain periods, and on and after October 1, 2024, at any time until the close of business on the second scheduled trading day immediately preceding the maturity date.</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will settle conversions by paying or delivering, as applicable, cash, shares of its common stock or a combination of cash and shares of its common stock, at its election, based on the applicable conversion rate(s). Holders of the notes will have the right to require the Company to repurchase all or any portion of their notes at 100% of their principal amount, plus any accrued and unpaid interest, upon the occurrence of certain fundamental changes.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conversion rate will initially be 15.6906 shares of common stock per $1,000 principal amount of notes (equivalent to an initial conversion price of approximately $63.73 per share of the Company’s common stock), subject to adjustment. The initial conversion price of the notes represents a premium of approximately 32.5% over the $48.10 per share closing price of the Company’s common stock on October 29, 2019. The sale of the notes is expected to close November 1, 2019, subject to customary closing conditions.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pricing of the notes, the Company entered into privately negotiated convertible note hedge transactions with one or more financial institutions, which may include one or more of the initial purchasers or their respective affiliates (the “option counterparties”). These transactions cover, subject to customary anti-dilution adjustments, the number of shares of the Company’s common stock that will initially underlie the notes, and are expected generally to reduce the potential equity dilution, and/or offset any cash payments in excess of the principal amount due, as the case may be, upon conversion of the notes. The Company entered into separate, privately negotiated warrant transactions with the option counterparties at a higher strike price relating to the same number of shares of the Company’s common stock, subject to customary anti-dilution adjustments, pursuant to which the Company will sell warrants to the option counterparties. The warrants could have a dilutive effect on the Company’s outstanding common stock and the Company’s earnings per share to the extent that the price of the Company’s common stock exceeds the strike price of those warrants. The strike price of the warrants will initially be $96.20 per share, which represents a premium of 100% over the per share closing price of the Company’s common stock on October 29, 2019, and is subject to certain adjustments under the terms of the warrant transaction.</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the initial purchasers exercise their option to purchase additional notes, the Company expects to enter into additional convertible note hedge transactions and additional warrant transactions with the option counterparties, which will initially cover the number of shares of the Company’s common stock that will initially underlie the additional notes sold to the initial purchasers.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estimates that the net proceeds from this offering will be approximately $259.9 million (or approximately $289.0 million if the initial purchasers exercise their option to purchase additional notes in full), after deducting the initial purchasers’ discounts and commissions and the Company’s estimated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0" w:name="page371"/>
    <w:bookmarkEnd w:id="370"/>
    <w:p>
      <w:pPr>
        <w:ind w:right="40"/>
        <w:spacing w:after="0" w:line="291" w:lineRule="auto"/>
        <w:rPr>
          <w:sz w:val="20"/>
          <w:szCs w:val="20"/>
          <w:color w:val="auto"/>
        </w:rPr>
      </w:pPr>
      <w:r>
        <w:rPr>
          <w:rFonts w:ascii="Arial" w:cs="Arial" w:eastAsia="Arial" w:hAnsi="Arial"/>
          <w:sz w:val="16"/>
          <w:szCs w:val="16"/>
          <w:color w:val="auto"/>
        </w:rPr>
        <w:t>The Company intends to use a portion of the net proceeds from the offering to fund the cost of entering into the convertible note hedge transactions (after such cost is partially offset by the proceeds that the Company receives from entering into certain warrant transactions). The Company intends to use the remainder of the net proceeds from the offering to fund the purchase price for the previously announced acquisition of Newmar Corporation (the “Newmar Acquisition”), to pay related fees and expenses related thereto and in the event that the Newmar Acquisition does not close, for general corporate purposes (which may include future acquisitions). If the initial purchasers exercise their option to purchase additional notes, then the Company intends to use a portion of the additional net proceeds to fund the cost of entering into additional convertible note hedge transactions (after such cost is partially offset by the proceeds that the Company receives from entering into certain additional warrant transactions) and for general corporate purposes.</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been advised that in connection with establishing their initial hedges of the convertible note hedge and warrant transactions, the option counterparties and/or their respective affiliates expect to enter into various derivative transactions with respect to the Company’s common stock. This activity could have the effect of increasing (or reducing the size of any decrease in) the market price of the Company’s common stock and/or the notes, and could result in a higher effective conversion price for the notes. The option counterparties and/or their respective affiliates may modify their hedge positions by entering into or unwinding various derivatives with respect to the Company’s common stock and/or purchasing or selling the Company’s common stock or other securities of the Company in secondary market transactions from time to time prior to maturity of the notes (and the option counterparties and/or their respective affiliates are likely to do so during any observation period related to any conversion of the notes).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potential effect, if any, of these transactions and activities on the market price of the Company’s common stock or the notes will depend in part on market conditions and cannot be ascertained at this time, but any of these activities could adversely affect the value of the Company’s common stock, which could affect the ability to convert the notes, the value of the notes and the amount of cash, if any, and the number of and value of the shares of the Company’s common stock, if any, holders would receive upon conversion of the notes.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offer and sale of the notes and the shares of common stock, if any, issuable upon conversion of the notes have not been registered under the Securities Act or any state securities laws, and the notes and such shares may not be offered or sold absent registration or an applicable exemption from, or in a transaction not subject to, the registration requirements of the Securities Act and applicable state laws.</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This press release does not constitute an offer to sell or a solicitation of an offer to buy the securities described herein, nor shall there be any sale of these securities in any state or jurisdiction in which such offer, solicitation or sale would be unlawful prior to registration or qualification under the securities laws of such jurisdiction. Any offers of the notes will be made only by means of a private offering memorandum. The notes being offered have not been approved or disapproved by any regulatory authority, nor has any such authority passed upon the accuracy or adequacy of the applicable private offering memorandum.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Winnebago Industries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relating to the consummation of the offering of the notes, our proposed acquisition of Newmar Corporation,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our Enterprise Resource Planning System, risks related to compliance with debt covenants and leverage ratios, and other factors. Additional information concerning certain risks and uncertainties that could cause actual results to differ materially from that projected or suggested is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1" w:name="page372"/>
    <w:bookmarkEnd w:id="371"/>
    <w:p>
      <w:pPr>
        <w:spacing w:after="0" w:line="259" w:lineRule="auto"/>
        <w:rPr>
          <w:sz w:val="20"/>
          <w:szCs w:val="20"/>
          <w:color w:val="auto"/>
        </w:rPr>
      </w:pPr>
      <w:r>
        <w:rPr>
          <w:rFonts w:ascii="Arial" w:cs="Arial" w:eastAsia="Arial" w:hAnsi="Arial"/>
          <w:sz w:val="18"/>
          <w:szCs w:val="18"/>
          <w:color w:val="auto"/>
        </w:rPr>
        <w:t>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D3BCD4"/>
    <w:multiLevelType w:val="hybridMultilevel"/>
    <w:lvl w:ilvl="0">
      <w:lvlJc w:val="left"/>
      <w:lvlText w:val="·"/>
      <w:numFmt w:val="bullet"/>
      <w:start w:val="1"/>
    </w:lvl>
  </w:abstractNum>
  <w:abstractNum w:abstractNumId="1">
    <w:nsid w:val="4C2A7166"/>
    <w:multiLevelType w:val="hybridMultilevel"/>
    <w:lvl w:ilvl="0">
      <w:lvlJc w:val="left"/>
      <w:lvlText w:val="(%1)"/>
      <w:numFmt w:val="upperLetter"/>
      <w:start w:val="1"/>
    </w:lvl>
  </w:abstractNum>
  <w:abstractNum w:abstractNumId="2">
    <w:nsid w:val="2E534A82"/>
    <w:multiLevelType w:val="hybridMultilevel"/>
    <w:lvl w:ilvl="0">
      <w:lvlJc w:val="left"/>
      <w:lvlText w:val="(%1)"/>
      <w:numFmt w:val="lowerRoman"/>
      <w:start w:val="1"/>
    </w:lvl>
  </w:abstractNum>
  <w:abstractNum w:abstractNumId="3">
    <w:nsid w:val="26F2D364"/>
    <w:multiLevelType w:val="hybridMultilevel"/>
    <w:lvl w:ilvl="0">
      <w:lvlJc w:val="left"/>
      <w:lvlText w:val="(%1)"/>
      <w:numFmt w:val="upperLetter"/>
      <w:start w:val="2"/>
    </w:lvl>
  </w:abstractNum>
  <w:abstractNum w:abstractNumId="4">
    <w:nsid w:val="71C1AF98"/>
    <w:multiLevelType w:val="hybridMultilevel"/>
    <w:lvl w:ilvl="0">
      <w:lvlJc w:val="left"/>
      <w:lvlText w:val="(%1)"/>
      <w:numFmt w:val="upperLetter"/>
      <w:start w:val="1"/>
    </w:lvl>
  </w:abstractNum>
  <w:abstractNum w:abstractNumId="5">
    <w:nsid w:val="3D00B9D9"/>
    <w:multiLevelType w:val="hybridMultilevel"/>
    <w:lvl w:ilvl="0">
      <w:lvlJc w:val="left"/>
      <w:lvlText w:val="(%1)"/>
      <w:numFmt w:val="upperLetter"/>
      <w:start w:val="1"/>
    </w:lvl>
  </w:abstractNum>
  <w:abstractNum w:abstractNumId="6">
    <w:nsid w:val="15BCABA8"/>
    <w:multiLevelType w:val="hybridMultilevel"/>
    <w:lvl w:ilvl="0">
      <w:lvlJc w:val="left"/>
      <w:lvlText w:val="(%1)"/>
      <w:numFmt w:val="upperLetter"/>
      <w:start w:val="1"/>
    </w:lvl>
    <w:lvl w:ilvl="1">
      <w:lvlJc w:val="left"/>
      <w:lvlText w:val="(%2)"/>
      <w:numFmt w:val="lowerRoman"/>
      <w:start w:val="1"/>
    </w:lvl>
  </w:abstractNum>
  <w:abstractNum w:abstractNumId="7">
    <w:nsid w:val="4E0B9A87"/>
    <w:multiLevelType w:val="hybridMultilevel"/>
    <w:lvl w:ilvl="0">
      <w:lvlJc w:val="left"/>
      <w:lvlText w:val="(%1)"/>
      <w:numFmt w:val="upperLetter"/>
      <w:start w:val="1"/>
    </w:lvl>
  </w:abstractNum>
  <w:abstractNum w:abstractNumId="8">
    <w:nsid w:val="434BAE75"/>
    <w:multiLevelType w:val="hybridMultilevel"/>
    <w:lvl w:ilvl="0">
      <w:lvlJc w:val="left"/>
      <w:lvlText w:val="(%1)"/>
      <w:numFmt w:val="upperLetter"/>
      <w:start w:val="1"/>
    </w:lvl>
  </w:abstractNum>
  <w:abstractNum w:abstractNumId="9">
    <w:nsid w:val="4F38F265"/>
    <w:multiLevelType w:val="hybridMultilevel"/>
    <w:lvl w:ilvl="0">
      <w:lvlJc w:val="left"/>
      <w:lvlText w:val="(%1)"/>
      <w:numFmt w:val="upperLetter"/>
      <w:start w:val="1"/>
    </w:lvl>
  </w:abstractNum>
  <w:abstractNum w:abstractNumId="10">
    <w:nsid w:val="4C502870"/>
    <w:multiLevelType w:val="hybridMultilevel"/>
    <w:lvl w:ilvl="0">
      <w:lvlJc w:val="left"/>
      <w:lvlText w:val="(%1)"/>
      <w:numFmt w:val="upperLetter"/>
      <w:start w:val="1"/>
    </w:lvl>
  </w:abstractNum>
  <w:abstractNum w:abstractNumId="11">
    <w:nsid w:val="1DE8725A"/>
    <w:multiLevelType w:val="hybridMultilevel"/>
    <w:lvl w:ilvl="0">
      <w:lvlJc w:val="left"/>
      <w:lvlText w:val="(%1)"/>
      <w:numFmt w:val="upperLetter"/>
      <w:start w:val="2"/>
    </w:lvl>
  </w:abstractNum>
  <w:abstractNum w:abstractNumId="12">
    <w:nsid w:val="6A37288A"/>
    <w:multiLevelType w:val="hybridMultilevel"/>
    <w:lvl w:ilvl="0">
      <w:lvlJc w:val="left"/>
      <w:lvlText w:val="(%1)"/>
      <w:numFmt w:val="upperLetter"/>
      <w:start w:val="1"/>
    </w:lvl>
    <w:lvl w:ilvl="1">
      <w:lvlJc w:val="left"/>
      <w:lvlText w:val="(%2)"/>
      <w:numFmt w:val="lowerRoman"/>
      <w:start w:val="1"/>
    </w:lvl>
  </w:abstractNum>
  <w:abstractNum w:abstractNumId="13">
    <w:nsid w:val="8F8B73F"/>
    <w:multiLevelType w:val="hybridMultilevel"/>
    <w:lvl w:ilvl="0">
      <w:lvlJc w:val="left"/>
      <w:lvlText w:val="(%1)"/>
      <w:numFmt w:val="lowerRoman"/>
      <w:start w:val="2"/>
    </w:lvl>
  </w:abstractNum>
  <w:abstractNum w:abstractNumId="14">
    <w:nsid w:val="CA6B462"/>
    <w:multiLevelType w:val="hybridMultilevel"/>
    <w:lvl w:ilvl="0">
      <w:lvlJc w:val="left"/>
      <w:lvlText w:val="(%1)"/>
      <w:numFmt w:val="upperLetter"/>
      <w:start w:val="1"/>
    </w:lvl>
    <w:lvl w:ilvl="1">
      <w:lvlJc w:val="left"/>
      <w:lvlText w:val="(%2)"/>
      <w:numFmt w:val="lowerRoman"/>
      <w:start w:val="1"/>
    </w:lvl>
  </w:abstractNum>
  <w:abstractNum w:abstractNumId="15">
    <w:nsid w:val="763CB680"/>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16">
    <w:nsid w:val="15B7132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17">
    <w:nsid w:val="3DA97044"/>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18">
    <w:nsid w:val="1CDCE2DE"/>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19">
    <w:nsid w:val="69D3947C"/>
    <w:multiLevelType w:val="hybridMultilevel"/>
    <w:lvl w:ilvl="0">
      <w:lvlJc w:val="left"/>
      <w:lvlText w:val="(%1)"/>
      <w:numFmt w:val="decimal"/>
      <w:start w:val="3"/>
    </w:lvl>
    <w:lvl w:ilvl="1">
      <w:lvlJc w:val="left"/>
      <w:lvlText w:val="(%2)"/>
      <w:numFmt w:val="lowerLetter"/>
      <w:start w:val="1"/>
    </w:lvl>
  </w:abstractNum>
  <w:abstractNum w:abstractNumId="20">
    <w:nsid w:val="2539DFA5"/>
    <w:multiLevelType w:val="hybridMultilevel"/>
    <w:lvl w:ilvl="0">
      <w:lvlJc w:val="left"/>
      <w:lvlText w:val="(%1)"/>
      <w:numFmt w:val="upperLetter"/>
      <w:start w:val="4"/>
    </w:lvl>
    <w:lvl w:ilvl="1">
      <w:lvlJc w:val="left"/>
      <w:lvlText w:val="(%2)"/>
      <w:numFmt w:val="lowerRoman"/>
      <w:start w:val="1"/>
    </w:lvl>
  </w:abstractNum>
  <w:abstractNum w:abstractNumId="21">
    <w:nsid w:val="2DB88089"/>
    <w:multiLevelType w:val="hybridMultilevel"/>
    <w:lvl w:ilvl="0">
      <w:lvlJc w:val="left"/>
      <w:lvlText w:val="(%1)"/>
      <w:numFmt w:val="upperLetter"/>
      <w:start w:val="5"/>
    </w:lvl>
  </w:abstractNum>
  <w:abstractNum w:abstractNumId="22">
    <w:nsid w:val="706B674E"/>
    <w:multiLevelType w:val="hybridMultilevel"/>
    <w:lvl w:ilvl="0">
      <w:lvlJc w:val="left"/>
      <w:lvlText w:val="(%1)"/>
      <w:numFmt w:val="upperLetter"/>
      <w:start w:val="1"/>
    </w:lvl>
  </w:abstractNum>
  <w:abstractNum w:abstractNumId="23">
    <w:nsid w:val="2C106A57"/>
    <w:multiLevelType w:val="hybridMultilevel"/>
    <w:lvl w:ilvl="0">
      <w:lvlJc w:val="left"/>
      <w:lvlText w:val="(%1)"/>
      <w:numFmt w:val="upperLetter"/>
      <w:start w:val="2"/>
    </w:lvl>
    <w:lvl w:ilvl="1">
      <w:lvlJc w:val="left"/>
      <w:lvlText w:val="(%2)"/>
      <w:numFmt w:val="lowerLetter"/>
      <w:start w:val="9"/>
    </w:lvl>
  </w:abstractNum>
  <w:abstractNum w:abstractNumId="24">
    <w:nsid w:val="684EED59"/>
    <w:multiLevelType w:val="hybridMultilevel"/>
    <w:lvl w:ilvl="0">
      <w:lvlJc w:val="left"/>
      <w:lvlText w:val="(%1)"/>
      <w:numFmt w:val="lowerRoman"/>
      <w:start w:val="2"/>
    </w:lvl>
  </w:abstractNum>
  <w:abstractNum w:abstractNumId="25">
    <w:nsid w:val="545EE5D3"/>
    <w:multiLevelType w:val="hybridMultilevel"/>
    <w:lvl w:ilvl="0">
      <w:lvlJc w:val="left"/>
      <w:lvlText w:val="(%1)"/>
      <w:numFmt w:val="upperLetter"/>
      <w:start w:val="1"/>
    </w:lvl>
  </w:abstractNum>
  <w:abstractNum w:abstractNumId="26">
    <w:nsid w:val="4A66051"/>
    <w:multiLevelType w:val="hybridMultilevel"/>
    <w:lvl w:ilvl="0">
      <w:lvlJc w:val="left"/>
      <w:lvlText w:val="(%1)"/>
      <w:numFmt w:val="upperLetter"/>
      <w:start w:val="5"/>
    </w:lvl>
  </w:abstractNum>
  <w:abstractNum w:abstractNumId="27">
    <w:nsid w:val="20F4BDAD"/>
    <w:multiLevelType w:val="hybridMultilevel"/>
    <w:lvl w:ilvl="0">
      <w:lvlJc w:val="left"/>
      <w:lvlText w:val="(%1)"/>
      <w:numFmt w:val="upperLetter"/>
      <w:start w:val="1"/>
    </w:lvl>
  </w:abstractNum>
  <w:abstractNum w:abstractNumId="28">
    <w:nsid w:val="639DEFAC"/>
    <w:multiLevelType w:val="hybridMultilevel"/>
    <w:lvl w:ilvl="0">
      <w:lvlJc w:val="left"/>
      <w:lvlText w:val="(%1)"/>
      <w:numFmt w:val="upperLetter"/>
      <w:start w:val="1"/>
    </w:lvl>
  </w:abstractNum>
  <w:abstractNum w:abstractNumId="29">
    <w:nsid w:val="501F9786"/>
    <w:multiLevelType w:val="hybridMultilevel"/>
    <w:lvl w:ilvl="0">
      <w:lvlJc w:val="left"/>
      <w:lvlText w:val="(%1)"/>
      <w:numFmt w:val="upperLetter"/>
      <w:start w:val="2"/>
    </w:lvl>
  </w:abstractNum>
  <w:abstractNum w:abstractNumId="30">
    <w:nsid w:val="6B05729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1">
    <w:nsid w:val="2771AC80"/>
    <w:multiLevelType w:val="hybridMultilevel"/>
    <w:lvl w:ilvl="0">
      <w:lvlJc w:val="left"/>
      <w:lvlText w:val="%1"/>
      <w:numFmt w:val="upperLetter"/>
      <w:start w:val="1"/>
    </w:lvl>
    <w:lvl w:ilvl="1">
      <w:lvlJc w:val="left"/>
      <w:lvlText w:val="(%2)"/>
      <w:numFmt w:val="lowerRoman"/>
      <w:start w:val="2"/>
    </w:lvl>
  </w:abstractNum>
  <w:abstractNum w:abstractNumId="32">
    <w:nsid w:val="1C4A08EC"/>
    <w:multiLevelType w:val="hybridMultilevel"/>
    <w:lvl w:ilvl="0">
      <w:lvlJc w:val="left"/>
      <w:lvlText w:val="(%1)"/>
      <w:numFmt w:val="upperLetter"/>
      <w:start w:val="2"/>
    </w:lvl>
    <w:lvl w:ilvl="1">
      <w:lvlJc w:val="left"/>
      <w:lvlText w:val="%2"/>
      <w:numFmt w:val="lowerRoman"/>
      <w:start w:val="1"/>
    </w:lvl>
  </w:abstractNum>
  <w:abstractNum w:abstractNumId="33">
    <w:nsid w:val="1958BD17"/>
    <w:multiLevelType w:val="hybridMultilevel"/>
    <w:lvl w:ilvl="0">
      <w:lvlJc w:val="left"/>
      <w:lvlText w:val="%1"/>
      <w:numFmt w:val="lowerRoman"/>
      <w:start w:val="1"/>
    </w:lvl>
    <w:lvl w:ilvl="1">
      <w:lvlJc w:val="left"/>
      <w:lvlText w:val="(%2)"/>
      <w:numFmt w:val="upperLetter"/>
      <w:start w:val="3"/>
    </w:lvl>
  </w:abstractNum>
  <w:abstractNum w:abstractNumId="34">
    <w:nsid w:val="4E647FE4"/>
    <w:multiLevelType w:val="hybridMultilevel"/>
    <w:lvl w:ilvl="0">
      <w:lvlJc w:val="left"/>
      <w:lvlText w:val="(%1)"/>
      <w:numFmt w:val="lowerRoman"/>
      <w:start w:val="2"/>
    </w:lvl>
    <w:lvl w:ilvl="1">
      <w:lvlJc w:val="left"/>
      <w:lvlText w:val="%2"/>
      <w:numFmt w:val="upperLetter"/>
      <w:start w:val="1"/>
    </w:lvl>
  </w:abstractNum>
  <w:abstractNum w:abstractNumId="35">
    <w:nsid w:val="E0BB885"/>
    <w:multiLevelType w:val="hybridMultilevel"/>
    <w:lvl w:ilvl="0">
      <w:lvlJc w:val="left"/>
      <w:lvlText w:val="(%1)"/>
      <w:numFmt w:val="upperLetter"/>
      <w:start w:val="1"/>
    </w:lvl>
  </w:abstractNum>
  <w:abstractNum w:abstractNumId="36">
    <w:nsid w:val="565976F1"/>
    <w:multiLevelType w:val="hybridMultilevel"/>
    <w:lvl w:ilvl="0">
      <w:lvlJc w:val="left"/>
      <w:lvlText w:val="(%1)"/>
      <w:numFmt w:val="upperLetter"/>
      <w:start w:val="1"/>
    </w:lvl>
  </w:abstractNum>
  <w:abstractNum w:abstractNumId="37">
    <w:nsid w:val="64212B8C"/>
    <w:multiLevelType w:val="hybridMultilevel"/>
    <w:lvl w:ilvl="0">
      <w:lvlJc w:val="left"/>
      <w:lvlText w:val="(%1)"/>
      <w:numFmt w:val="lowerRoman"/>
      <w:start w:val="10"/>
    </w:lvl>
  </w:abstractNum>
  <w:abstractNum w:abstractNumId="38">
    <w:nsid w:val="5C17530C"/>
    <w:multiLevelType w:val="hybridMultilevel"/>
    <w:lvl w:ilvl="0">
      <w:lvlJc w:val="left"/>
      <w:lvlText w:val="(%1)"/>
      <w:numFmt w:val="upperLetter"/>
      <w:start w:val="1"/>
    </w:lvl>
  </w:abstractNum>
  <w:abstractNum w:abstractNumId="39">
    <w:nsid w:val="19A52566"/>
    <w:multiLevelType w:val="hybridMultilevel"/>
    <w:lvl w:ilvl="0">
      <w:lvlJc w:val="left"/>
      <w:lvlText w:val="%1"/>
      <w:numFmt w:val="lowerRoman"/>
      <w:start w:val="1"/>
    </w:lvl>
    <w:lvl w:ilvl="1">
      <w:lvlJc w:val="left"/>
      <w:lvlText w:val="(%2)"/>
      <w:numFmt w:val="upperLetter"/>
      <w:start w:val="3"/>
    </w:lvl>
  </w:abstractNum>
  <w:abstractNum w:abstractNumId="40">
    <w:nsid w:val="335A1DF1"/>
    <w:multiLevelType w:val="hybridMultilevel"/>
    <w:lvl w:ilvl="0">
      <w:lvlJc w:val="left"/>
      <w:lvlText w:val="(%1)"/>
      <w:numFmt w:val="lowerRoman"/>
      <w:start w:val="10"/>
    </w:lvl>
    <w:lvl w:ilvl="1">
      <w:lvlJc w:val="left"/>
      <w:lvlText w:val="(%2)"/>
      <w:numFmt w:val="upperLetter"/>
      <w:start w:val="5"/>
    </w:lvl>
  </w:abstractNum>
  <w:abstractNum w:abstractNumId="41">
    <w:nsid w:val="28677B7C"/>
    <w:multiLevelType w:val="hybridMultilevel"/>
    <w:lvl w:ilvl="0">
      <w:lvlJc w:val="left"/>
      <w:lvlText w:val="(%1)"/>
      <w:numFmt w:val="lowerRoman"/>
      <w:start w:val="1"/>
    </w:lvl>
  </w:abstractNum>
  <w:abstractNum w:abstractNumId="42">
    <w:nsid w:val="378D97C0"/>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3">
    <w:nsid w:val="1D91467C"/>
    <w:multiLevelType w:val="hybridMultilevel"/>
    <w:lvl w:ilvl="0">
      <w:lvlJc w:val="left"/>
      <w:lvlText w:val="(%1)"/>
      <w:numFmt w:val="decimal"/>
      <w:start w:val="2"/>
    </w:lvl>
  </w:abstractNum>
  <w:abstractNum w:abstractNumId="44">
    <w:nsid w:val="316032BB"/>
    <w:multiLevelType w:val="hybridMultilevel"/>
    <w:lvl w:ilvl="0">
      <w:lvlJc w:val="left"/>
      <w:lvlText w:val="(%1)"/>
      <w:numFmt w:val="lowerRoman"/>
      <w:start w:val="2"/>
    </w:lvl>
  </w:abstractNum>
  <w:abstractNum w:abstractNumId="45">
    <w:nsid w:val="44344C22"/>
    <w:multiLevelType w:val="hybridMultilevel"/>
    <w:lvl w:ilvl="0">
      <w:lvlJc w:val="left"/>
      <w:lvlText w:val="(%1)"/>
      <w:numFmt w:val="decimal"/>
      <w:start w:val="1"/>
    </w:lvl>
  </w:abstractNum>
  <w:abstractNum w:abstractNumId="46">
    <w:nsid w:val="13CDFCFC"/>
    <w:multiLevelType w:val="hybridMultilevel"/>
    <w:lvl w:ilvl="0">
      <w:lvlJc w:val="left"/>
      <w:lvlText w:val="(%1)"/>
      <w:numFmt w:val="lowerRoman"/>
      <w:start w:val="3"/>
    </w:lvl>
    <w:lvl w:ilvl="1">
      <w:lvlJc w:val="left"/>
      <w:lvlText w:val="(%2)"/>
      <w:numFmt w:val="decimal"/>
      <w:start w:val="1"/>
    </w:lvl>
  </w:abstractNum>
  <w:abstractNum w:abstractNumId="47">
    <w:nsid w:val="471745E4"/>
    <w:multiLevelType w:val="hybridMultilevel"/>
    <w:lvl w:ilvl="0">
      <w:lvlJc w:val="left"/>
      <w:lvlText w:val="(%1)"/>
      <w:numFmt w:val="upperLetter"/>
      <w:start w:val="7"/>
    </w:lvl>
  </w:abstractNum>
  <w:abstractNum w:abstractNumId="48">
    <w:nsid w:val="1DDBC66"/>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49">
    <w:nsid w:val="30AADFDA"/>
    <w:multiLevelType w:val="hybridMultilevel"/>
    <w:lvl w:ilvl="0">
      <w:lvlJc w:val="left"/>
      <w:lvlText w:val="(%1)"/>
      <w:numFmt w:val="decimal"/>
      <w:start w:val="5"/>
    </w:lvl>
  </w:abstractNum>
  <w:abstractNum w:abstractNumId="50">
    <w:nsid w:val="30EADA61"/>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51">
    <w:nsid w:val="27179C0B"/>
    <w:multiLevelType w:val="hybridMultilevel"/>
    <w:lvl w:ilvl="0">
      <w:lvlJc w:val="left"/>
      <w:lvlText w:val="(%1)"/>
      <w:numFmt w:val="upperLetter"/>
      <w:start w:val="35"/>
    </w:lvl>
  </w:abstractNum>
  <w:abstractNum w:abstractNumId="52">
    <w:nsid w:val="5E636063"/>
    <w:multiLevelType w:val="hybridMultilevel"/>
    <w:lvl w:ilvl="0">
      <w:lvlJc w:val="left"/>
      <w:lvlText w:val="(%1)"/>
      <w:numFmt w:val="lowerLetter"/>
      <w:start w:val="2"/>
    </w:lvl>
  </w:abstractNum>
  <w:abstractNum w:abstractNumId="53">
    <w:nsid w:val="215641AF"/>
    <w:multiLevelType w:val="hybridMultilevel"/>
    <w:lvl w:ilvl="0">
      <w:lvlJc w:val="left"/>
      <w:lvlText w:val="(%1)"/>
      <w:numFmt w:val="decimal"/>
      <w:start w:val="4"/>
    </w:lvl>
  </w:abstractNum>
  <w:abstractNum w:abstractNumId="54">
    <w:nsid w:val="53280662"/>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abstractNum>
  <w:abstractNum w:abstractNumId="55">
    <w:nsid w:val="46B24DBC"/>
    <w:multiLevelType w:val="hybridMultilevel"/>
    <w:lvl w:ilvl="0">
      <w:lvlJc w:val="left"/>
      <w:lvlText w:val="(%1)"/>
      <w:numFmt w:val="upperLetter"/>
      <w:start w:val="1"/>
    </w:lvl>
    <w:lvl w:ilvl="1">
      <w:lvlJc w:val="left"/>
      <w:lvlText w:val="(%2)"/>
      <w:numFmt w:val="lowerRoman"/>
      <w:start w:val="1"/>
    </w:lvl>
  </w:abstractNum>
  <w:abstractNum w:abstractNumId="56">
    <w:nsid w:val="75B52783"/>
    <w:multiLevelType w:val="hybridMultilevel"/>
    <w:lvl w:ilvl="0">
      <w:lvlJc w:val="left"/>
      <w:lvlText w:val="(%1)"/>
      <w:numFmt w:val="upperLetter"/>
      <w:start w:val="5"/>
    </w:lvl>
  </w:abstractNum>
  <w:abstractNum w:abstractNumId="57">
    <w:nsid w:val="57CE66B4"/>
    <w:multiLevelType w:val="hybridMultilevel"/>
    <w:lvl w:ilvl="0">
      <w:lvlJc w:val="left"/>
      <w:lvlText w:val="(%1)"/>
      <w:numFmt w:val="upperLetter"/>
      <w:start w:val="1"/>
    </w:lvl>
  </w:abstractNum>
  <w:abstractNum w:abstractNumId="58">
    <w:nsid w:val="67A70B69"/>
    <w:multiLevelType w:val="hybridMultilevel"/>
    <w:lvl w:ilvl="0">
      <w:lvlJc w:val="left"/>
      <w:lvlText w:val="(%1)"/>
      <w:numFmt w:val="lowerRoman"/>
      <w:start w:val="1"/>
    </w:lvl>
  </w:abstractNum>
  <w:abstractNum w:abstractNumId="59">
    <w:nsid w:val="5953172F"/>
    <w:multiLevelType w:val="hybridMultilevel"/>
    <w:lvl w:ilvl="0">
      <w:lvlJc w:val="left"/>
      <w:lvlText w:val="(%1)"/>
      <w:numFmt w:val="lowerRoman"/>
      <w:start w:val="2"/>
    </w:lvl>
  </w:abstractNum>
  <w:abstractNum w:abstractNumId="60">
    <w:nsid w:val="27EDFE3A"/>
    <w:multiLevelType w:val="hybridMultilevel"/>
    <w:lvl w:ilvl="0">
      <w:lvlJc w:val="left"/>
      <w:lvlText w:val="(%1)"/>
      <w:numFmt w:val="upperLetter"/>
      <w:start w:val="2"/>
    </w:lvl>
    <w:lvl w:ilvl="1">
      <w:lvlJc w:val="left"/>
      <w:lvlText w:val="(%2)"/>
      <w:numFmt w:val="lowerRoman"/>
      <w:start w:val="1"/>
    </w:lvl>
  </w:abstractNum>
  <w:abstractNum w:abstractNumId="61">
    <w:nsid w:val="52AC7DF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62">
    <w:nsid w:val="C4C3AF"/>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63">
    <w:nsid w:val="44380727"/>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64">
    <w:nsid w:val="6C053B16"/>
    <w:multiLevelType w:val="hybridMultilevel"/>
    <w:lvl w:ilvl="0">
      <w:lvlJc w:val="left"/>
      <w:lvlText w:val="(%1)"/>
      <w:numFmt w:val="upperLetter"/>
      <w:start w:val="4"/>
    </w:lvl>
  </w:abstractNum>
  <w:abstractNum w:abstractNumId="65">
    <w:nsid w:val="4F294393"/>
    <w:multiLevelType w:val="hybridMultilevel"/>
    <w:lvl w:ilvl="0">
      <w:lvlJc w:val="left"/>
      <w:lvlText w:val="(%1)"/>
      <w:numFmt w:val="upperLetter"/>
      <w:start w:val="1"/>
    </w:lvl>
  </w:abstractNum>
  <w:abstractNum w:abstractNumId="66">
    <w:nsid w:val="5243BFAC"/>
    <w:multiLevelType w:val="hybridMultilevel"/>
    <w:lvl w:ilvl="0">
      <w:lvlJc w:val="left"/>
      <w:lvlText w:val="(%1)"/>
      <w:numFmt w:val="upperLetter"/>
      <w:start w:val="1"/>
    </w:lvl>
    <w:lvl w:ilvl="1">
      <w:lvlJc w:val="left"/>
      <w:lvlText w:val="(%2)"/>
      <w:numFmt w:val="lowerRoman"/>
      <w:start w:val="1"/>
    </w:lvl>
  </w:abstractNum>
  <w:abstractNum w:abstractNumId="67">
    <w:nsid w:val="425EB207"/>
    <w:multiLevelType w:val="hybridMultilevel"/>
    <w:lvl w:ilvl="0">
      <w:lvlJc w:val="left"/>
      <w:lvlText w:val="(%1)"/>
      <w:numFmt w:val="lowerRoman"/>
      <w:start w:val="1"/>
    </w:lvl>
    <w:lvl w:ilvl="1">
      <w:lvlJc w:val="left"/>
      <w:lvlText w:val="(%2)"/>
      <w:numFmt w:val="lowerRoman"/>
      <w:start w:val="2"/>
    </w:lvl>
  </w:abstractNum>
  <w:abstractNum w:abstractNumId="68">
    <w:nsid w:val="334A6F1F"/>
    <w:multiLevelType w:val="hybridMultilevel"/>
    <w:lvl w:ilvl="0">
      <w:lvlJc w:val="left"/>
      <w:lvlText w:val="(%1)"/>
      <w:numFmt w:val="lowerRoman"/>
      <w:start w:val="3"/>
    </w:lvl>
    <w:lvl w:ilvl="1">
      <w:lvlJc w:val="left"/>
      <w:lvlText w:val="(%2)"/>
      <w:numFmt w:val="decimal"/>
      <w:start w:val="1"/>
    </w:lvl>
  </w:abstractNum>
  <w:abstractNum w:abstractNumId="69">
    <w:nsid w:val="2E5B12B8"/>
    <w:multiLevelType w:val="hybridMultilevel"/>
    <w:lvl w:ilvl="0">
      <w:lvlJc w:val="left"/>
      <w:lvlText w:val="(%1)"/>
      <w:numFmt w:val="lowerLetter"/>
      <w:start w:val="22"/>
    </w:lvl>
  </w:abstractNum>
  <w:abstractNum w:abstractNumId="70">
    <w:nsid w:val="5C03D76D"/>
    <w:multiLevelType w:val="hybridMultilevel"/>
    <w:lvl w:ilvl="0">
      <w:lvlJc w:val="left"/>
      <w:lvlText w:val="(%1)"/>
      <w:numFmt w:val="decimal"/>
      <w:start w:val="2"/>
    </w:lvl>
  </w:abstractNum>
  <w:abstractNum w:abstractNumId="71">
    <w:nsid w:val="66A48D11"/>
    <w:multiLevelType w:val="hybridMultilevel"/>
    <w:lvl w:ilvl="0">
      <w:lvlJc w:val="left"/>
      <w:lvlText w:val="(%1)"/>
      <w:numFmt w:val="lowerRoman"/>
      <w:start w:val="4"/>
    </w:lvl>
  </w:abstractNum>
  <w:abstractNum w:abstractNumId="72">
    <w:nsid w:val="56C28E34"/>
    <w:multiLevelType w:val="hybridMultilevel"/>
    <w:lvl w:ilvl="0">
      <w:lvlJc w:val="left"/>
      <w:lvlText w:val="(%1)"/>
      <w:numFmt w:val="lowerRoman"/>
      <w:start w:val="5"/>
    </w:lvl>
  </w:abstractNum>
  <w:abstractNum w:abstractNumId="73">
    <w:nsid w:val="13916F2D"/>
    <w:multiLevelType w:val="hybridMultilevel"/>
    <w:lvl w:ilvl="0">
      <w:lvlJc w:val="left"/>
      <w:lvlText w:val="(%1)"/>
      <w:numFmt w:val="upperLetter"/>
      <w:start w:val="2"/>
    </w:lvl>
    <w:lvl w:ilvl="1">
      <w:lvlJc w:val="left"/>
      <w:lvlText w:val="(%2)"/>
      <w:numFmt w:val="lowerRoman"/>
      <w:start w:val="1"/>
    </w:lvl>
  </w:abstractNum>
  <w:abstractNum w:abstractNumId="74">
    <w:nsid w:val="435D38D"/>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75">
    <w:nsid w:val="822C0EF"/>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76">
    <w:nsid w:val="57C5BB4F"/>
    <w:multiLevelType w:val="hybridMultilevel"/>
    <w:lvl w:ilvl="0">
      <w:lvlJc w:val="left"/>
      <w:lvlText w:val="(%1)"/>
      <w:numFmt w:val="lowerRoman"/>
      <w:start w:val="3"/>
    </w:lvl>
  </w:abstractNum>
  <w:abstractNum w:abstractNumId="77">
    <w:nsid w:val="1803D089"/>
    <w:multiLevelType w:val="hybridMultilevel"/>
    <w:lvl w:ilvl="0">
      <w:lvlJc w:val="left"/>
      <w:lvlText w:val="(%1)"/>
      <w:numFmt w:val="upperLetter"/>
      <w:start w:val="5"/>
    </w:lvl>
  </w:abstractNum>
  <w:abstractNum w:abstractNumId="78">
    <w:nsid w:val="4F3A06D4"/>
    <w:multiLevelType w:val="hybridMultilevel"/>
    <w:lvl w:ilvl="0">
      <w:lvlJc w:val="left"/>
      <w:lvlText w:val="(%1)"/>
      <w:numFmt w:val="lowerRoman"/>
      <w:start w:val="1"/>
    </w:lvl>
  </w:abstractNum>
  <w:abstractNum w:abstractNumId="79">
    <w:nsid w:val="59A377B6"/>
    <w:multiLevelType w:val="hybridMultilevel"/>
    <w:lvl w:ilvl="0">
      <w:lvlJc w:val="left"/>
      <w:lvlText w:val="(%1)"/>
      <w:numFmt w:val="upperLetter"/>
      <w:start w:val="6"/>
    </w:lvl>
  </w:abstractNum>
  <w:abstractNum w:abstractNumId="80">
    <w:nsid w:val="48AEB063"/>
    <w:multiLevelType w:val="hybridMultilevel"/>
    <w:lvl w:ilvl="0">
      <w:lvlJc w:val="left"/>
      <w:lvlText w:val="(%1)"/>
      <w:numFmt w:val="upperLetter"/>
      <w:start w:val="12"/>
    </w:lvl>
  </w:abstractNum>
  <w:abstractNum w:abstractNumId="81">
    <w:nsid w:val="24E135"/>
    <w:multiLevelType w:val="hybridMultilevel"/>
    <w:lvl w:ilvl="0">
      <w:lvlJc w:val="left"/>
      <w:lvlText w:val="%1"/>
      <w:numFmt w:val="lowerLetter"/>
      <w:start w:val="1"/>
    </w:lvl>
    <w:lvl w:ilvl="1">
      <w:lvlJc w:val="left"/>
      <w:lvlText w:val="(%2)"/>
      <w:numFmt w:val="upperLetter"/>
      <w:start w:val="1"/>
    </w:lvl>
  </w:abstractNum>
  <w:abstractNum w:abstractNumId="82">
    <w:nsid w:val="BB13C1"/>
    <w:multiLevelType w:val="hybridMultilevel"/>
    <w:lvl w:ilvl="0">
      <w:lvlJc w:val="left"/>
      <w:lvlText w:val="(%1)"/>
      <w:numFmt w:val="lowerLetter"/>
      <w:start w:val="25"/>
    </w:lvl>
    <w:lvl w:ilvl="1">
      <w:lvlJc w:val="left"/>
      <w:lvlText w:val="(%2)"/>
      <w:numFmt w:val="upperLetter"/>
      <w:start w:val="2"/>
    </w:lvl>
  </w:abstractNum>
  <w:abstractNum w:abstractNumId="83">
    <w:nsid w:val="271210C7"/>
    <w:multiLevelType w:val="hybridMultilevel"/>
    <w:lvl w:ilvl="0">
      <w:lvlJc w:val="left"/>
      <w:lvlText w:val="(%1)"/>
      <w:numFmt w:val="upperLetter"/>
      <w:start w:val="1"/>
    </w:lvl>
  </w:abstractNum>
  <w:abstractNum w:abstractNumId="84">
    <w:nsid w:val="217B22E4"/>
    <w:multiLevelType w:val="hybridMultilevel"/>
    <w:lvl w:ilvl="0">
      <w:lvlJc w:val="left"/>
      <w:lvlText w:val="(%1)"/>
      <w:numFmt w:val="lowerRoman"/>
      <w:start w:val="1"/>
    </w:lvl>
  </w:abstractNum>
  <w:abstractNum w:abstractNumId="85">
    <w:nsid w:val="53E31A24"/>
    <w:multiLevelType w:val="hybridMultilevel"/>
    <w:lvl w:ilvl="0">
      <w:lvlJc w:val="left"/>
      <w:lvlText w:val="(%1)"/>
      <w:numFmt w:val="upperLetter"/>
      <w:start w:val="2"/>
    </w:lvl>
  </w:abstractNum>
  <w:abstractNum w:abstractNumId="86">
    <w:nsid w:val="6DC45E83"/>
    <w:multiLevelType w:val="hybridMultilevel"/>
    <w:lvl w:ilvl="0">
      <w:lvlJc w:val="left"/>
      <w:lvlText w:val="(%1)"/>
      <w:numFmt w:val="upperLetter"/>
      <w:start w:val="1"/>
    </w:lvl>
    <w:lvl w:ilvl="1">
      <w:lvlJc w:val="left"/>
      <w:lvlText w:val="(%2)"/>
      <w:numFmt w:val="lowerRoman"/>
      <w:start w:val="1"/>
    </w:lvl>
  </w:abstractNum>
  <w:abstractNum w:abstractNumId="87">
    <w:nsid w:val="17304A67"/>
    <w:multiLevelType w:val="hybridMultilevel"/>
    <w:lvl w:ilvl="0">
      <w:lvlJc w:val="left"/>
      <w:lvlText w:val="(%1)"/>
      <w:numFmt w:val="lowerRoman"/>
      <w:start w:val="4"/>
    </w:lvl>
  </w:abstractNum>
  <w:abstractNum w:abstractNumId="88">
    <w:nsid w:val="2BB180D8"/>
    <w:multiLevelType w:val="hybridMultilevel"/>
    <w:lvl w:ilvl="0">
      <w:lvlJc w:val="left"/>
      <w:lvlText w:val="(%1)"/>
      <w:numFmt w:val="decimal"/>
      <w:start w:val="1"/>
    </w:lvl>
  </w:abstractNum>
  <w:abstractNum w:abstractNumId="89">
    <w:nsid w:val="556B69ED"/>
    <w:multiLevelType w:val="hybridMultilevel"/>
    <w:lvl w:ilvl="0">
      <w:lvlJc w:val="left"/>
      <w:lvlText w:val="(%1)"/>
      <w:numFmt w:val="upperLetter"/>
      <w:start w:val="2"/>
    </w:lvl>
  </w:abstractNum>
  <w:abstractNum w:abstractNumId="90">
    <w:nsid w:val="70836196"/>
    <w:multiLevelType w:val="hybridMultilevel"/>
    <w:lvl w:ilvl="0">
      <w:lvlJc w:val="left"/>
      <w:lvlText w:val="(%1)"/>
      <w:numFmt w:val="upperLetter"/>
      <w:start w:val="1"/>
    </w:lvl>
    <w:lvl w:ilvl="1">
      <w:lvlJc w:val="left"/>
      <w:lvlText w:val="(%2)"/>
      <w:numFmt w:val="lowerRoman"/>
      <w:start w:val="1"/>
    </w:lvl>
  </w:abstractNum>
  <w:abstractNum w:abstractNumId="91">
    <w:nsid w:val="539F7F1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92">
    <w:nsid w:val="2817E7EC"/>
    <w:multiLevelType w:val="hybridMultilevel"/>
    <w:lvl w:ilvl="0">
      <w:lvlJc w:val="left"/>
      <w:lvlText w:val="(%1)"/>
      <w:numFmt w:val="decimal"/>
      <w:start w:val="2"/>
    </w:lvl>
  </w:abstractNum>
  <w:abstractNum w:abstractNumId="93">
    <w:nsid w:val="71482545"/>
    <w:multiLevelType w:val="hybridMultilevel"/>
    <w:lvl w:ilvl="0">
      <w:lvlJc w:val="left"/>
      <w:lvlText w:val="(%1)"/>
      <w:numFmt w:val="lowerRoman"/>
      <w:start w:val="8"/>
    </w:lvl>
    <w:lvl w:ilvl="1">
      <w:lvlJc w:val="left"/>
      <w:lvlText w:val="(%2)"/>
      <w:numFmt w:val="decimal"/>
      <w:start w:val="1"/>
    </w:lvl>
  </w:abstractNum>
  <w:abstractNum w:abstractNumId="94">
    <w:nsid w:val="17D78639"/>
    <w:multiLevelType w:val="hybridMultilevel"/>
    <w:lvl w:ilvl="0">
      <w:lvlJc w:val="left"/>
      <w:lvlText w:val="(%1)"/>
      <w:numFmt w:val="decimal"/>
      <w:start w:val="4"/>
    </w:lvl>
  </w:abstractNum>
  <w:abstractNum w:abstractNumId="95">
    <w:nsid w:val="141D2302"/>
    <w:multiLevelType w:val="hybridMultilevel"/>
    <w:lvl w:ilvl="0">
      <w:lvlJc w:val="left"/>
      <w:lvlText w:val="(%1)"/>
      <w:numFmt w:val="upperLetter"/>
      <w:start w:val="2"/>
    </w:lvl>
  </w:abstractNum>
  <w:abstractNum w:abstractNumId="96">
    <w:nsid w:val="407168D8"/>
    <w:multiLevelType w:val="hybridMultilevel"/>
    <w:lvl w:ilvl="0">
      <w:lvlJc w:val="left"/>
      <w:lvlText w:val="(%1)"/>
      <w:numFmt w:val="upperLetter"/>
      <w:start w:val="1"/>
    </w:lvl>
  </w:abstractNum>
  <w:abstractNum w:abstractNumId="97">
    <w:nsid w:val="6A1B45E5"/>
    <w:multiLevelType w:val="hybridMultilevel"/>
    <w:lvl w:ilvl="0">
      <w:lvlJc w:val="left"/>
      <w:lvlText w:val="(%1)"/>
      <w:numFmt w:val="upperLetter"/>
      <w:start w:val="3"/>
    </w:lvl>
  </w:abstractNum>
  <w:abstractNum w:abstractNumId="98">
    <w:nsid w:val="567BD50A"/>
    <w:multiLevelType w:val="hybridMultilevel"/>
    <w:lvl w:ilvl="0">
      <w:lvlJc w:val="left"/>
      <w:lvlText w:val="(%1)"/>
      <w:numFmt w:val="upperLetter"/>
      <w:start w:val="1"/>
    </w:lvl>
  </w:abstractNum>
  <w:abstractNum w:abstractNumId="99">
    <w:nsid w:val="73BBD7F8"/>
    <w:multiLevelType w:val="hybridMultilevel"/>
    <w:lvl w:ilvl="0">
      <w:lvlJc w:val="left"/>
      <w:lvlText w:val="%1"/>
      <w:numFmt w:val="lowerRoman"/>
      <w:start w:val="1"/>
    </w:lvl>
    <w:lvl w:ilvl="1">
      <w:lvlJc w:val="left"/>
      <w:lvlText w:val="(%2)"/>
      <w:numFmt w:val="upperLetter"/>
      <w:start w:val="2"/>
    </w:lvl>
  </w:abstractNum>
  <w:abstractNum w:abstractNumId="100">
    <w:nsid w:val="1876589D"/>
    <w:multiLevelType w:val="hybridMultilevel"/>
    <w:lvl w:ilvl="0">
      <w:lvlJc w:val="left"/>
      <w:lvlText w:val="(%1)"/>
      <w:numFmt w:val="lowerRoman"/>
      <w:start w:val="3"/>
    </w:lvl>
    <w:lvl w:ilvl="1">
      <w:lvlJc w:val="left"/>
      <w:lvlText w:val="(%2)"/>
      <w:numFmt w:val="upperLetter"/>
      <w:start w:val="4"/>
    </w:lvl>
  </w:abstractNum>
  <w:abstractNum w:abstractNumId="101">
    <w:nsid w:val="327FAC77"/>
    <w:multiLevelType w:val="hybridMultilevel"/>
    <w:lvl w:ilvl="0">
      <w:lvlJc w:val="left"/>
      <w:lvlText w:val="(%1)"/>
      <w:numFmt w:val="upperLetter"/>
      <w:start w:val="1"/>
    </w:lvl>
  </w:abstractNum>
  <w:abstractNum w:abstractNumId="102">
    <w:nsid w:val="5A606509"/>
    <w:multiLevelType w:val="hybridMultilevel"/>
    <w:lvl w:ilvl="0">
      <w:lvlJc w:val="left"/>
      <w:lvlText w:val="(%1)"/>
      <w:numFmt w:val="upperLetter"/>
      <w:start w:val="1"/>
    </w:lvl>
  </w:abstractNum>
  <w:abstractNum w:abstractNumId="103">
    <w:nsid w:val="6F38E6D1"/>
    <w:multiLevelType w:val="hybridMultilevel"/>
    <w:lvl w:ilvl="0">
      <w:lvlJc w:val="left"/>
      <w:lvlText w:val="(%1)"/>
      <w:numFmt w:val="upperLetter"/>
      <w:start w:val="1"/>
    </w:lvl>
  </w:abstractNum>
  <w:abstractNum w:abstractNumId="104">
    <w:nsid w:val="46111BA5"/>
    <w:multiLevelType w:val="hybridMultilevel"/>
    <w:lvl w:ilvl="0">
      <w:lvlJc w:val="left"/>
      <w:lvlText w:val="(%1)"/>
      <w:numFmt w:val="upperLetter"/>
      <w:start w:val="2"/>
    </w:lvl>
  </w:abstractNum>
  <w:abstractNum w:abstractNumId="105">
    <w:nsid w:val="5E963896"/>
    <w:multiLevelType w:val="hybridMultilevel"/>
    <w:lvl w:ilvl="0">
      <w:lvlJc w:val="left"/>
      <w:lvlText w:val="(%1)"/>
      <w:numFmt w:val="upperLetter"/>
      <w:start w:val="1"/>
    </w:lvl>
  </w:abstractNum>
  <w:abstractNum w:abstractNumId="106">
    <w:nsid w:val="775BA7C1"/>
    <w:multiLevelType w:val="hybridMultilevel"/>
    <w:lvl w:ilvl="0">
      <w:lvlJc w:val="left"/>
      <w:lvlText w:val="(%1)"/>
      <w:numFmt w:val="lowerRoman"/>
      <w:start w:val="1"/>
    </w:lvl>
  </w:abstractNum>
  <w:abstractNum w:abstractNumId="107">
    <w:nsid w:val="1DD6D6F4"/>
    <w:multiLevelType w:val="hybridMultilevel"/>
    <w:lvl w:ilvl="0">
      <w:lvlJc w:val="left"/>
      <w:lvlText w:val="(%1)"/>
      <w:numFmt w:val="upperLetter"/>
      <w:start w:val="2"/>
    </w:lvl>
  </w:abstractNum>
  <w:abstractNum w:abstractNumId="108">
    <w:nsid w:val="769A091F"/>
    <w:multiLevelType w:val="hybridMultilevel"/>
    <w:lvl w:ilvl="0">
      <w:lvlJc w:val="left"/>
      <w:lvlText w:val="(%1)"/>
      <w:numFmt w:val="upperLetter"/>
      <w:start w:val="1"/>
    </w:lvl>
  </w:abstractNum>
  <w:abstractNum w:abstractNumId="109">
    <w:nsid w:val="4695AE95"/>
    <w:multiLevelType w:val="hybridMultilevel"/>
    <w:lvl w:ilvl="0">
      <w:lvlJc w:val="left"/>
      <w:lvlText w:val="%1"/>
      <w:numFmt w:val="lowerRoman"/>
      <w:start w:val="1"/>
    </w:lvl>
    <w:lvl w:ilvl="1">
      <w:lvlJc w:val="left"/>
      <w:lvlText w:val="(%2)"/>
      <w:numFmt w:val="upperLetter"/>
      <w:start w:val="1"/>
    </w:lvl>
  </w:abstractNum>
  <w:abstractNum w:abstractNumId="110">
    <w:nsid w:val="777A4EAA"/>
    <w:multiLevelType w:val="hybridMultilevel"/>
    <w:lvl w:ilvl="0">
      <w:lvlJc w:val="left"/>
      <w:lvlText w:val="(%1)"/>
      <w:numFmt w:val="lowerRoman"/>
      <w:start w:val="2"/>
    </w:lvl>
    <w:lvl w:ilvl="1">
      <w:lvlJc w:val="left"/>
      <w:lvlText w:val="(%2)"/>
      <w:numFmt w:val="upperLetter"/>
      <w:start w:val="2"/>
    </w:lvl>
  </w:abstractNum>
  <w:abstractNum w:abstractNumId="111">
    <w:nsid w:val="3F48B982"/>
    <w:multiLevelType w:val="hybridMultilevel"/>
    <w:lvl w:ilvl="0">
      <w:lvlJc w:val="left"/>
      <w:lvlText w:val="(%1)"/>
      <w:numFmt w:val="upperLetter"/>
      <w:start w:val="1"/>
    </w:lvl>
    <w:lvl w:ilvl="1">
      <w:lvlJc w:val="left"/>
      <w:lvlText w:val="(%2)"/>
      <w:numFmt w:val="lowerRoman"/>
      <w:start w:val="1"/>
    </w:lvl>
  </w:abstractNum>
  <w:abstractNum w:abstractNumId="112">
    <w:nsid w:val="46BA8FCA"/>
    <w:multiLevelType w:val="hybridMultilevel"/>
    <w:lvl w:ilvl="0">
      <w:lvlJc w:val="left"/>
      <w:lvlText w:val="(%1)"/>
      <w:numFmt w:val="upperLetter"/>
      <w:start w:val="3"/>
    </w:lvl>
    <w:lvl w:ilvl="1">
      <w:lvlJc w:val="left"/>
      <w:lvlText w:val="(%2)"/>
      <w:numFmt w:val="lowerRoman"/>
      <w:start w:val="1"/>
    </w:lvl>
  </w:abstractNum>
  <w:abstractNum w:abstractNumId="113">
    <w:nsid w:val="7835626C"/>
    <w:multiLevelType w:val="hybridMultilevel"/>
    <w:lvl w:ilvl="0">
      <w:lvlJc w:val="left"/>
      <w:lvlText w:val="(%1)"/>
      <w:numFmt w:val="upperLetter"/>
      <w:start w:val="1"/>
    </w:lvl>
  </w:abstractNum>
  <w:abstractNum w:abstractNumId="114">
    <w:nsid w:val="665ACA49"/>
    <w:multiLevelType w:val="hybridMultilevel"/>
    <w:lvl w:ilvl="0">
      <w:lvlJc w:val="left"/>
      <w:lvlText w:val="(%1)"/>
      <w:numFmt w:val="upperLetter"/>
      <w:start w:val="7"/>
    </w:lvl>
  </w:abstractNum>
  <w:abstractNum w:abstractNumId="115">
    <w:nsid w:val="6835B2AE"/>
    <w:multiLevelType w:val="hybridMultilevel"/>
    <w:lvl w:ilvl="0">
      <w:lvlJc w:val="left"/>
      <w:lvlText w:val="(%1)"/>
      <w:numFmt w:val="upperLetter"/>
      <w:start w:val="1"/>
    </w:lvl>
  </w:abstractNum>
  <w:abstractNum w:abstractNumId="116">
    <w:nsid w:val="4C187C90"/>
    <w:multiLevelType w:val="hybridMultilevel"/>
    <w:lvl w:ilvl="0">
      <w:lvlJc w:val="left"/>
      <w:lvlText w:val="(%1)"/>
      <w:numFmt w:val="upperLetter"/>
      <w:start w:val="4"/>
    </w:lvl>
  </w:abstractNum>
  <w:abstractNum w:abstractNumId="117">
    <w:nsid w:val="541F28CD"/>
    <w:multiLevelType w:val="hybridMultilevel"/>
    <w:lvl w:ilvl="0">
      <w:lvlJc w:val="left"/>
      <w:lvlText w:val="(%1)"/>
      <w:numFmt w:val="upperLetter"/>
      <w:start w:val="1"/>
    </w:lvl>
    <w:lvl w:ilvl="1">
      <w:lvlJc w:val="left"/>
      <w:lvlText w:val="(%2)"/>
      <w:numFmt w:val="lowerRoman"/>
      <w:start w:val="1"/>
    </w:lvl>
  </w:abstractNum>
  <w:abstractNum w:abstractNumId="118">
    <w:nsid w:val="7F65FD16"/>
    <w:multiLevelType w:val="hybridMultilevel"/>
    <w:lvl w:ilvl="0">
      <w:lvlJc w:val="left"/>
      <w:lvlText w:val="(%1)"/>
      <w:numFmt w:val="upperLetter"/>
      <w:start w:val="1"/>
    </w:lvl>
  </w:abstractNum>
  <w:abstractNum w:abstractNumId="119">
    <w:nsid w:val="77C9FD68"/>
    <w:multiLevelType w:val="hybridMultilevel"/>
    <w:lvl w:ilvl="0">
      <w:lvlJc w:val="left"/>
      <w:lvlText w:val="(%1)"/>
      <w:numFmt w:val="upperLetter"/>
      <w:start w:val="1"/>
    </w:lvl>
  </w:abstractNum>
  <w:abstractNum w:abstractNumId="120">
    <w:nsid w:val="298A92BA"/>
    <w:multiLevelType w:val="hybridMultilevel"/>
    <w:lvl w:ilvl="0">
      <w:lvlJc w:val="left"/>
      <w:lvlText w:val="(%1)"/>
      <w:numFmt w:val="upperLetter"/>
      <w:start w:val="3"/>
    </w:lvl>
  </w:abstractNum>
  <w:abstractNum w:abstractNumId="121">
    <w:nsid w:val="6FE95EAC"/>
    <w:multiLevelType w:val="hybridMultilevel"/>
    <w:lvl w:ilvl="0">
      <w:lvlJc w:val="left"/>
      <w:lvlText w:val="["/>
      <w:numFmt w:val="bullet"/>
      <w:start w:val="1"/>
    </w:lvl>
  </w:abstractNum>
  <w:abstractNum w:abstractNumId="122">
    <w:nsid w:val="4B697C7A"/>
    <w:multiLevelType w:val="hybridMultilevel"/>
    <w:lvl w:ilvl="0">
      <w:lvlJc w:val="left"/>
      <w:lvlText w:val="†"/>
      <w:numFmt w:val="bullet"/>
      <w:start w:val="1"/>
    </w:lvl>
  </w:abstractNum>
  <w:abstractNum w:abstractNumId="123">
    <w:nsid w:val="51A27AA6"/>
    <w:multiLevelType w:val="hybridMultilevel"/>
    <w:lvl w:ilvl="0">
      <w:lvlJc w:val="left"/>
      <w:lvlText w:val="%1."/>
      <w:numFmt w:val="decimal"/>
      <w:start w:val="1"/>
    </w:lvl>
  </w:abstractNum>
  <w:abstractNum w:abstractNumId="124">
    <w:nsid w:val="613183F2"/>
    <w:multiLevelType w:val="hybridMultilevel"/>
    <w:lvl w:ilvl="0">
      <w:lvlJc w:val="left"/>
      <w:lvlText w:val="%1."/>
      <w:numFmt w:val="decimal"/>
      <w:start w:val="9"/>
    </w:lvl>
    <w:lvl w:ilvl="1">
      <w:lvlJc w:val="left"/>
      <w:lvlText w:val="*"/>
      <w:numFmt w:val="bullet"/>
      <w:start w:val="1"/>
    </w:lvl>
  </w:abstractNum>
  <w:abstractNum w:abstractNumId="125">
    <w:nsid w:val="634102B4"/>
    <w:multiLevelType w:val="hybridMultilevel"/>
    <w:lvl w:ilvl="0">
      <w:lvlJc w:val="left"/>
      <w:lvlText w:val="%1."/>
      <w:numFmt w:val="decimal"/>
      <w:start w:val="1"/>
    </w:lvl>
  </w:abstractNum>
  <w:abstractNum w:abstractNumId="126">
    <w:nsid w:val="65BF9DA8"/>
    <w:multiLevelType w:val="hybridMultilevel"/>
    <w:lvl w:ilvl="0">
      <w:lvlJc w:val="left"/>
      <w:lvlText w:val="(%1)"/>
      <w:numFmt w:val="decimal"/>
      <w:start w:val="1"/>
    </w:lvl>
    <w:lvl w:ilvl="1">
      <w:lvlJc w:val="left"/>
      <w:lvlText w:val="(%2)"/>
      <w:numFmt w:val="upperLetter"/>
      <w:start w:val="1"/>
    </w:lvl>
  </w:abstractNum>
  <w:abstractNum w:abstractNumId="127">
    <w:nsid w:val="21A2ECCA"/>
    <w:multiLevelType w:val="hybridMultilevel"/>
    <w:lvl w:ilvl="0">
      <w:lvlJc w:val="left"/>
      <w:lvlText w:val="*"/>
      <w:numFmt w:val="bullet"/>
      <w:start w:val="1"/>
    </w:lvl>
  </w:abstractNum>
  <w:abstractNum w:abstractNumId="128">
    <w:nsid w:val="4D5C4899"/>
    <w:multiLevelType w:val="hybridMultilevel"/>
    <w:lvl w:ilvl="0">
      <w:lvlJc w:val="left"/>
      <w:lvlText w:val="%1."/>
      <w:numFmt w:val="decimal"/>
      <w:start w:val="1"/>
    </w:lvl>
    <w:lvl w:ilvl="1">
      <w:lvlJc w:val="left"/>
      <w:lvlText w:val="(%2)"/>
      <w:numFmt w:val="lowerLetter"/>
      <w:start w:val="1"/>
    </w:lvl>
  </w:abstractNum>
  <w:abstractNum w:abstractNumId="129">
    <w:nsid w:val="3C3B72B2"/>
    <w:multiLevelType w:val="hybridMultilevel"/>
    <w:lvl w:ilvl="0">
      <w:lvlJc w:val="left"/>
      <w:lvlText w:val="(%1)"/>
      <w:numFmt w:val="lowerLetter"/>
      <w:start w:val="2"/>
    </w:lvl>
  </w:abstractNum>
  <w:abstractNum w:abstractNumId="130">
    <w:nsid w:val="155EC4C2"/>
    <w:multiLevelType w:val="hybridMultilevel"/>
    <w:lvl w:ilvl="0">
      <w:lvlJc w:val="left"/>
      <w:lvlText w:val="(%1)"/>
      <w:numFmt w:val="lowerLetter"/>
      <w:start w:val="5"/>
    </w:lvl>
  </w:abstractNum>
  <w:abstractNum w:abstractNumId="131">
    <w:nsid w:val="65D2A137"/>
    <w:multiLevelType w:val="hybridMultilevel"/>
    <w:lvl w:ilvl="0">
      <w:lvlJc w:val="left"/>
      <w:lvlText w:val="(%1)"/>
      <w:numFmt w:val="lowerLetter"/>
      <w:start w:val="8"/>
    </w:lvl>
  </w:abstractNum>
  <w:abstractNum w:abstractNumId="132">
    <w:nsid w:val="6EBB1F2A"/>
    <w:multiLevelType w:val="hybridMultilevel"/>
    <w:lvl w:ilvl="0">
      <w:lvlJc w:val="left"/>
      <w:lvlText w:val="(%1)"/>
      <w:numFmt w:val="lowerLetter"/>
      <w:start w:val="13"/>
    </w:lvl>
  </w:abstractNum>
  <w:abstractNum w:abstractNumId="133">
    <w:nsid w:val="6FBF29CB"/>
    <w:multiLevelType w:val="hybridMultilevel"/>
    <w:lvl w:ilvl="0">
      <w:lvlJc w:val="left"/>
      <w:lvlText w:val="(%1)"/>
      <w:numFmt w:val="lowerLetter"/>
      <w:start w:val="16"/>
    </w:lvl>
  </w:abstractNum>
  <w:abstractNum w:abstractNumId="134">
    <w:nsid w:val="550B8808"/>
    <w:multiLevelType w:val="hybridMultilevel"/>
    <w:lvl w:ilvl="0">
      <w:lvlJc w:val="left"/>
      <w:lvlText w:val="(%1)"/>
      <w:numFmt w:val="lowerLetter"/>
      <w:start w:val="22"/>
    </w:lvl>
  </w:abstractNum>
  <w:abstractNum w:abstractNumId="135">
    <w:nsid w:val="34CC3ACF"/>
    <w:multiLevelType w:val="hybridMultilevel"/>
    <w:lvl w:ilvl="0">
      <w:lvlJc w:val="left"/>
      <w:lvlText w:val="(%1)"/>
      <w:numFmt w:val="lowerLetter"/>
      <w:start w:val="27"/>
    </w:lvl>
  </w:abstractNum>
  <w:abstractNum w:abstractNumId="136">
    <w:nsid w:val="4E556261"/>
    <w:multiLevelType w:val="hybridMultilevel"/>
    <w:lvl w:ilvl="0">
      <w:lvlJc w:val="left"/>
      <w:lvlText w:val="(%1)"/>
      <w:numFmt w:val="lowerLetter"/>
      <w:start w:val="30"/>
    </w:lvl>
  </w:abstractNum>
  <w:abstractNum w:abstractNumId="137">
    <w:nsid w:val="4C672FC9"/>
    <w:multiLevelType w:val="hybridMultilevel"/>
    <w:lvl w:ilvl="0">
      <w:lvlJc w:val="left"/>
      <w:lvlText w:val="%1"/>
      <w:numFmt w:val="decimal"/>
      <w:start w:val="1"/>
    </w:lvl>
    <w:lvl w:ilvl="1">
      <w:lvlJc w:val="left"/>
      <w:lvlText w:val="(%2)"/>
      <w:numFmt w:val="lowerLetter"/>
      <w:start w:val="36"/>
    </w:lvl>
  </w:abstractNum>
  <w:abstractNum w:abstractNumId="138">
    <w:nsid w:val="52A311C3"/>
    <w:multiLevelType w:val="hybridMultilevel"/>
    <w:lvl w:ilvl="0">
      <w:lvlJc w:val="left"/>
      <w:lvlText w:val="%1."/>
      <w:numFmt w:val="decimal"/>
      <w:start w:val="2"/>
    </w:lvl>
    <w:lvl w:ilvl="1">
      <w:lvlJc w:val="left"/>
      <w:lvlText w:val="%2"/>
      <w:numFmt w:val="lowerLetter"/>
      <w:start w:val="1"/>
    </w:lvl>
  </w:abstractNum>
  <w:abstractNum w:abstractNumId="139">
    <w:nsid w:val="44EF6B80"/>
    <w:multiLevelType w:val="hybridMultilevel"/>
    <w:lvl w:ilvl="0">
      <w:lvlJc w:val="left"/>
      <w:lvlText w:val="%1"/>
      <w:numFmt w:val="decimal"/>
      <w:start w:val="1"/>
    </w:lvl>
    <w:lvl w:ilvl="1">
      <w:lvlJc w:val="left"/>
      <w:lvlText w:val="(%2)"/>
      <w:numFmt w:val="lowerLetter"/>
      <w:start w:val="1"/>
    </w:lvl>
  </w:abstractNum>
  <w:abstractNum w:abstractNumId="140">
    <w:nsid w:val="12FCDE5E"/>
    <w:multiLevelType w:val="hybridMultilevel"/>
    <w:lvl w:ilvl="0">
      <w:lvlJc w:val="left"/>
      <w:lvlText w:val="%1."/>
      <w:numFmt w:val="decimal"/>
      <w:start w:val="4"/>
    </w:lvl>
    <w:lvl w:ilvl="1">
      <w:lvlJc w:val="left"/>
      <w:lvlText w:val="%2"/>
      <w:numFmt w:val="lowerLetter"/>
      <w:start w:val="1"/>
    </w:lvl>
  </w:abstractNum>
  <w:abstractNum w:abstractNumId="141">
    <w:nsid w:val="4A1D606E"/>
    <w:multiLevelType w:val="hybridMultilevel"/>
    <w:lvl w:ilvl="0">
      <w:lvlJc w:val="left"/>
      <w:lvlText w:val="%1"/>
      <w:numFmt w:val="decimal"/>
      <w:start w:val="1"/>
    </w:lvl>
    <w:lvl w:ilvl="1">
      <w:lvlJc w:val="left"/>
      <w:lvlText w:val="(%2)"/>
      <w:numFmt w:val="lowerLetter"/>
      <w:start w:val="2"/>
    </w:lvl>
  </w:abstractNum>
  <w:abstractNum w:abstractNumId="142">
    <w:nsid w:val="4382503"/>
    <w:multiLevelType w:val="hybridMultilevel"/>
    <w:lvl w:ilvl="0">
      <w:lvlJc w:val="left"/>
      <w:lvlText w:val="%1."/>
      <w:numFmt w:val="decimal"/>
      <w:start w:val="5"/>
    </w:lvl>
    <w:lvl w:ilvl="1">
      <w:lvlJc w:val="left"/>
      <w:lvlText w:val="(%2)"/>
      <w:numFmt w:val="lowerLetter"/>
      <w:start w:val="1"/>
    </w:lvl>
  </w:abstractNum>
  <w:abstractNum w:abstractNumId="143">
    <w:nsid w:val="59B76E28"/>
    <w:multiLevelType w:val="hybridMultilevel"/>
    <w:lvl w:ilvl="0">
      <w:lvlJc w:val="left"/>
      <w:lvlText w:val="(%1)"/>
      <w:numFmt w:val="lowerLetter"/>
      <w:start w:val="3"/>
    </w:lvl>
  </w:abstractNum>
  <w:abstractNum w:abstractNumId="144">
    <w:nsid w:val="4252C2DA"/>
    <w:multiLevelType w:val="hybridMultilevel"/>
    <w:lvl w:ilvl="0">
      <w:lvlJc w:val="left"/>
      <w:lvlText w:val="(%1)"/>
      <w:numFmt w:val="lowerLetter"/>
      <w:start w:val="7"/>
    </w:lvl>
  </w:abstractNum>
  <w:abstractNum w:abstractNumId="145">
    <w:nsid w:val="6A92EF4C"/>
    <w:multiLevelType w:val="hybridMultilevel"/>
    <w:lvl w:ilvl="0">
      <w:lvlJc w:val="left"/>
      <w:lvlText w:val="(%1)"/>
      <w:numFmt w:val="lowerRoman"/>
      <w:start w:val="1"/>
    </w:lvl>
  </w:abstractNum>
  <w:abstractNum w:abstractNumId="146">
    <w:nsid w:val="41ED20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47">
    <w:nsid w:val="E6B3F6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48">
    <w:nsid w:val="3EB21819"/>
    <w:multiLevelType w:val="hybridMultilevel"/>
    <w:lvl w:ilvl="0">
      <w:lvlJc w:val="left"/>
      <w:lvlText w:val="(%1)"/>
      <w:numFmt w:val="lowerLetter"/>
      <w:start w:val="2"/>
    </w:lvl>
  </w:abstractNum>
  <w:abstractNum w:abstractNumId="149">
    <w:nsid w:val="41531DED"/>
    <w:multiLevelType w:val="hybridMultilevel"/>
    <w:lvl w:ilvl="0">
      <w:lvlJc w:val="left"/>
      <w:lvlText w:val="%1"/>
      <w:numFmt w:val="decimal"/>
      <w:start w:val="1"/>
    </w:lvl>
    <w:lvl w:ilvl="1">
      <w:lvlJc w:val="left"/>
      <w:lvlText w:val="(%2)"/>
      <w:numFmt w:val="lowerLetter"/>
      <w:start w:val="7"/>
    </w:lvl>
  </w:abstractNum>
  <w:abstractNum w:abstractNumId="150">
    <w:nsid w:val="6353CD2"/>
    <w:multiLevelType w:val="hybridMultilevel"/>
    <w:lvl w:ilvl="0">
      <w:lvlJc w:val="left"/>
      <w:lvlText w:val="%1."/>
      <w:numFmt w:val="decimal"/>
      <w:start w:val="9"/>
    </w:lvl>
    <w:lvl w:ilvl="1">
      <w:lvlJc w:val="left"/>
      <w:lvlText w:val="%2"/>
      <w:numFmt w:val="lowerLetter"/>
      <w:start w:val="1"/>
    </w:lvl>
  </w:abstractNum>
  <w:abstractNum w:abstractNumId="151">
    <w:nsid w:val="683CAAD3"/>
    <w:multiLevelType w:val="hybridMultilevel"/>
    <w:lvl w:ilvl="0">
      <w:lvlJc w:val="left"/>
      <w:lvlText w:val="(%1)"/>
      <w:numFmt w:val="lowerLetter"/>
      <w:start w:val="2"/>
    </w:lvl>
  </w:abstractNum>
  <w:abstractNum w:abstractNumId="152">
    <w:nsid w:val="313C7C99"/>
    <w:multiLevelType w:val="hybridMultilevel"/>
    <w:lvl w:ilvl="0">
      <w:lvlJc w:val="left"/>
      <w:lvlText w:val="(%1)"/>
      <w:numFmt w:val="lowerLetter"/>
      <w:start w:val="3"/>
    </w:lvl>
    <w:lvl w:ilvl="1">
      <w:lvlJc w:val="left"/>
      <w:lvlText w:val="(%2)"/>
      <w:numFmt w:val="lowerLetter"/>
      <w:start w:val="35"/>
    </w:lvl>
  </w:abstractNum>
  <w:abstractNum w:abstractNumId="153">
    <w:nsid w:val="519EB94C"/>
    <w:multiLevelType w:val="hybridMultilevel"/>
    <w:lvl w:ilvl="0">
      <w:lvlJc w:val="left"/>
      <w:lvlText w:val="%1"/>
      <w:numFmt w:val="lowerLetter"/>
      <w:start w:val="1"/>
    </w:lvl>
    <w:lvl w:ilvl="1">
      <w:lvlJc w:val="left"/>
      <w:lvlText w:val="(%2)"/>
      <w:numFmt w:val="lowerLetter"/>
      <w:start w:val="2"/>
    </w:lvl>
  </w:abstractNum>
  <w:abstractNum w:abstractNumId="154">
    <w:nsid w:val="39DF2579"/>
    <w:multiLevelType w:val="hybridMultilevel"/>
    <w:lvl w:ilvl="0">
      <w:lvlJc w:val="left"/>
      <w:lvlText w:val="(%1)"/>
      <w:numFmt w:val="lowerLetter"/>
      <w:start w:val="5"/>
    </w:lvl>
  </w:abstractNum>
  <w:abstractNum w:abstractNumId="155">
    <w:nsid w:val="126E008B"/>
    <w:multiLevelType w:val="hybridMultilevel"/>
    <w:lvl w:ilvl="0">
      <w:lvlJc w:val="left"/>
      <w:lvlText w:val="%1."/>
      <w:numFmt w:val="decimal"/>
      <w:start w:val="10"/>
    </w:lvl>
    <w:lvl w:ilvl="1">
      <w:lvlJc w:val="left"/>
      <w:lvlText w:val="(%2)"/>
      <w:numFmt w:val="lowerLetter"/>
      <w:start w:val="2"/>
    </w:lvl>
  </w:abstractNum>
  <w:abstractNum w:abstractNumId="156">
    <w:nsid w:val="34DFBC00"/>
    <w:multiLevelType w:val="hybridMultilevel"/>
    <w:lvl w:ilvl="0">
      <w:lvlJc w:val="left"/>
      <w:lvlText w:val="%1."/>
      <w:numFmt w:val="decimal"/>
      <w:start w:val="12"/>
    </w:lvl>
  </w:abstractNum>
  <w:abstractNum w:abstractNumId="157">
    <w:nsid w:val="1F9EC322"/>
    <w:multiLevelType w:val="hybridMultilevel"/>
    <w:lvl w:ilvl="0">
      <w:lvlJc w:val="left"/>
      <w:lvlText w:val="%1."/>
      <w:numFmt w:val="decimal"/>
      <w:start w:val="18"/>
    </w:lvl>
    <w:lvl w:ilvl="1">
      <w:lvlJc w:val="left"/>
      <w:lvlText w:val="(%2)"/>
      <w:numFmt w:val="lowerLetter"/>
      <w:start w:val="1"/>
    </w:lvl>
  </w:abstractNum>
  <w:abstractNum w:abstractNumId="158">
    <w:nsid w:val="3410ED56"/>
    <w:multiLevelType w:val="hybridMultilevel"/>
    <w:lvl w:ilvl="0">
      <w:lvlJc w:val="left"/>
      <w:lvlText w:val="(%1)"/>
      <w:numFmt w:val="lowerRoman"/>
      <w:start w:val="1"/>
    </w:lvl>
  </w:abstractNum>
  <w:abstractNum w:abstractNumId="159">
    <w:nsid w:val="23C049A"/>
    <w:multiLevelType w:val="hybridMultilevel"/>
    <w:lvl w:ilvl="0">
      <w:lvlJc w:val="left"/>
      <w:lvlText w:val="(%1)"/>
      <w:numFmt w:val="lowerRoman"/>
      <w:start w:val="2"/>
    </w:lvl>
  </w:abstractNum>
  <w:abstractNum w:abstractNumId="160">
    <w:nsid w:val="5BDA35D4"/>
    <w:multiLevelType w:val="hybridMultilevel"/>
    <w:lvl w:ilvl="0">
      <w:lvlJc w:val="left"/>
      <w:lvlText w:val="(%1)"/>
      <w:numFmt w:val="lowerLetter"/>
      <w:start w:val="1"/>
    </w:lvl>
  </w:abstractNum>
  <w:abstractNum w:abstractNumId="161">
    <w:nsid w:val="496FB218"/>
    <w:multiLevelType w:val="hybridMultilevel"/>
    <w:lvl w:ilvl="0">
      <w:lvlJc w:val="left"/>
      <w:lvlText w:val="·"/>
      <w:numFmt w:val="bullet"/>
      <w:start w:val="1"/>
    </w:lvl>
  </w:abstractNum>
  <w:abstractNum w:abstractNumId="162">
    <w:nsid w:val="680EA5D1"/>
    <w:multiLevelType w:val="hybridMultilevel"/>
    <w:lvl w:ilvl="0">
      <w:lvlJc w:val="left"/>
      <w:lvlText w:val="·"/>
      <w:numFmt w:val="bullet"/>
      <w:start w:val="1"/>
    </w:lvl>
  </w:abstractNum>
  <w:abstractNum w:abstractNumId="163">
    <w:nsid w:val="4A9554FE"/>
    <w:multiLevelType w:val="hybridMultilevel"/>
    <w:lvl w:ilvl="0">
      <w:lvlJc w:val="left"/>
      <w:lvlText w:val="(%1)"/>
      <w:numFmt w:val="decimal"/>
      <w:start w:val="1"/>
    </w:lvl>
  </w:abstractNum>
  <w:abstractNum w:abstractNumId="164">
    <w:nsid w:val="392EDBE4"/>
    <w:multiLevelType w:val="hybridMultilevel"/>
    <w:lvl w:ilvl="0">
      <w:lvlJc w:val="left"/>
      <w:lvlText w:val="(%1)"/>
      <w:numFmt w:val="decimal"/>
      <w:start w:val="3"/>
    </w:lvl>
  </w:abstractNum>
  <w:abstractNum w:abstractNumId="165">
    <w:nsid w:val="3D1A2DD9"/>
    <w:multiLevelType w:val="hybridMultilevel"/>
    <w:lvl w:ilvl="0">
      <w:lvlJc w:val="left"/>
      <w:lvlText w:val="%1."/>
      <w:numFmt w:val="decimal"/>
      <w:start w:val="1"/>
    </w:lvl>
  </w:abstractNum>
  <w:abstractNum w:abstractNumId="166">
    <w:nsid w:val="7F618FCD"/>
    <w:multiLevelType w:val="hybridMultilevel"/>
    <w:lvl w:ilvl="0">
      <w:lvlJc w:val="left"/>
      <w:lvlText w:val="%1."/>
      <w:numFmt w:val="decimal"/>
      <w:start w:val="1"/>
    </w:lvl>
  </w:abstractNum>
  <w:abstractNum w:abstractNumId="167">
    <w:nsid w:val="7843E45"/>
    <w:multiLevelType w:val="hybridMultilevel"/>
    <w:lvl w:ilvl="0">
      <w:lvlJc w:val="left"/>
      <w:lvlText w:val="%1."/>
      <w:numFmt w:val="lowerRoman"/>
      <w:start w:val="1"/>
    </w:lvl>
  </w:abstractNum>
  <w:abstractNum w:abstractNumId="168">
    <w:nsid w:val="9815DA3"/>
    <w:multiLevelType w:val="hybridMultilevel"/>
    <w:lvl w:ilvl="0">
      <w:lvlJc w:val="left"/>
      <w:lvlText w:val="%1."/>
      <w:numFmt w:val="lowerRoman"/>
      <w:start w:val="7"/>
    </w:lvl>
  </w:abstractNum>
  <w:abstractNum w:abstractNumId="169">
    <w:nsid w:val="5204A191"/>
    <w:multiLevelType w:val="hybridMultilevel"/>
    <w:lvl w:ilvl="0">
      <w:lvlJc w:val="left"/>
      <w:lvlText w:val="%1."/>
      <w:numFmt w:val="decimal"/>
      <w:start w:val="1"/>
    </w:lvl>
  </w:abstractNum>
  <w:abstractNum w:abstractNumId="170">
    <w:nsid w:val="4C73A9C6"/>
    <w:multiLevelType w:val="hybridMultilevel"/>
    <w:lvl w:ilvl="0">
      <w:lvlJc w:val="left"/>
      <w:lvlText w:val="%1."/>
      <w:numFmt w:val="decimal"/>
      <w:start w:val="2"/>
    </w:lvl>
  </w:abstractNum>
  <w:abstractNum w:abstractNumId="171">
    <w:nsid w:val="1C7E3C01"/>
    <w:multiLevelType w:val="hybridMultilevel"/>
    <w:lvl w:ilvl="0">
      <w:lvlJc w:val="left"/>
      <w:lvlText w:val="(%1)"/>
      <w:numFmt w:val="lowerRoman"/>
      <w:start w:val="1"/>
    </w:lvl>
  </w:abstractNum>
  <w:abstractNum w:abstractNumId="172">
    <w:nsid w:val="1C2201FF"/>
    <w:multiLevelType w:val="hybridMultilevel"/>
    <w:lvl w:ilvl="0">
      <w:lvlJc w:val="left"/>
      <w:lvlText w:val="%1."/>
      <w:numFmt w:val="decimal"/>
      <w:start w:val="4"/>
    </w:lvl>
  </w:abstractNum>
  <w:abstractNum w:abstractNumId="173">
    <w:nsid w:val="50ABCEC9"/>
    <w:multiLevelType w:val="hybridMultilevel"/>
    <w:lvl w:ilvl="0">
      <w:lvlJc w:val="left"/>
      <w:lvlText w:val="%1."/>
      <w:numFmt w:val="decimal"/>
      <w:start w:val="5"/>
    </w:lvl>
  </w:abstractNum>
  <w:abstractNum w:abstractNumId="174">
    <w:nsid w:val="7635AA2A"/>
    <w:multiLevelType w:val="hybridMultilevel"/>
    <w:lvl w:ilvl="0">
      <w:lvlJc w:val="left"/>
      <w:lvlText w:val="(%1)"/>
      <w:numFmt w:val="lowerLetter"/>
      <w:start w:val="1"/>
    </w:lvl>
  </w:abstractNum>
  <w:abstractNum w:abstractNumId="175">
    <w:nsid w:val="5E74C4D9"/>
    <w:multiLevelType w:val="hybridMultilevel"/>
    <w:lvl w:ilvl="0">
      <w:lvlJc w:val="left"/>
      <w:lvlText w:val="%1."/>
      <w:numFmt w:val="decimal"/>
      <w:start w:val="7"/>
    </w:lvl>
  </w:abstractNum>
  <w:abstractNum w:abstractNumId="176">
    <w:nsid w:val="3B3EBE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77">
    <w:nsid w:val="3822CB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8">
    <w:nsid w:val="6CE00443"/>
    <w:multiLevelType w:val="hybridMultilevel"/>
    <w:lvl w:ilvl="0">
      <w:lvlJc w:val="left"/>
      <w:lvlText w:val="(%1)"/>
      <w:numFmt w:val="lowerRoman"/>
      <w:start w:val="2"/>
    </w:lvl>
  </w:abstractNum>
  <w:abstractNum w:abstractNumId="179">
    <w:nsid w:val="79F0D62F"/>
    <w:multiLevelType w:val="hybridMultilevel"/>
    <w:lvl w:ilvl="0">
      <w:lvlJc w:val="left"/>
      <w:lvlText w:val="(%1)"/>
      <w:numFmt w:val="lowerRoman"/>
      <w:start w:val="9"/>
    </w:lvl>
  </w:abstractNum>
  <w:abstractNum w:abstractNumId="180">
    <w:nsid w:val="7975E8EE"/>
    <w:multiLevelType w:val="hybridMultilevel"/>
    <w:lvl w:ilvl="0">
      <w:lvlJc w:val="left"/>
      <w:lvlText w:val="(%1)"/>
      <w:numFmt w:val="upperLetter"/>
      <w:start w:val="3"/>
    </w:lvl>
    <w:lvl w:ilvl="1">
      <w:lvlJc w:val="left"/>
      <w:lvlText w:val="(%2)"/>
      <w:numFmt w:val="lowerRoman"/>
      <w:start w:val="12"/>
    </w:lvl>
  </w:abstractNum>
  <w:abstractNum w:abstractNumId="181">
    <w:nsid w:val="73154115"/>
    <w:multiLevelType w:val="hybridMultilevel"/>
    <w:lvl w:ilvl="0">
      <w:lvlJc w:val="left"/>
      <w:lvlText w:val="(%1)"/>
      <w:numFmt w:val="lowerLetter"/>
      <w:start w:val="2"/>
    </w:lvl>
  </w:abstractNum>
  <w:abstractNum w:abstractNumId="182">
    <w:nsid w:val="622D8102"/>
    <w:multiLevelType w:val="hybridMultilevel"/>
    <w:lvl w:ilvl="0">
      <w:lvlJc w:val="left"/>
      <w:lvlText w:val="(%1)"/>
      <w:numFmt w:val="lowerLetter"/>
      <w:start w:val="7"/>
    </w:lvl>
  </w:abstractNum>
  <w:abstractNum w:abstractNumId="183">
    <w:nsid w:val="2AB26587"/>
    <w:multiLevelType w:val="hybridMultilevel"/>
    <w:lvl w:ilvl="0">
      <w:lvlJc w:val="left"/>
      <w:lvlText w:val="%1."/>
      <w:numFmt w:val="decimal"/>
      <w:start w:val="8"/>
    </w:lvl>
  </w:abstractNum>
  <w:abstractNum w:abstractNumId="184">
    <w:nsid w:val="44B3FA61"/>
    <w:multiLevelType w:val="hybridMultilevel"/>
    <w:lvl w:ilvl="0">
      <w:lvlJc w:val="left"/>
      <w:lvlText w:val="(%1)"/>
      <w:numFmt w:val="lowerLetter"/>
      <w:start w:val="1"/>
    </w:lvl>
  </w:abstractNum>
  <w:abstractNum w:abstractNumId="185">
    <w:nsid w:val="1C0CA67C"/>
    <w:multiLevelType w:val="hybridMultilevel"/>
    <w:lvl w:ilvl="0">
      <w:lvlJc w:val="left"/>
      <w:lvlText w:val="(%1)"/>
      <w:numFmt w:val="lowerLetter"/>
      <w:start w:val="3"/>
    </w:lvl>
  </w:abstractNum>
  <w:abstractNum w:abstractNumId="186">
    <w:nsid w:val="3D206613"/>
    <w:multiLevelType w:val="hybridMultilevel"/>
    <w:lvl w:ilvl="0">
      <w:lvlJc w:val="left"/>
      <w:lvlText w:val="%1"/>
      <w:numFmt w:val="upperLetter"/>
      <w:start w:val="1"/>
    </w:lvl>
    <w:lvl w:ilvl="1">
      <w:lvlJc w:val="left"/>
      <w:lvlText w:val="(%2)"/>
      <w:numFmt w:val="lowerLetter"/>
      <w:start w:val="4"/>
    </w:lvl>
  </w:abstractNum>
  <w:abstractNum w:abstractNumId="187">
    <w:nsid w:val="7993B662"/>
    <w:multiLevelType w:val="hybridMultilevel"/>
    <w:lvl w:ilvl="0">
      <w:lvlJc w:val="left"/>
      <w:lvlText w:val="(%1)"/>
      <w:numFmt w:val="upperLetter"/>
      <w:start w:val="2"/>
    </w:lvl>
    <w:lvl w:ilvl="1">
      <w:lvlJc w:val="left"/>
      <w:lvlText w:val="(%2)"/>
      <w:numFmt w:val="lowerLetter"/>
      <w:start w:val="5"/>
    </w:lvl>
  </w:abstractNum>
  <w:abstractNum w:abstractNumId="188">
    <w:nsid w:val="3BAB699E"/>
    <w:multiLevelType w:val="hybridMultilevel"/>
    <w:lvl w:ilvl="0">
      <w:lvlJc w:val="left"/>
      <w:lvlText w:val="%1"/>
      <w:numFmt w:val="upperLetter"/>
      <w:start w:val="1"/>
    </w:lvl>
    <w:lvl w:ilvl="1">
      <w:lvlJc w:val="left"/>
      <w:lvlText w:val="(%2)"/>
      <w:numFmt w:val="lowerLetter"/>
      <w:start w:val="6"/>
    </w:lvl>
  </w:abstractNum>
  <w:abstractNum w:abstractNumId="189">
    <w:nsid w:val="71315369"/>
    <w:multiLevelType w:val="hybridMultilevel"/>
    <w:lvl w:ilvl="0">
      <w:lvlJc w:val="left"/>
      <w:lvlText w:val="(%1)"/>
      <w:numFmt w:val="upperLetter"/>
      <w:start w:val="1"/>
    </w:lvl>
    <w:lvl w:ilvl="1">
      <w:lvlJc w:val="left"/>
      <w:lvlText w:val="%2"/>
      <w:numFmt w:val="lowerLetter"/>
      <w:start w:val="1"/>
    </w:lvl>
  </w:abstractNum>
  <w:abstractNum w:abstractNumId="190">
    <w:nsid w:val="7BCFBAF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91">
    <w:nsid w:val="17859F72"/>
    <w:multiLevelType w:val="hybridMultilevel"/>
    <w:lvl w:ilvl="0">
      <w:lvlJc w:val="left"/>
      <w:lvlText w:val="%1"/>
      <w:numFmt w:val="lowerLetter"/>
      <w:start w:val="1"/>
    </w:lvl>
    <w:lvl w:ilvl="1">
      <w:lvlJc w:val="left"/>
      <w:lvlText w:val="(%2)"/>
      <w:numFmt w:val="lowerLetter"/>
      <w:start w:val="7"/>
    </w:lvl>
    <w:lvl w:ilvl="2">
      <w:lvlJc w:val="left"/>
      <w:lvlText w:val="%3"/>
      <w:numFmt w:val="upperLetter"/>
      <w:start w:val="1"/>
    </w:lvl>
  </w:abstractNum>
  <w:abstractNum w:abstractNumId="192">
    <w:nsid w:val="3AA10581"/>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93">
    <w:nsid w:val="63DE60CD"/>
    <w:multiLevelType w:val="hybridMultilevel"/>
    <w:lvl w:ilvl="0">
      <w:lvlJc w:val="left"/>
      <w:lvlText w:val="(%1)"/>
      <w:numFmt w:val="lowerLetter"/>
      <w:start w:val="10"/>
    </w:lvl>
  </w:abstractNum>
  <w:abstractNum w:abstractNumId="194">
    <w:nsid w:val="621AF471"/>
    <w:multiLevelType w:val="hybridMultilevel"/>
    <w:lvl w:ilvl="0">
      <w:lvlJc w:val="left"/>
      <w:lvlText w:val="(%1)"/>
      <w:numFmt w:val="lowerLetter"/>
      <w:start w:val="15"/>
    </w:lvl>
    <w:lvl w:ilvl="1">
      <w:lvlJc w:val="left"/>
      <w:lvlText w:val="(%2)"/>
      <w:numFmt w:val="lowerRoman"/>
      <w:start w:val="1"/>
    </w:lvl>
  </w:abstractNum>
  <w:abstractNum w:abstractNumId="195">
    <w:nsid w:val="73CFE165"/>
    <w:multiLevelType w:val="hybridMultilevel"/>
    <w:lvl w:ilvl="0">
      <w:lvlJc w:val="left"/>
      <w:lvlText w:val="(%1)"/>
      <w:numFmt w:val="upperLetter"/>
      <w:start w:val="2"/>
    </w:lvl>
    <w:lvl w:ilvl="1">
      <w:lvlJc w:val="left"/>
      <w:lvlText w:val="(%2)"/>
      <w:numFmt w:val="lowerRoman"/>
      <w:start w:val="2"/>
    </w:lvl>
  </w:abstractNum>
  <w:abstractNum w:abstractNumId="196">
    <w:nsid w:val="20F88EA6"/>
    <w:multiLevelType w:val="hybridMultilevel"/>
    <w:lvl w:ilvl="0">
      <w:lvlJc w:val="left"/>
      <w:lvlText w:val="%1."/>
      <w:numFmt w:val="decimal"/>
      <w:start w:val="9"/>
    </w:lvl>
  </w:abstractNum>
  <w:abstractNum w:abstractNumId="197">
    <w:nsid w:val="617C843E"/>
    <w:multiLevelType w:val="hybridMultilevel"/>
    <w:lvl w:ilvl="0">
      <w:lvlJc w:val="left"/>
      <w:lvlText w:val="%1"/>
      <w:numFmt w:val="lowerLetter"/>
      <w:start w:val="1"/>
    </w:lvl>
    <w:lvl w:ilvl="1">
      <w:lvlJc w:val="left"/>
      <w:lvlText w:val="(%2)"/>
      <w:numFmt w:val="lowerLetter"/>
      <w:start w:val="1"/>
    </w:lvl>
  </w:abstractNum>
  <w:abstractNum w:abstractNumId="198">
    <w:nsid w:val="7B541FAB"/>
    <w:multiLevelType w:val="hybridMultilevel"/>
    <w:lvl w:ilvl="0">
      <w:lvlJc w:val="left"/>
      <w:lvlText w:val="(%1)"/>
      <w:numFmt w:val="lowerLetter"/>
      <w:start w:val="61"/>
    </w:lvl>
    <w:lvl w:ilvl="1">
      <w:lvlJc w:val="left"/>
      <w:lvlText w:val="(%2)"/>
      <w:numFmt w:val="lowerLetter"/>
      <w:start w:val="10"/>
    </w:lvl>
  </w:abstractNum>
  <w:abstractNum w:abstractNumId="199">
    <w:nsid w:val="2A79EC49"/>
    <w:multiLevelType w:val="hybridMultilevel"/>
    <w:lvl w:ilvl="0">
      <w:lvlJc w:val="left"/>
      <w:lvlText w:val="%1."/>
      <w:numFmt w:val="decimal"/>
      <w:start w:val="1"/>
    </w:lvl>
  </w:abstractNum>
  <w:abstractNum w:abstractNumId="200">
    <w:nsid w:val="338125CF"/>
    <w:multiLevelType w:val="hybridMultilevel"/>
    <w:lvl w:ilvl="0">
      <w:lvlJc w:val="left"/>
      <w:lvlText w:val="%1."/>
      <w:numFmt w:val="decimal"/>
      <w:start w:val="2"/>
    </w:lvl>
  </w:abstractNum>
  <w:abstractNum w:abstractNumId="201">
    <w:nsid w:val="47C7C971"/>
    <w:multiLevelType w:val="hybridMultilevel"/>
    <w:lvl w:ilvl="0">
      <w:lvlJc w:val="left"/>
      <w:lvlText w:val="(%1)"/>
      <w:numFmt w:val="lowerRoman"/>
      <w:start w:val="1"/>
    </w:lvl>
  </w:abstractNum>
  <w:abstractNum w:abstractNumId="202">
    <w:nsid w:val="46F8284B"/>
    <w:multiLevelType w:val="hybridMultilevel"/>
    <w:lvl w:ilvl="0">
      <w:lvlJc w:val="left"/>
      <w:lvlText w:val="%1."/>
      <w:numFmt w:val="decimal"/>
      <w:start w:val="5"/>
    </w:lvl>
  </w:abstractNum>
  <w:abstractNum w:abstractNumId="203">
    <w:nsid w:val="4FA327CE"/>
    <w:multiLevelType w:val="hybridMultilevel"/>
    <w:lvl w:ilvl="0">
      <w:lvlJc w:val="left"/>
      <w:lvlText w:val="(%1)"/>
      <w:numFmt w:val="lowerLetter"/>
      <w:start w:val="1"/>
    </w:lvl>
  </w:abstractNum>
  <w:abstractNum w:abstractNumId="204">
    <w:nsid w:val="1873983A"/>
    <w:multiLevelType w:val="hybridMultilevel"/>
    <w:lvl w:ilvl="0">
      <w:lvlJc w:val="left"/>
      <w:lvlText w:val="%1."/>
      <w:numFmt w:val="decimal"/>
      <w:start w:val="7"/>
    </w:lvl>
  </w:abstractNum>
  <w:abstractNum w:abstractNumId="205">
    <w:nsid w:val="3D2DD275"/>
    <w:multiLevelType w:val="hybridMultilevel"/>
    <w:lvl w:ilvl="0">
      <w:lvlJc w:val="left"/>
      <w:lvlText w:val="(%1)"/>
      <w:numFmt w:val="lowerLetter"/>
      <w:start w:val="1"/>
    </w:lvl>
  </w:abstractNum>
  <w:abstractNum w:abstractNumId="206">
    <w:nsid w:val="2E17ECA7"/>
    <w:multiLevelType w:val="hybridMultilevel"/>
    <w:lvl w:ilvl="0">
      <w:lvlJc w:val="left"/>
      <w:lvlText w:val="(%1)"/>
      <w:numFmt w:val="lowerRoman"/>
      <w:start w:val="1"/>
    </w:lvl>
  </w:abstractNum>
  <w:abstractNum w:abstractNumId="207">
    <w:nsid w:val="53B2564F"/>
    <w:multiLevelType w:val="hybridMultilevel"/>
    <w:lvl w:ilvl="0">
      <w:lvlJc w:val="left"/>
      <w:lvlText w:val="(%1)"/>
      <w:numFmt w:val="lowerRoman"/>
      <w:start w:val="9"/>
    </w:lvl>
  </w:abstractNum>
  <w:abstractNum w:abstractNumId="208">
    <w:nsid w:val="75509D76"/>
    <w:multiLevelType w:val="hybridMultilevel"/>
    <w:lvl w:ilvl="0">
      <w:lvlJc w:val="left"/>
      <w:lvlText w:val="%1"/>
      <w:numFmt w:val="upperLetter"/>
      <w:start w:val="1"/>
    </w:lvl>
    <w:lvl w:ilvl="1">
      <w:lvlJc w:val="left"/>
      <w:lvlText w:val="(%2)"/>
      <w:numFmt w:val="lowerRoman"/>
      <w:start w:val="10"/>
    </w:lvl>
  </w:abstractNum>
  <w:abstractNum w:abstractNumId="209">
    <w:nsid w:val="1AF7F0EA"/>
    <w:multiLevelType w:val="hybridMultilevel"/>
    <w:lvl w:ilvl="0">
      <w:lvlJc w:val="left"/>
      <w:lvlText w:val="(%1)"/>
      <w:numFmt w:val="upperLetter"/>
      <w:start w:val="3"/>
    </w:lvl>
    <w:lvl w:ilvl="1">
      <w:lvlJc w:val="left"/>
      <w:lvlText w:val="(%2)"/>
      <w:numFmt w:val="lowerRoman"/>
      <w:start w:val="12"/>
    </w:lvl>
  </w:abstractNum>
  <w:abstractNum w:abstractNumId="210">
    <w:nsid w:val="4DA32C7E"/>
    <w:multiLevelType w:val="hybridMultilevel"/>
    <w:lvl w:ilvl="0">
      <w:lvlJc w:val="left"/>
      <w:lvlText w:val="(%1)"/>
      <w:numFmt w:val="lowerLetter"/>
      <w:start w:val="2"/>
    </w:lvl>
  </w:abstractNum>
  <w:abstractNum w:abstractNumId="211">
    <w:nsid w:val="6EC68664"/>
    <w:multiLevelType w:val="hybridMultilevel"/>
    <w:lvl w:ilvl="0">
      <w:lvlJc w:val="left"/>
      <w:lvlText w:val="(%1)"/>
      <w:numFmt w:val="lowerLetter"/>
      <w:start w:val="6"/>
    </w:lvl>
  </w:abstractNum>
  <w:abstractNum w:abstractNumId="212">
    <w:nsid w:val="E0D31FF"/>
    <w:multiLevelType w:val="hybridMultilevel"/>
    <w:lvl w:ilvl="0">
      <w:lvlJc w:val="left"/>
      <w:lvlText w:val="%1."/>
      <w:numFmt w:val="decimal"/>
      <w:start w:val="8"/>
    </w:lvl>
  </w:abstractNum>
  <w:abstractNum w:abstractNumId="213">
    <w:nsid w:val="2FD0AD81"/>
    <w:multiLevelType w:val="hybridMultilevel"/>
    <w:lvl w:ilvl="0">
      <w:lvlJc w:val="left"/>
      <w:lvlText w:val="(%1)"/>
      <w:numFmt w:val="lowerLetter"/>
      <w:start w:val="1"/>
    </w:lvl>
  </w:abstractNum>
  <w:abstractNum w:abstractNumId="214">
    <w:nsid w:val="1978EBEB"/>
    <w:multiLevelType w:val="hybridMultilevel"/>
    <w:lvl w:ilvl="0">
      <w:lvlJc w:val="left"/>
      <w:lvlText w:val="(%1)"/>
      <w:numFmt w:val="lowerLetter"/>
      <w:start w:val="3"/>
    </w:lvl>
  </w:abstractNum>
  <w:abstractNum w:abstractNumId="215">
    <w:nsid w:val="52C12C61"/>
    <w:multiLevelType w:val="hybridMultilevel"/>
    <w:lvl w:ilvl="0">
      <w:lvlJc w:val="left"/>
      <w:lvlText w:val="%1"/>
      <w:numFmt w:val="upperLetter"/>
      <w:start w:val="1"/>
    </w:lvl>
    <w:lvl w:ilvl="1">
      <w:lvlJc w:val="left"/>
      <w:lvlText w:val="(%2)"/>
      <w:numFmt w:val="lowerLetter"/>
      <w:start w:val="4"/>
    </w:lvl>
  </w:abstractNum>
  <w:abstractNum w:abstractNumId="216">
    <w:nsid w:val="4BDD53FD"/>
    <w:multiLevelType w:val="hybridMultilevel"/>
    <w:lvl w:ilvl="0">
      <w:lvlJc w:val="left"/>
      <w:lvlText w:val="(%1)"/>
      <w:numFmt w:val="upperLetter"/>
      <w:start w:val="2"/>
    </w:lvl>
    <w:lvl w:ilvl="1">
      <w:lvlJc w:val="left"/>
      <w:lvlText w:val="(%2)"/>
      <w:numFmt w:val="lowerLetter"/>
      <w:start w:val="5"/>
    </w:lvl>
  </w:abstractNum>
  <w:abstractNum w:abstractNumId="217">
    <w:nsid w:val="569951FE"/>
    <w:multiLevelType w:val="hybridMultilevel"/>
    <w:lvl w:ilvl="0">
      <w:lvlJc w:val="left"/>
      <w:lvlText w:val="(%1)"/>
      <w:numFmt w:val="lowerLetter"/>
      <w:start w:val="6"/>
    </w:lvl>
  </w:abstractNum>
  <w:abstractNum w:abstractNumId="218">
    <w:nsid w:val="4C54E2C3"/>
    <w:multiLevelType w:val="hybridMultilevel"/>
    <w:lvl w:ilvl="0">
      <w:lvlJc w:val="left"/>
      <w:lvlText w:val="(%1)"/>
      <w:numFmt w:val="upperLetter"/>
      <w:start w:val="2"/>
    </w:lvl>
    <w:lvl w:ilvl="1">
      <w:lvlJc w:val="left"/>
      <w:lvlText w:val="(%2)"/>
      <w:numFmt w:val="lowerLetter"/>
      <w:start w:val="6"/>
    </w:lvl>
    <w:lvl w:ilvl="2">
      <w:lvlJc w:val="left"/>
      <w:lvlText w:val="(%3)"/>
      <w:numFmt w:val="upperLetter"/>
      <w:start w:val="1"/>
    </w:lvl>
  </w:abstractNum>
  <w:abstractNum w:abstractNumId="219">
    <w:nsid w:val="788BD9B"/>
    <w:multiLevelType w:val="hybridMultilevel"/>
    <w:lvl w:ilvl="0">
      <w:lvlJc w:val="left"/>
      <w:lvlText w:val="(%1)"/>
      <w:numFmt w:val="lowerLetter"/>
      <w:start w:val="9"/>
    </w:lvl>
    <w:lvl w:ilvl="1">
      <w:lvlJc w:val="left"/>
      <w:lvlText w:val="(%2)"/>
      <w:numFmt w:val="lowerLetter"/>
      <w:start w:val="10"/>
    </w:lvl>
  </w:abstractNum>
  <w:abstractNum w:abstractNumId="220">
    <w:nsid w:val="47CAA567"/>
    <w:multiLevelType w:val="hybridMultilevel"/>
    <w:lvl w:ilvl="0">
      <w:lvlJc w:val="left"/>
      <w:lvlText w:val="(%1)"/>
      <w:numFmt w:val="lowerLetter"/>
      <w:start w:val="14"/>
    </w:lvl>
    <w:lvl w:ilvl="1">
      <w:lvlJc w:val="left"/>
      <w:lvlText w:val="(%2)"/>
      <w:numFmt w:val="lowerRoman"/>
      <w:start w:val="1"/>
    </w:lvl>
  </w:abstractNum>
  <w:abstractNum w:abstractNumId="221">
    <w:nsid w:val="48249DBF"/>
    <w:multiLevelType w:val="hybridMultilevel"/>
    <w:lvl w:ilvl="0">
      <w:lvlJc w:val="left"/>
      <w:lvlText w:val="%1"/>
      <w:numFmt w:val="lowerLetter"/>
      <w:start w:val="1"/>
    </w:lvl>
    <w:lvl w:ilvl="1">
      <w:lvlJc w:val="left"/>
      <w:lvlText w:val="(%2)"/>
      <w:numFmt w:val="lowerLetter"/>
      <w:start w:val="18"/>
    </w:lvl>
  </w:abstractNum>
  <w:abstractNum w:abstractNumId="222">
    <w:nsid w:val="1F0E5D0D"/>
    <w:multiLevelType w:val="hybridMultilevel"/>
    <w:lvl w:ilvl="0">
      <w:lvlJc w:val="left"/>
      <w:lvlText w:val="(%1)"/>
      <w:numFmt w:val="lowerLetter"/>
      <w:start w:val="22"/>
    </w:lvl>
    <w:lvl w:ilvl="1">
      <w:lvlJc w:val="left"/>
      <w:lvlText w:val="%2"/>
      <w:numFmt w:val="lowerLetter"/>
      <w:start w:val="1"/>
    </w:lvl>
  </w:abstractNum>
  <w:abstractNum w:abstractNumId="223">
    <w:nsid w:val="26BAAE9"/>
    <w:multiLevelType w:val="hybridMultilevel"/>
    <w:lvl w:ilvl="0">
      <w:lvlJc w:val="left"/>
      <w:lvlText w:val="%1."/>
      <w:numFmt w:val="decimal"/>
      <w:start w:val="9"/>
    </w:lvl>
  </w:abstractNum>
  <w:abstractNum w:abstractNumId="224">
    <w:nsid w:val="2C02FE8C"/>
    <w:multiLevelType w:val="hybridMultilevel"/>
    <w:lvl w:ilvl="0">
      <w:lvlJc w:val="left"/>
      <w:lvlText w:val="(%1)"/>
      <w:numFmt w:val="lowerLetter"/>
      <w:start w:val="1"/>
    </w:lvl>
  </w:abstractNum>
  <w:abstractNum w:abstractNumId="225">
    <w:nsid w:val="129517E"/>
    <w:multiLevelType w:val="hybridMultilevel"/>
    <w:lvl w:ilvl="0">
      <w:lvlJc w:val="left"/>
      <w:lvlText w:val="(%1)"/>
      <w:numFmt w:val="lowerLetter"/>
      <w:start w:val="61"/>
    </w:lvl>
    <w:lvl w:ilvl="1">
      <w:lvlJc w:val="left"/>
      <w:lvlText w:val="(%2)"/>
      <w:numFmt w:val="lowerLetter"/>
      <w:start w:val="10"/>
    </w:lvl>
  </w:abstractNum>
  <w:abstractNum w:abstractNumId="226">
    <w:nsid w:val="763B8C4E"/>
    <w:multiLevelType w:val="hybridMultilevel"/>
    <w:lvl w:ilvl="0">
      <w:lvlJc w:val="left"/>
      <w:lvlText w:val="%1."/>
      <w:numFmt w:val="decimal"/>
      <w:start w:val="1"/>
    </w:lvl>
  </w:abstractNum>
  <w:abstractNum w:abstractNumId="227">
    <w:nsid w:val="4CFB8D32"/>
    <w:multiLevelType w:val="hybridMultilevel"/>
    <w:lvl w:ilvl="0">
      <w:lvlJc w:val="left"/>
      <w:lvlText w:val="%1."/>
      <w:numFmt w:val="decimal"/>
      <w:start w:val="2"/>
    </w:lvl>
  </w:abstractNum>
  <w:abstractNum w:abstractNumId="228">
    <w:nsid w:val="62A5D5BD"/>
    <w:multiLevelType w:val="hybridMultilevel"/>
    <w:lvl w:ilvl="0">
      <w:lvlJc w:val="left"/>
      <w:lvlText w:val="%1."/>
      <w:numFmt w:val="decimal"/>
      <w:start w:val="5"/>
    </w:lvl>
  </w:abstractNum>
  <w:abstractNum w:abstractNumId="229">
    <w:nsid w:val="718FABF9"/>
    <w:multiLevelType w:val="hybridMultilevel"/>
    <w:lvl w:ilvl="0">
      <w:lvlJc w:val="left"/>
      <w:lvlText w:val="(%1)"/>
      <w:numFmt w:val="lowerLetter"/>
      <w:start w:val="1"/>
    </w:lvl>
  </w:abstractNum>
  <w:abstractNum w:abstractNumId="230">
    <w:nsid w:val="7775797C"/>
    <w:multiLevelType w:val="hybridMultilevel"/>
    <w:lvl w:ilvl="0">
      <w:lvlJc w:val="left"/>
      <w:lvlText w:val="(%1)"/>
      <w:numFmt w:val="lowerLetter"/>
      <w:start w:val="2"/>
    </w:lvl>
  </w:abstractNum>
  <w:abstractNum w:abstractNumId="231">
    <w:nsid w:val="1626FB8C"/>
    <w:multiLevelType w:val="hybridMultilevel"/>
    <w:lvl w:ilvl="0">
      <w:lvlJc w:val="left"/>
      <w:lvlText w:val="%1."/>
      <w:numFmt w:val="decimal"/>
      <w:start w:val="7"/>
    </w:lvl>
  </w:abstractNum>
  <w:abstractNum w:abstractNumId="232">
    <w:nsid w:val="3957756A"/>
    <w:multiLevelType w:val="hybridMultilevel"/>
    <w:lvl w:ilvl="0">
      <w:lvlJc w:val="left"/>
      <w:lvlText w:val="(%1)"/>
      <w:numFmt w:val="lowerLetter"/>
      <w:start w:val="1"/>
    </w:lvl>
    <w:lvl w:ilvl="1">
      <w:lvlJc w:val="left"/>
      <w:lvlText w:val="(%2)"/>
      <w:numFmt w:val="lowerRoman"/>
      <w:start w:val="1"/>
    </w:lvl>
  </w:abstractNum>
  <w:abstractNum w:abstractNumId="233">
    <w:nsid w:val="3E6DA1C7"/>
    <w:multiLevelType w:val="hybridMultilevel"/>
    <w:lvl w:ilvl="0">
      <w:lvlJc w:val="left"/>
      <w:lvlText w:val="(%1)"/>
      <w:numFmt w:val="lowerRoman"/>
      <w:start w:val="8"/>
    </w:lvl>
  </w:abstractNum>
  <w:abstractNum w:abstractNumId="234">
    <w:nsid w:val="65CA235B"/>
    <w:multiLevelType w:val="hybridMultilevel"/>
    <w:lvl w:ilvl="0">
      <w:lvlJc w:val="left"/>
      <w:lvlText w:val="(%1)"/>
      <w:numFmt w:val="upperLetter"/>
      <w:start w:val="3"/>
    </w:lvl>
    <w:lvl w:ilvl="1">
      <w:lvlJc w:val="left"/>
      <w:lvlText w:val="(%2)"/>
      <w:numFmt w:val="lowerRoman"/>
      <w:start w:val="12"/>
    </w:lvl>
  </w:abstractNum>
  <w:abstractNum w:abstractNumId="235">
    <w:nsid w:val="51CB0DA4"/>
    <w:multiLevelType w:val="hybridMultilevel"/>
    <w:lvl w:ilvl="0">
      <w:lvlJc w:val="left"/>
      <w:lvlText w:val="(%1)"/>
      <w:numFmt w:val="lowerLetter"/>
      <w:start w:val="2"/>
    </w:lvl>
  </w:abstractNum>
  <w:abstractNum w:abstractNumId="236">
    <w:nsid w:val="7B9B743C"/>
    <w:multiLevelType w:val="hybridMultilevel"/>
    <w:lvl w:ilvl="0">
      <w:lvlJc w:val="left"/>
      <w:lvlText w:val="(%1)"/>
      <w:numFmt w:val="lowerLetter"/>
      <w:start w:val="4"/>
    </w:lvl>
  </w:abstractNum>
  <w:abstractNum w:abstractNumId="237">
    <w:nsid w:val="13E21002"/>
    <w:multiLevelType w:val="hybridMultilevel"/>
    <w:lvl w:ilvl="0">
      <w:lvlJc w:val="left"/>
      <w:lvlText w:val="%1."/>
      <w:numFmt w:val="decimal"/>
      <w:start w:val="8"/>
    </w:lvl>
  </w:abstractNum>
  <w:abstractNum w:abstractNumId="238">
    <w:nsid w:val="257D63F4"/>
    <w:multiLevelType w:val="hybridMultilevel"/>
    <w:lvl w:ilvl="0">
      <w:lvlJc w:val="left"/>
      <w:lvlText w:val="(%1)"/>
      <w:numFmt w:val="lowerLetter"/>
      <w:start w:val="1"/>
    </w:lvl>
  </w:abstractNum>
  <w:abstractNum w:abstractNumId="239">
    <w:nsid w:val="70EC11B2"/>
    <w:multiLevelType w:val="hybridMultilevel"/>
    <w:lvl w:ilvl="0">
      <w:lvlJc w:val="left"/>
      <w:lvlText w:val="(%1)"/>
      <w:numFmt w:val="lowerLetter"/>
      <w:start w:val="2"/>
    </w:lvl>
  </w:abstractNum>
  <w:abstractNum w:abstractNumId="240">
    <w:nsid w:val="2EDA00ED"/>
    <w:multiLevelType w:val="hybridMultilevel"/>
    <w:lvl w:ilvl="0">
      <w:lvlJc w:val="left"/>
      <w:lvlText w:val="(%1)"/>
      <w:numFmt w:val="lowerLetter"/>
      <w:start w:val="3"/>
    </w:lvl>
  </w:abstractNum>
  <w:abstractNum w:abstractNumId="241">
    <w:nsid w:val="73209072"/>
    <w:multiLevelType w:val="hybridMultilevel"/>
    <w:lvl w:ilvl="0">
      <w:lvlJc w:val="left"/>
      <w:lvlText w:val="%1"/>
      <w:numFmt w:val="upperLetter"/>
      <w:start w:val="1"/>
    </w:lvl>
    <w:lvl w:ilvl="1">
      <w:lvlJc w:val="left"/>
      <w:lvlText w:val="(%2)"/>
      <w:numFmt w:val="lowerLetter"/>
      <w:start w:val="4"/>
    </w:lvl>
  </w:abstractNum>
  <w:abstractNum w:abstractNumId="242">
    <w:nsid w:val="5FB29816"/>
    <w:multiLevelType w:val="hybridMultilevel"/>
    <w:lvl w:ilvl="0">
      <w:lvlJc w:val="left"/>
      <w:lvlText w:val="(%1)"/>
      <w:numFmt w:val="upperLetter"/>
      <w:start w:val="2"/>
    </w:lvl>
    <w:lvl w:ilvl="1">
      <w:lvlJc w:val="left"/>
      <w:lvlText w:val="%2"/>
      <w:numFmt w:val="lowerLetter"/>
      <w:start w:val="1"/>
    </w:lvl>
  </w:abstractNum>
  <w:abstractNum w:abstractNumId="243">
    <w:nsid w:val="3CE732EC"/>
    <w:multiLevelType w:val="hybridMultilevel"/>
    <w:lvl w:ilvl="0">
      <w:lvlJc w:val="left"/>
      <w:lvlText w:val="%1"/>
      <w:numFmt w:val="lowerLetter"/>
      <w:start w:val="1"/>
    </w:lvl>
    <w:lvl w:ilvl="1">
      <w:lvlJc w:val="left"/>
      <w:lvlText w:val="(%2)"/>
      <w:numFmt w:val="lowerLetter"/>
      <w:start w:val="5"/>
    </w:lvl>
  </w:abstractNum>
  <w:abstractNum w:abstractNumId="244">
    <w:nsid w:val="22F13DF3"/>
    <w:multiLevelType w:val="hybridMultilevel"/>
    <w:lvl w:ilvl="0">
      <w:lvlJc w:val="left"/>
      <w:lvlText w:val="(%1)"/>
      <w:numFmt w:val="lowerLetter"/>
      <w:start w:val="6"/>
    </w:lvl>
    <w:lvl w:ilvl="1">
      <w:lvlJc w:val="left"/>
      <w:lvlText w:val="%2"/>
      <w:numFmt w:val="lowerLetter"/>
      <w:start w:val="1"/>
    </w:lvl>
  </w:abstractNum>
  <w:abstractNum w:abstractNumId="245">
    <w:nsid w:val="792B8401"/>
    <w:multiLevelType w:val="hybridMultilevel"/>
    <w:lvl w:ilvl="0">
      <w:lvlJc w:val="left"/>
      <w:lvlText w:val="(%1)"/>
      <w:numFmt w:val="upperLetter"/>
      <w:start w:val="1"/>
    </w:lvl>
    <w:lvl w:ilvl="1">
      <w:lvlJc w:val="left"/>
      <w:lvlText w:val="(%2)"/>
      <w:numFmt w:val="upperLetter"/>
      <w:start w:val="1"/>
    </w:lvl>
  </w:abstractNum>
  <w:abstractNum w:abstractNumId="246">
    <w:nsid w:val="FA85F4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7"/>
    </w:lvl>
  </w:abstractNum>
  <w:abstractNum w:abstractNumId="247">
    <w:nsid w:val="6ECE91F0"/>
    <w:multiLevelType w:val="hybridMultilevel"/>
    <w:lvl w:ilvl="0">
      <w:lvlJc w:val="left"/>
      <w:lvlText w:val="%1"/>
      <w:numFmt w:val="lowerLetter"/>
      <w:start w:val="1"/>
    </w:lvl>
    <w:lvl w:ilvl="1">
      <w:lvlJc w:val="left"/>
      <w:lvlText w:val="(%2)"/>
      <w:numFmt w:val="lowerLetter"/>
      <w:start w:val="7"/>
    </w:lvl>
    <w:lvl w:ilvl="2">
      <w:lvlJc w:val="left"/>
      <w:lvlText w:val="%3"/>
      <w:numFmt w:val="upperLetter"/>
      <w:start w:val="1"/>
    </w:lvl>
  </w:abstractNum>
  <w:abstractNum w:abstractNumId="248">
    <w:nsid w:val="4FC4D600"/>
    <w:multiLevelType w:val="hybridMultilevel"/>
    <w:lvl w:ilvl="0">
      <w:lvlJc w:val="left"/>
      <w:lvlText w:val="(%1)"/>
      <w:numFmt w:val="lowerLetter"/>
      <w:start w:val="9"/>
    </w:lvl>
    <w:lvl w:ilvl="1">
      <w:lvlJc w:val="left"/>
      <w:lvlText w:val="(%2)"/>
      <w:numFmt w:val="lowerLetter"/>
      <w:start w:val="10"/>
    </w:lvl>
    <w:lvl w:ilvl="2">
      <w:lvlJc w:val="left"/>
      <w:lvlText w:val="%3"/>
      <w:numFmt w:val="upperLetter"/>
      <w:start w:val="1"/>
    </w:lvl>
  </w:abstractNum>
  <w:abstractNum w:abstractNumId="249">
    <w:nsid w:val="5BFD4210"/>
    <w:multiLevelType w:val="hybridMultilevel"/>
    <w:lvl w:ilvl="0">
      <w:lvlJc w:val="left"/>
      <w:lvlText w:val="(%1)"/>
      <w:numFmt w:val="lowerLetter"/>
      <w:start w:val="13"/>
    </w:lvl>
    <w:lvl w:ilvl="1">
      <w:lvlJc w:val="left"/>
      <w:lvlText w:val="(%2)"/>
      <w:numFmt w:val="lowerRoman"/>
      <w:start w:val="1"/>
    </w:lvl>
  </w:abstractNum>
  <w:abstractNum w:abstractNumId="250">
    <w:nsid w:val="76574F8B"/>
    <w:multiLevelType w:val="hybridMultilevel"/>
    <w:lvl w:ilvl="0">
      <w:lvlJc w:val="left"/>
      <w:lvlText w:val="%1"/>
      <w:numFmt w:val="lowerLetter"/>
      <w:start w:val="1"/>
    </w:lvl>
    <w:lvl w:ilvl="1">
      <w:lvlJc w:val="left"/>
      <w:lvlText w:val="(%2)"/>
      <w:numFmt w:val="lowerRoman"/>
      <w:start w:val="4"/>
    </w:lvl>
  </w:abstractNum>
  <w:abstractNum w:abstractNumId="251">
    <w:nsid w:val="178F7B67"/>
    <w:multiLevelType w:val="hybridMultilevel"/>
    <w:lvl w:ilvl="0">
      <w:lvlJc w:val="left"/>
      <w:lvlText w:val="(%1)"/>
      <w:numFmt w:val="lowerLetter"/>
      <w:start w:val="18"/>
    </w:lvl>
    <w:lvl w:ilvl="1">
      <w:lvlJc w:val="left"/>
      <w:lvlText w:val="(%2)"/>
      <w:numFmt w:val="lowerRoman"/>
      <w:start w:val="1"/>
    </w:lvl>
  </w:abstractNum>
  <w:abstractNum w:abstractNumId="252">
    <w:nsid w:val="2421DFCF"/>
    <w:multiLevelType w:val="hybridMultilevel"/>
    <w:lvl w:ilvl="0">
      <w:lvlJc w:val="left"/>
      <w:lvlText w:val="(%1)"/>
      <w:numFmt w:val="lowerRoman"/>
      <w:start w:val="4"/>
    </w:lvl>
  </w:abstractNum>
  <w:abstractNum w:abstractNumId="253">
    <w:nsid w:val="1565AC99"/>
    <w:multiLevelType w:val="hybridMultilevel"/>
    <w:lvl w:ilvl="0">
      <w:lvlJc w:val="left"/>
      <w:lvlText w:val="%1."/>
      <w:numFmt w:val="decimal"/>
      <w:start w:val="9"/>
    </w:lvl>
  </w:abstractNum>
  <w:abstractNum w:abstractNumId="254">
    <w:nsid w:val="19FB2650"/>
    <w:multiLevelType w:val="hybridMultilevel"/>
    <w:lvl w:ilvl="0">
      <w:lvlJc w:val="left"/>
      <w:lvlText w:val="(%1)"/>
      <w:numFmt w:val="lowerLetter"/>
      <w:start w:val="1"/>
    </w:lvl>
  </w:abstractNum>
  <w:abstractNum w:abstractNumId="255">
    <w:nsid w:val="5024DE5B"/>
    <w:multiLevelType w:val="hybridMultilevel"/>
    <w:lvl w:ilvl="0">
      <w:lvlJc w:val="left"/>
      <w:lvlText w:val="(%1)"/>
      <w:numFmt w:val="lowerLetter"/>
      <w:start w:val="61"/>
    </w:lvl>
    <w:lvl w:ilvl="1">
      <w:lvlJc w:val="left"/>
      <w:lvlText w:val="(%2)"/>
      <w:numFmt w:val="lowerLetter"/>
      <w:start w:val="10"/>
    </w:lvl>
  </w:abstractNum>
  <w:abstractNum w:abstractNumId="256">
    <w:nsid w:val="168EFE17"/>
    <w:multiLevelType w:val="hybridMultilevel"/>
    <w:lvl w:ilvl="0">
      <w:lvlJc w:val="left"/>
      <w:lvlText w:val="%1."/>
      <w:numFmt w:val="decimal"/>
      <w:start w:val="1"/>
    </w:lvl>
  </w:abstractNum>
  <w:abstractNum w:abstractNumId="257">
    <w:nsid w:val="1036B29F"/>
    <w:multiLevelType w:val="hybridMultilevel"/>
    <w:lvl w:ilvl="0">
      <w:lvlJc w:val="left"/>
      <w:lvlText w:val="%1."/>
      <w:numFmt w:val="decimal"/>
      <w:start w:val="2"/>
    </w:lvl>
  </w:abstractNum>
  <w:abstractNum w:abstractNumId="258">
    <w:nsid w:val="1D206B8E"/>
    <w:multiLevelType w:val="hybridMultilevel"/>
    <w:lvl w:ilvl="0">
      <w:lvlJc w:val="left"/>
      <w:lvlText w:val="%1."/>
      <w:numFmt w:val="decimal"/>
      <w:start w:val="5"/>
    </w:lvl>
  </w:abstractNum>
  <w:abstractNum w:abstractNumId="259">
    <w:nsid w:val="7934D3D4"/>
    <w:multiLevelType w:val="hybridMultilevel"/>
    <w:lvl w:ilvl="0">
      <w:lvlJc w:val="left"/>
      <w:lvlText w:val="(%1)"/>
      <w:numFmt w:val="lowerLetter"/>
      <w:start w:val="1"/>
    </w:lvl>
  </w:abstractNum>
  <w:abstractNum w:abstractNumId="260">
    <w:nsid w:val="1C65E98"/>
    <w:multiLevelType w:val="hybridMultilevel"/>
    <w:lvl w:ilvl="0">
      <w:lvlJc w:val="left"/>
      <w:lvlText w:val="%1."/>
      <w:numFmt w:val="decimal"/>
      <w:start w:val="7"/>
    </w:lvl>
  </w:abstractNum>
  <w:abstractNum w:abstractNumId="261">
    <w:nsid w:val="1495E50A"/>
    <w:multiLevelType w:val="hybridMultilevel"/>
    <w:lvl w:ilvl="0">
      <w:lvlJc w:val="left"/>
      <w:lvlText w:val="(%1)"/>
      <w:numFmt w:val="lowerLetter"/>
      <w:start w:val="1"/>
    </w:lvl>
    <w:lvl w:ilvl="1">
      <w:lvlJc w:val="left"/>
      <w:lvlText w:val="(%2)"/>
      <w:numFmt w:val="lowerRoman"/>
      <w:start w:val="1"/>
    </w:lvl>
  </w:abstractNum>
  <w:abstractNum w:abstractNumId="262">
    <w:nsid w:val="F5BCF61"/>
    <w:multiLevelType w:val="hybridMultilevel"/>
    <w:lvl w:ilvl="0">
      <w:lvlJc w:val="left"/>
      <w:lvlText w:val="(%1)"/>
      <w:numFmt w:val="lowerRoman"/>
      <w:start w:val="6"/>
    </w:lvl>
  </w:abstractNum>
  <w:abstractNum w:abstractNumId="263">
    <w:nsid w:val="3B1DD403"/>
    <w:multiLevelType w:val="hybridMultilevel"/>
    <w:lvl w:ilvl="0">
      <w:lvlJc w:val="left"/>
      <w:lvlText w:val="(%1)"/>
      <w:numFmt w:val="upperLetter"/>
      <w:start w:val="3"/>
    </w:lvl>
    <w:lvl w:ilvl="1">
      <w:lvlJc w:val="left"/>
      <w:lvlText w:val="(%2)"/>
      <w:numFmt w:val="lowerRoman"/>
      <w:start w:val="12"/>
    </w:lvl>
  </w:abstractNum>
  <w:abstractNum w:abstractNumId="264">
    <w:nsid w:val="530386D1"/>
    <w:multiLevelType w:val="hybridMultilevel"/>
    <w:lvl w:ilvl="0">
      <w:lvlJc w:val="left"/>
      <w:lvlText w:val="(%1)"/>
      <w:numFmt w:val="lowerLetter"/>
      <w:start w:val="2"/>
    </w:lvl>
  </w:abstractNum>
  <w:abstractNum w:abstractNumId="265">
    <w:nsid w:val="7525F2BC"/>
    <w:multiLevelType w:val="hybridMultilevel"/>
    <w:lvl w:ilvl="0">
      <w:lvlJc w:val="left"/>
      <w:lvlText w:val="(%1)"/>
      <w:numFmt w:val="lowerLetter"/>
      <w:start w:val="4"/>
    </w:lvl>
  </w:abstractNum>
  <w:abstractNum w:abstractNumId="266">
    <w:nsid w:val="CE8E1A7"/>
    <w:multiLevelType w:val="hybridMultilevel"/>
    <w:lvl w:ilvl="0">
      <w:lvlJc w:val="left"/>
      <w:lvlText w:val="%1."/>
      <w:numFmt w:val="decimal"/>
      <w:start w:val="8"/>
    </w:lvl>
  </w:abstractNum>
  <w:abstractNum w:abstractNumId="267">
    <w:nsid w:val="4E9EFB0D"/>
    <w:multiLevelType w:val="hybridMultilevel"/>
    <w:lvl w:ilvl="0">
      <w:lvlJc w:val="left"/>
      <w:lvlText w:val="(%1)"/>
      <w:numFmt w:val="lowerLetter"/>
      <w:start w:val="1"/>
    </w:lvl>
  </w:abstractNum>
  <w:abstractNum w:abstractNumId="268">
    <w:nsid w:val="90802BE"/>
    <w:multiLevelType w:val="hybridMultilevel"/>
    <w:lvl w:ilvl="0">
      <w:lvlJc w:val="left"/>
      <w:lvlText w:val="(%1)"/>
      <w:numFmt w:val="lowerLetter"/>
      <w:start w:val="2"/>
    </w:lvl>
  </w:abstractNum>
  <w:abstractNum w:abstractNumId="269">
    <w:nsid w:val="3266459B"/>
    <w:multiLevelType w:val="hybridMultilevel"/>
    <w:lvl w:ilvl="0">
      <w:lvlJc w:val="left"/>
      <w:lvlText w:val="(%1)"/>
      <w:numFmt w:val="lowerLetter"/>
      <w:start w:val="3"/>
    </w:lvl>
  </w:abstractNum>
  <w:abstractNum w:abstractNumId="270">
    <w:nsid w:val="3F8B0CBF"/>
    <w:multiLevelType w:val="hybridMultilevel"/>
    <w:lvl w:ilvl="0">
      <w:lvlJc w:val="left"/>
      <w:lvlText w:val="%1"/>
      <w:numFmt w:val="upperLetter"/>
      <w:start w:val="1"/>
    </w:lvl>
    <w:lvl w:ilvl="1">
      <w:lvlJc w:val="left"/>
      <w:lvlText w:val="(%2)"/>
      <w:numFmt w:val="lowerLetter"/>
      <w:start w:val="4"/>
    </w:lvl>
  </w:abstractNum>
  <w:abstractNum w:abstractNumId="271">
    <w:nsid w:val="37E203AB"/>
    <w:multiLevelType w:val="hybridMultilevel"/>
    <w:lvl w:ilvl="0">
      <w:lvlJc w:val="left"/>
      <w:lvlText w:val="(%1)"/>
      <w:numFmt w:val="upperLetter"/>
      <w:start w:val="2"/>
    </w:lvl>
    <w:lvl w:ilvl="1">
      <w:lvlJc w:val="left"/>
      <w:lvlText w:val="%2"/>
      <w:numFmt w:val="lowerLetter"/>
      <w:start w:val="1"/>
    </w:lvl>
  </w:abstractNum>
  <w:abstractNum w:abstractNumId="272">
    <w:nsid w:val="2586D60E"/>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5"/>
    </w:lvl>
  </w:abstractNum>
  <w:abstractNum w:abstractNumId="273">
    <w:nsid w:val="1F3DA4D5"/>
    <w:multiLevelType w:val="hybridMultilevel"/>
    <w:lvl w:ilvl="0">
      <w:lvlJc w:val="left"/>
      <w:lvlText w:val="(%1)"/>
      <w:numFmt w:val="upperLetter"/>
      <w:start w:val="1"/>
    </w:lvl>
  </w:abstractNum>
  <w:abstractNum w:abstractNumId="274">
    <w:nsid w:val="74C9369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275">
    <w:nsid w:val="48781401"/>
    <w:multiLevelType w:val="hybridMultilevel"/>
    <w:lvl w:ilvl="0">
      <w:lvlJc w:val="left"/>
      <w:lvlText w:val="%1"/>
      <w:numFmt w:val="lowerLetter"/>
      <w:start w:val="1"/>
    </w:lvl>
    <w:lvl w:ilvl="1">
      <w:lvlJc w:val="left"/>
      <w:lvlText w:val="(%2)"/>
      <w:numFmt w:val="lowerLetter"/>
      <w:start w:val="7"/>
    </w:lvl>
    <w:lvl w:ilvl="2">
      <w:lvlJc w:val="left"/>
      <w:lvlText w:val="%3"/>
      <w:numFmt w:val="upperLetter"/>
      <w:start w:val="1"/>
    </w:lvl>
  </w:abstractNum>
  <w:abstractNum w:abstractNumId="276">
    <w:nsid w:val="186928D6"/>
    <w:multiLevelType w:val="hybridMultilevel"/>
    <w:lvl w:ilvl="0">
      <w:lvlJc w:val="left"/>
      <w:lvlText w:val="(%1)"/>
      <w:numFmt w:val="lowerLetter"/>
      <w:start w:val="9"/>
    </w:lvl>
    <w:lvl w:ilvl="1">
      <w:lvlJc w:val="left"/>
      <w:lvlText w:val="(%2)"/>
      <w:numFmt w:val="lowerLetter"/>
      <w:start w:val="10"/>
    </w:lvl>
    <w:lvl w:ilvl="2">
      <w:lvlJc w:val="left"/>
      <w:lvlText w:val="%3"/>
      <w:numFmt w:val="upperLetter"/>
      <w:start w:val="1"/>
    </w:lvl>
  </w:abstractNum>
  <w:abstractNum w:abstractNumId="277">
    <w:nsid w:val="47195E5"/>
    <w:multiLevelType w:val="hybridMultilevel"/>
    <w:lvl w:ilvl="0">
      <w:lvlJc w:val="left"/>
      <w:lvlText w:val="(%1)"/>
      <w:numFmt w:val="lowerLetter"/>
      <w:start w:val="13"/>
    </w:lvl>
    <w:lvl w:ilvl="1">
      <w:lvlJc w:val="left"/>
      <w:lvlText w:val="(%2)"/>
      <w:numFmt w:val="lowerRoman"/>
      <w:start w:val="1"/>
    </w:lvl>
  </w:abstractNum>
  <w:abstractNum w:abstractNumId="278">
    <w:nsid w:val="3746A5F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79">
    <w:nsid w:val="682DFED6"/>
    <w:multiLevelType w:val="hybridMultilevel"/>
    <w:lvl w:ilvl="0">
      <w:lvlJc w:val="left"/>
      <w:lvlText w:val="%1"/>
      <w:numFmt w:val="lowerRoman"/>
      <w:start w:val="1"/>
    </w:lvl>
    <w:lvl w:ilvl="1">
      <w:lvlJc w:val="left"/>
      <w:lvlText w:val="(%2)"/>
      <w:numFmt w:val="lowerLetter"/>
      <w:start w:val="18"/>
    </w:lvl>
    <w:lvl w:ilvl="2">
      <w:lvlJc w:val="left"/>
      <w:lvlText w:val="%3"/>
      <w:numFmt w:val="lowerRoman"/>
      <w:start w:val="1"/>
    </w:lvl>
  </w:abstractNum>
  <w:abstractNum w:abstractNumId="280">
    <w:nsid w:val="606ED7F6"/>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281">
    <w:nsid w:val="2D9DF57D"/>
    <w:multiLevelType w:val="hybridMultilevel"/>
    <w:lvl w:ilvl="0">
      <w:lvlJc w:val="left"/>
      <w:lvlText w:val="%1."/>
      <w:numFmt w:val="decimal"/>
      <w:start w:val="9"/>
    </w:lvl>
  </w:abstractNum>
  <w:abstractNum w:abstractNumId="282">
    <w:nsid w:val="7FBD7A3E"/>
    <w:multiLevelType w:val="hybridMultilevel"/>
    <w:lvl w:ilvl="0">
      <w:lvlJc w:val="left"/>
      <w:lvlText w:val="(%1)"/>
      <w:numFmt w:val="lowerLetter"/>
      <w:start w:val="1"/>
    </w:lvl>
  </w:abstractNum>
  <w:abstractNum w:abstractNumId="283">
    <w:nsid w:val="490B7C5"/>
    <w:multiLevelType w:val="hybridMultilevel"/>
    <w:lvl w:ilvl="0">
      <w:lvlJc w:val="left"/>
      <w:lvlText w:val="%1"/>
      <w:numFmt w:val="lowerLetter"/>
      <w:start w:val="1"/>
    </w:lvl>
    <w:lvl w:ilvl="1">
      <w:lvlJc w:val="left"/>
      <w:lvlText w:val="(%2)"/>
      <w:numFmt w:val="lowerLetter"/>
      <w:start w:val="3"/>
    </w:lvl>
  </w:abstractNum>
  <w:abstractNum w:abstractNumId="284">
    <w:nsid w:val="4303A216"/>
    <w:multiLevelType w:val="hybridMultilevel"/>
    <w:lvl w:ilvl="0">
      <w:lvlJc w:val="left"/>
      <w:lvlText w:val="(%1)"/>
      <w:numFmt w:val="lowerLetter"/>
      <w:start w:val="61"/>
    </w:lvl>
    <w:lvl w:ilvl="1">
      <w:lvlJc w:val="left"/>
      <w:lvlText w:val="(%2)"/>
      <w:numFmt w:val="lowerLetter"/>
      <w:start w:val="10"/>
    </w:lvl>
  </w:abstractNum>
  <w:abstractNum w:abstractNumId="285">
    <w:nsid w:val="19B8A08E"/>
    <w:multiLevelType w:val="hybridMultilevel"/>
    <w:lvl w:ilvl="0">
      <w:lvlJc w:val="left"/>
      <w:lvlText w:val="%1."/>
      <w:numFmt w:val="decimal"/>
      <w:start w:val="1"/>
    </w:lvl>
  </w:abstractNum>
  <w:abstractNum w:abstractNumId="286">
    <w:nsid w:val="54B59621"/>
    <w:multiLevelType w:val="hybridMultilevel"/>
    <w:lvl w:ilvl="0">
      <w:lvlJc w:val="left"/>
      <w:lvlText w:val="%1."/>
      <w:numFmt w:val="decimal"/>
      <w:start w:val="2"/>
    </w:lvl>
  </w:abstractNum>
  <w:abstractNum w:abstractNumId="287">
    <w:nsid w:val="5992A02E"/>
    <w:multiLevelType w:val="hybridMultilevel"/>
    <w:lvl w:ilvl="0">
      <w:lvlJc w:val="left"/>
      <w:lvlText w:val="%1."/>
      <w:numFmt w:val="decimal"/>
      <w:start w:val="5"/>
    </w:lvl>
  </w:abstractNum>
  <w:abstractNum w:abstractNumId="288">
    <w:nsid w:val="29EF532D"/>
    <w:multiLevelType w:val="hybridMultilevel"/>
    <w:lvl w:ilvl="0">
      <w:lvlJc w:val="left"/>
      <w:lvlText w:val="%1."/>
      <w:numFmt w:val="decimal"/>
      <w:start w:val="6"/>
    </w:lvl>
    <w:lvl w:ilvl="1">
      <w:lvlJc w:val="left"/>
      <w:lvlText w:val="(%2)"/>
      <w:numFmt w:val="lowerLetter"/>
      <w:start w:val="1"/>
    </w:lvl>
  </w:abstractNum>
  <w:abstractNum w:abstractNumId="289">
    <w:nsid w:val="71D601A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0">
    <w:nsid w:val="52C77402"/>
    <w:multiLevelType w:val="hybridMultilevel"/>
    <w:lvl w:ilvl="0">
      <w:lvlJc w:val="left"/>
      <w:lvlText w:val="%1"/>
      <w:numFmt w:val="upperLetter"/>
      <w:start w:val="1"/>
    </w:lvl>
    <w:lvl w:ilvl="1">
      <w:lvlJc w:val="left"/>
      <w:lvlText w:val="(%2)"/>
      <w:numFmt w:val="lowerRoman"/>
      <w:start w:val="9"/>
    </w:lvl>
  </w:abstractNum>
  <w:abstractNum w:abstractNumId="291">
    <w:nsid w:val="2BB5B1C6"/>
    <w:multiLevelType w:val="hybridMultilevel"/>
    <w:lvl w:ilvl="0">
      <w:lvlJc w:val="left"/>
      <w:lvlText w:val="(%1)"/>
      <w:numFmt w:val="upperLetter"/>
      <w:start w:val="2"/>
    </w:lvl>
    <w:lvl w:ilvl="1">
      <w:lvlJc w:val="left"/>
      <w:lvlText w:val="(%2)"/>
      <w:numFmt w:val="lowerRoman"/>
      <w:start w:val="10"/>
    </w:lvl>
  </w:abstractNum>
  <w:abstractNum w:abstractNumId="292">
    <w:nsid w:val="66BE6B9"/>
    <w:multiLevelType w:val="hybridMultilevel"/>
    <w:lvl w:ilvl="0">
      <w:lvlJc w:val="left"/>
      <w:lvlText w:val="%1"/>
      <w:numFmt w:val="upperLetter"/>
      <w:start w:val="1"/>
    </w:lvl>
    <w:lvl w:ilvl="1">
      <w:lvlJc w:val="left"/>
      <w:lvlText w:val="(%2)"/>
      <w:numFmt w:val="lowerRoman"/>
      <w:start w:val="14"/>
    </w:lvl>
  </w:abstractNum>
  <w:abstractNum w:abstractNumId="293">
    <w:nsid w:val="62234363"/>
    <w:multiLevelType w:val="hybridMultilevel"/>
    <w:lvl w:ilvl="0">
      <w:lvlJc w:val="left"/>
      <w:lvlText w:val="(%1)"/>
      <w:numFmt w:val="upperLetter"/>
      <w:start w:val="3"/>
    </w:lvl>
    <w:lvl w:ilvl="1">
      <w:lvlJc w:val="left"/>
      <w:lvlText w:val="(%2)"/>
      <w:numFmt w:val="lowerRoman"/>
      <w:start w:val="15"/>
    </w:lvl>
  </w:abstractNum>
  <w:abstractNum w:abstractNumId="294">
    <w:nsid w:val="66D385C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295">
    <w:nsid w:val="596F6D8A"/>
    <w:multiLevelType w:val="hybridMultilevel"/>
    <w:lvl w:ilvl="0">
      <w:lvlJc w:val="left"/>
      <w:lvlText w:val="(%1)"/>
      <w:numFmt w:val="lowerRoman"/>
      <w:start w:val="4"/>
    </w:lvl>
    <w:lvl w:ilvl="1">
      <w:lvlJc w:val="left"/>
      <w:lvlText w:val="(%2)"/>
      <w:numFmt w:val="lowerLetter"/>
      <w:start w:val="4"/>
    </w:lvl>
    <w:lvl w:ilvl="2">
      <w:lvlJc w:val="left"/>
      <w:lvlText w:val="%3"/>
      <w:numFmt w:val="lowerLetter"/>
      <w:start w:val="1"/>
    </w:lvl>
  </w:abstractNum>
  <w:abstractNum w:abstractNumId="296">
    <w:nsid w:val="5749361F"/>
    <w:multiLevelType w:val="hybridMultilevel"/>
    <w:lvl w:ilvl="0">
      <w:lvlJc w:val="left"/>
      <w:lvlText w:val="(%1)"/>
      <w:numFmt w:val="lowerRoman"/>
      <w:start w:val="2"/>
    </w:lvl>
  </w:abstractNum>
  <w:abstractNum w:abstractNumId="297">
    <w:nsid w:val="73BC6770"/>
    <w:multiLevelType w:val="hybridMultilevel"/>
    <w:lvl w:ilvl="0">
      <w:lvlJc w:val="left"/>
      <w:lvlText w:val="(%1)"/>
      <w:numFmt w:val="lowerLetter"/>
      <w:start w:val="6"/>
    </w:lvl>
  </w:abstractNum>
  <w:abstractNum w:abstractNumId="298">
    <w:nsid w:val="280E6897"/>
    <w:multiLevelType w:val="hybridMultilevel"/>
    <w:lvl w:ilvl="0">
      <w:lvlJc w:val="left"/>
      <w:lvlText w:val="%1."/>
      <w:numFmt w:val="decimal"/>
      <w:start w:val="8"/>
    </w:lvl>
  </w:abstractNum>
  <w:abstractNum w:abstractNumId="299">
    <w:nsid w:val="605138DE"/>
    <w:multiLevelType w:val="hybridMultilevel"/>
    <w:lvl w:ilvl="0">
      <w:lvlJc w:val="left"/>
      <w:lvlText w:val="(%1)"/>
      <w:numFmt w:val="lowerLetter"/>
      <w:start w:val="1"/>
    </w:lvl>
    <w:lvl w:ilvl="1">
      <w:lvlJc w:val="left"/>
      <w:lvlText w:val="(%2)"/>
      <w:numFmt w:val="lowerLetter"/>
      <w:start w:val="2"/>
    </w:lvl>
  </w:abstractNum>
  <w:abstractNum w:abstractNumId="300">
    <w:nsid w:val="2622AD0C"/>
    <w:multiLevelType w:val="hybridMultilevel"/>
    <w:lvl w:ilvl="0">
      <w:lvlJc w:val="left"/>
      <w:lvlText w:val="(%1)"/>
      <w:numFmt w:val="lowerLetter"/>
      <w:start w:val="3"/>
    </w:lvl>
  </w:abstractNum>
  <w:abstractNum w:abstractNumId="301">
    <w:nsid w:val="67997556"/>
    <w:multiLevelType w:val="hybridMultilevel"/>
    <w:lvl w:ilvl="0">
      <w:lvlJc w:val="left"/>
      <w:lvlText w:val="(%1)"/>
      <w:numFmt w:val="lowerRoman"/>
      <w:start w:val="2"/>
    </w:lvl>
    <w:lvl w:ilvl="1">
      <w:lvlJc w:val="left"/>
      <w:lvlText w:val="(%2)"/>
      <w:numFmt w:val="upperLetter"/>
      <w:start w:val="1"/>
    </w:lvl>
  </w:abstractNum>
  <w:abstractNum w:abstractNumId="302">
    <w:nsid w:val="18333C89"/>
    <w:multiLevelType w:val="hybridMultilevel"/>
    <w:lvl w:ilvl="0">
      <w:lvlJc w:val="left"/>
      <w:lvlText w:val="%1"/>
      <w:numFmt w:val="lowerLetter"/>
      <w:start w:val="1"/>
    </w:lvl>
    <w:lvl w:ilvl="1">
      <w:lvlJc w:val="left"/>
      <w:lvlText w:val="(%2)"/>
      <w:numFmt w:val="upperLetter"/>
      <w:start w:val="3"/>
    </w:lvl>
  </w:abstractNum>
  <w:abstractNum w:abstractNumId="303">
    <w:nsid w:val="4BA9831A"/>
    <w:multiLevelType w:val="hybridMultilevel"/>
    <w:lvl w:ilvl="0">
      <w:lvlJc w:val="left"/>
      <w:lvlText w:val="(%1)"/>
      <w:numFmt w:val="lowerLetter"/>
      <w:start w:val="4"/>
    </w:lvl>
    <w:lvl w:ilvl="1">
      <w:lvlJc w:val="left"/>
      <w:lvlText w:val="%2"/>
      <w:numFmt w:val="upperLetter"/>
      <w:start w:val="1"/>
    </w:lvl>
  </w:abstractNum>
  <w:abstractNum w:abstractNumId="304">
    <w:nsid w:val="6D71A2B"/>
    <w:multiLevelType w:val="hybridMultilevel"/>
    <w:lvl w:ilvl="0">
      <w:lvlJc w:val="left"/>
      <w:lvlText w:val="(%1)"/>
      <w:numFmt w:val="lowerLetter"/>
      <w:start w:val="6"/>
    </w:lvl>
  </w:abstractNum>
  <w:abstractNum w:abstractNumId="305">
    <w:nsid w:val="CFC7321"/>
    <w:multiLevelType w:val="hybridMultilevel"/>
    <w:lvl w:ilvl="0">
      <w:lvlJc w:val="left"/>
      <w:lvlText w:val="(%1)"/>
      <w:numFmt w:val="lowerLetter"/>
      <w:start w:val="7"/>
    </w:lvl>
    <w:lvl w:ilvl="1">
      <w:lvlJc w:val="left"/>
      <w:lvlText w:val="(%2)"/>
      <w:numFmt w:val="lowerRoman"/>
      <w:start w:val="1"/>
    </w:lvl>
  </w:abstractNum>
  <w:abstractNum w:abstractNumId="306">
    <w:nsid w:val="1421971B"/>
    <w:multiLevelType w:val="hybridMultilevel"/>
    <w:lvl w:ilvl="0">
      <w:lvlJc w:val="left"/>
      <w:lvlText w:val="(%1)"/>
      <w:numFmt w:val="lowerLetter"/>
      <w:start w:val="11"/>
    </w:lvl>
    <w:lvl w:ilvl="1">
      <w:lvlJc w:val="left"/>
      <w:lvlText w:val="(%2)"/>
      <w:numFmt w:val="lowerRoman"/>
      <w:start w:val="1"/>
    </w:lvl>
  </w:abstractNum>
  <w:abstractNum w:abstractNumId="307">
    <w:nsid w:val="1F404301"/>
    <w:multiLevelType w:val="hybridMultilevel"/>
    <w:lvl w:ilvl="0">
      <w:lvlJc w:val="left"/>
      <w:lvlText w:val="%1"/>
      <w:numFmt w:val="lowerLetter"/>
      <w:start w:val="1"/>
    </w:lvl>
    <w:lvl w:ilvl="1">
      <w:lvlJc w:val="left"/>
      <w:lvlText w:val="(%2)"/>
      <w:numFmt w:val="lowerLetter"/>
      <w:start w:val="22"/>
    </w:lvl>
  </w:abstractNum>
  <w:abstractNum w:abstractNumId="308">
    <w:nsid w:val="116E0907"/>
    <w:multiLevelType w:val="hybridMultilevel"/>
    <w:lvl w:ilvl="0">
      <w:lvlJc w:val="left"/>
      <w:lvlText w:val="(%1)"/>
      <w:numFmt w:val="lowerLetter"/>
      <w:start w:val="12"/>
    </w:lvl>
    <w:lvl w:ilvl="1">
      <w:lvlJc w:val="left"/>
      <w:lvlText w:val="%2"/>
      <w:numFmt w:val="lowerLetter"/>
      <w:start w:val="1"/>
    </w:lvl>
  </w:abstractNum>
  <w:abstractNum w:abstractNumId="309">
    <w:nsid w:val="4B683D0D"/>
    <w:multiLevelType w:val="hybridMultilevel"/>
    <w:lvl w:ilvl="0">
      <w:lvlJc w:val="left"/>
      <w:lvlText w:val="(%1)"/>
      <w:numFmt w:val="lowerLetter"/>
      <w:start w:val="17"/>
    </w:lvl>
    <w:lvl w:ilvl="1">
      <w:lvlJc w:val="left"/>
      <w:lvlText w:val="(%2)"/>
      <w:numFmt w:val="lowerRoman"/>
      <w:start w:val="1"/>
    </w:lvl>
  </w:abstractNum>
  <w:abstractNum w:abstractNumId="310">
    <w:nsid w:val="76E41D8"/>
    <w:multiLevelType w:val="hybridMultilevel"/>
    <w:lvl w:ilvl="0">
      <w:lvlJc w:val="left"/>
      <w:lvlText w:val="(%1)"/>
      <w:numFmt w:val="lowerLetter"/>
      <w:start w:val="21"/>
    </w:lvl>
    <w:lvl w:ilvl="1">
      <w:lvlJc w:val="left"/>
      <w:lvlText w:val="(%2)"/>
      <w:numFmt w:val="lowerRoman"/>
      <w:start w:val="1"/>
    </w:lvl>
  </w:abstractNum>
  <w:abstractNum w:abstractNumId="311">
    <w:nsid w:val="71DCE0FD"/>
    <w:multiLevelType w:val="hybridMultilevel"/>
    <w:lvl w:ilvl="0">
      <w:lvlJc w:val="left"/>
      <w:lvlText w:val="%1."/>
      <w:numFmt w:val="decimal"/>
      <w:start w:val="9"/>
    </w:lvl>
  </w:abstractNum>
  <w:abstractNum w:abstractNumId="312">
    <w:nsid w:val="7906328B"/>
    <w:multiLevelType w:val="hybridMultilevel"/>
    <w:lvl w:ilvl="0">
      <w:lvlJc w:val="left"/>
      <w:lvlText w:val="%1"/>
      <w:numFmt w:val="lowerLetter"/>
      <w:start w:val="1"/>
    </w:lvl>
    <w:lvl w:ilvl="1">
      <w:lvlJc w:val="left"/>
      <w:lvlText w:val="(%2)"/>
      <w:numFmt w:val="lowerLetter"/>
      <w:start w:val="1"/>
    </w:lvl>
  </w:abstractNum>
  <w:abstractNum w:abstractNumId="313">
    <w:nsid w:val="72BBC16"/>
    <w:multiLevelType w:val="hybridMultilevel"/>
    <w:lvl w:ilvl="0">
      <w:lvlJc w:val="left"/>
      <w:lvlText w:val="(%1)"/>
      <w:numFmt w:val="lowerLetter"/>
      <w:start w:val="61"/>
    </w:lvl>
    <w:lvl w:ilvl="1">
      <w:lvlJc w:val="left"/>
      <w:lvlText w:val="(%2)"/>
      <w:numFmt w:val="lowerLetter"/>
      <w:start w:val="10"/>
    </w:lvl>
  </w:abstractNum>
  <w:abstractNum w:abstractNumId="314">
    <w:nsid w:val="766D98C2"/>
    <w:multiLevelType w:val="hybridMultilevel"/>
    <w:lvl w:ilvl="0">
      <w:lvlJc w:val="left"/>
      <w:lvlText w:val="%1."/>
      <w:numFmt w:val="decimal"/>
      <w:start w:val="1"/>
    </w:lvl>
  </w:abstractNum>
  <w:abstractNum w:abstractNumId="315">
    <w:nsid w:val="3C09D4A1"/>
    <w:multiLevelType w:val="hybridMultilevel"/>
    <w:lvl w:ilvl="0">
      <w:lvlJc w:val="left"/>
      <w:lvlText w:val="%1."/>
      <w:numFmt w:val="decimal"/>
      <w:start w:val="2"/>
    </w:lvl>
  </w:abstractNum>
  <w:abstractNum w:abstractNumId="316">
    <w:nsid w:val="20E45CA4"/>
    <w:multiLevelType w:val="hybridMultilevel"/>
    <w:lvl w:ilvl="0">
      <w:lvlJc w:val="left"/>
      <w:lvlText w:val="%1."/>
      <w:numFmt w:val="decimal"/>
      <w:start w:val="5"/>
    </w:lvl>
    <w:lvl w:ilvl="1">
      <w:lvlJc w:val="left"/>
      <w:lvlText w:val="(%2)"/>
      <w:numFmt w:val="lowerLetter"/>
      <w:start w:val="1"/>
    </w:lvl>
  </w:abstractNum>
  <w:abstractNum w:abstractNumId="317">
    <w:nsid w:val="4B232EE3"/>
    <w:multiLevelType w:val="hybridMultilevel"/>
    <w:lvl w:ilvl="0">
      <w:lvlJc w:val="left"/>
      <w:lvlText w:val="(%1)"/>
      <w:numFmt w:val="lowerLetter"/>
      <w:start w:val="2"/>
    </w:lvl>
  </w:abstractNum>
  <w:abstractNum w:abstractNumId="318">
    <w:nsid w:val="159C74C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9">
    <w:nsid w:val="4AD3AFD2"/>
    <w:multiLevelType w:val="hybridMultilevel"/>
    <w:lvl w:ilvl="0">
      <w:lvlJc w:val="left"/>
      <w:lvlText w:val="%1"/>
      <w:numFmt w:val="upperLetter"/>
      <w:start w:val="1"/>
    </w:lvl>
    <w:lvl w:ilvl="1">
      <w:lvlJc w:val="left"/>
      <w:lvlText w:val="(%2)"/>
      <w:numFmt w:val="lowerRoman"/>
      <w:start w:val="9"/>
    </w:lvl>
  </w:abstractNum>
  <w:abstractNum w:abstractNumId="320">
    <w:nsid w:val="3CF93092"/>
    <w:multiLevelType w:val="hybridMultilevel"/>
    <w:lvl w:ilvl="0">
      <w:lvlJc w:val="left"/>
      <w:lvlText w:val="(%1)"/>
      <w:numFmt w:val="upperLetter"/>
      <w:start w:val="2"/>
    </w:lvl>
    <w:lvl w:ilvl="1">
      <w:lvlJc w:val="left"/>
      <w:lvlText w:val="(%2)"/>
      <w:numFmt w:val="lowerRoman"/>
      <w:start w:val="10"/>
    </w:lvl>
  </w:abstractNum>
  <w:abstractNum w:abstractNumId="321">
    <w:nsid w:val="6863E8D2"/>
    <w:multiLevelType w:val="hybridMultilevel"/>
    <w:lvl w:ilvl="0">
      <w:lvlJc w:val="left"/>
      <w:lvlText w:val="%1"/>
      <w:numFmt w:val="upperLetter"/>
      <w:start w:val="1"/>
    </w:lvl>
    <w:lvl w:ilvl="1">
      <w:lvlJc w:val="left"/>
      <w:lvlText w:val="(%2)"/>
      <w:numFmt w:val="lowerRoman"/>
      <w:start w:val="14"/>
    </w:lvl>
  </w:abstractNum>
  <w:abstractNum w:abstractNumId="322">
    <w:nsid w:val="76896198"/>
    <w:multiLevelType w:val="hybridMultilevel"/>
    <w:lvl w:ilvl="0">
      <w:lvlJc w:val="left"/>
      <w:lvlText w:val="(%1)"/>
      <w:numFmt w:val="upperLetter"/>
      <w:start w:val="3"/>
    </w:lvl>
    <w:lvl w:ilvl="1">
      <w:lvlJc w:val="left"/>
      <w:lvlText w:val="(%2)"/>
      <w:numFmt w:val="lowerRoman"/>
      <w:start w:val="15"/>
    </w:lvl>
  </w:abstractNum>
  <w:abstractNum w:abstractNumId="323">
    <w:nsid w:val="4365174B"/>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
    </w:lvl>
  </w:abstractNum>
  <w:abstractNum w:abstractNumId="324">
    <w:nsid w:val="4A872C35"/>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4"/>
    </w:lvl>
  </w:abstractNum>
  <w:abstractNum w:abstractNumId="325">
    <w:nsid w:val="5D5CE761"/>
    <w:multiLevelType w:val="hybridMultilevel"/>
    <w:lvl w:ilvl="0">
      <w:lvlJc w:val="left"/>
      <w:lvlText w:val="(%1)"/>
      <w:numFmt w:val="lowerLetter"/>
      <w:start w:val="6"/>
    </w:lvl>
  </w:abstractNum>
  <w:abstractNum w:abstractNumId="326">
    <w:nsid w:val="1CD484D5"/>
    <w:multiLevelType w:val="hybridMultilevel"/>
    <w:lvl w:ilvl="0">
      <w:lvlJc w:val="left"/>
      <w:lvlText w:val="%1."/>
      <w:numFmt w:val="decimal"/>
      <w:start w:val="8"/>
    </w:lvl>
  </w:abstractNum>
  <w:abstractNum w:abstractNumId="327">
    <w:nsid w:val="21D06255"/>
    <w:multiLevelType w:val="hybridMultilevel"/>
    <w:lvl w:ilvl="0">
      <w:lvlJc w:val="left"/>
      <w:lvlText w:val="(%1)"/>
      <w:numFmt w:val="lowerLetter"/>
      <w:start w:val="1"/>
    </w:lvl>
  </w:abstractNum>
  <w:abstractNum w:abstractNumId="328">
    <w:nsid w:val="51194ED1"/>
    <w:multiLevelType w:val="hybridMultilevel"/>
    <w:lvl w:ilvl="0">
      <w:lvlJc w:val="left"/>
      <w:lvlText w:val="(%1)"/>
      <w:numFmt w:val="lowerLetter"/>
      <w:start w:val="3"/>
    </w:lvl>
  </w:abstractNum>
  <w:abstractNum w:abstractNumId="329">
    <w:nsid w:val="44E2ED6C"/>
    <w:multiLevelType w:val="hybridMultilevel"/>
    <w:lvl w:ilvl="0">
      <w:lvlJc w:val="left"/>
      <w:lvlText w:val="(%1)"/>
      <w:numFmt w:val="lowerRoman"/>
      <w:start w:val="2"/>
    </w:lvl>
    <w:lvl w:ilvl="1">
      <w:lvlJc w:val="left"/>
      <w:lvlText w:val="(%2)"/>
      <w:numFmt w:val="upperLetter"/>
      <w:start w:val="1"/>
    </w:lvl>
  </w:abstractNum>
  <w:abstractNum w:abstractNumId="330">
    <w:nsid w:val="2219B33"/>
    <w:multiLevelType w:val="hybridMultilevel"/>
    <w:lvl w:ilvl="0">
      <w:lvlJc w:val="left"/>
      <w:lvlText w:val="%1"/>
      <w:numFmt w:val="lowerLetter"/>
      <w:start w:val="1"/>
    </w:lvl>
    <w:lvl w:ilvl="1">
      <w:lvlJc w:val="left"/>
      <w:lvlText w:val="(%2)"/>
      <w:numFmt w:val="upperLetter"/>
      <w:start w:val="3"/>
    </w:lvl>
  </w:abstractNum>
  <w:abstractNum w:abstractNumId="331">
    <w:nsid w:val="773BFBDD"/>
    <w:multiLevelType w:val="hybridMultilevel"/>
    <w:lvl w:ilvl="0">
      <w:lvlJc w:val="left"/>
      <w:lvlText w:val="(%1)"/>
      <w:numFmt w:val="lowerLetter"/>
      <w:start w:val="4"/>
    </w:lvl>
    <w:lvl w:ilvl="1">
      <w:lvlJc w:val="left"/>
      <w:lvlText w:val="%2"/>
      <w:numFmt w:val="upperLetter"/>
      <w:start w:val="1"/>
    </w:lvl>
  </w:abstractNum>
  <w:abstractNum w:abstractNumId="332">
    <w:nsid w:val="2C7C62C2"/>
    <w:multiLevelType w:val="hybridMultilevel"/>
    <w:lvl w:ilvl="0">
      <w:lvlJc w:val="left"/>
      <w:lvlText w:val="(%1)"/>
      <w:numFmt w:val="lowerLetter"/>
      <w:start w:val="6"/>
    </w:lvl>
  </w:abstractNum>
  <w:abstractNum w:abstractNumId="333">
    <w:nsid w:val="1A54D7BC"/>
    <w:multiLevelType w:val="hybridMultilevel"/>
    <w:lvl w:ilvl="0">
      <w:lvlJc w:val="left"/>
      <w:lvlText w:val="(%1)"/>
      <w:numFmt w:val="lowerLetter"/>
      <w:start w:val="7"/>
    </w:lvl>
    <w:lvl w:ilvl="1">
      <w:lvlJc w:val="left"/>
      <w:lvlText w:val="(%2)"/>
      <w:numFmt w:val="lowerRoman"/>
      <w:start w:val="1"/>
    </w:lvl>
  </w:abstractNum>
  <w:abstractNum w:abstractNumId="334">
    <w:nsid w:val="42E57EF7"/>
    <w:multiLevelType w:val="hybridMultilevel"/>
    <w:lvl w:ilvl="0">
      <w:lvlJc w:val="left"/>
      <w:lvlText w:val="(%1)"/>
      <w:numFmt w:val="lowerLetter"/>
      <w:start w:val="11"/>
    </w:lvl>
    <w:lvl w:ilvl="1">
      <w:lvlJc w:val="left"/>
      <w:lvlText w:val="(%2)"/>
      <w:numFmt w:val="lowerRoman"/>
      <w:start w:val="1"/>
    </w:lvl>
  </w:abstractNum>
  <w:abstractNum w:abstractNumId="335">
    <w:nsid w:val="33537CED"/>
    <w:multiLevelType w:val="hybridMultilevel"/>
    <w:lvl w:ilvl="0">
      <w:lvlJc w:val="left"/>
      <w:lvlText w:val="%1"/>
      <w:numFmt w:val="lowerLetter"/>
      <w:start w:val="1"/>
    </w:lvl>
    <w:lvl w:ilvl="1">
      <w:lvlJc w:val="left"/>
      <w:lvlText w:val="(%2)"/>
      <w:numFmt w:val="lowerLetter"/>
      <w:start w:val="22"/>
    </w:lvl>
  </w:abstractNum>
  <w:abstractNum w:abstractNumId="336">
    <w:nsid w:val="27514ADE"/>
    <w:multiLevelType w:val="hybridMultilevel"/>
    <w:lvl w:ilvl="0">
      <w:lvlJc w:val="left"/>
      <w:lvlText w:val="(%1)"/>
      <w:numFmt w:val="lowerLetter"/>
      <w:start w:val="12"/>
    </w:lvl>
    <w:lvl w:ilvl="1">
      <w:lvlJc w:val="left"/>
      <w:lvlText w:val="%2"/>
      <w:numFmt w:val="lowerLetter"/>
      <w:start w:val="1"/>
    </w:lvl>
  </w:abstractNum>
  <w:abstractNum w:abstractNumId="337">
    <w:nsid w:val="57071613"/>
    <w:multiLevelType w:val="hybridMultilevel"/>
    <w:lvl w:ilvl="0">
      <w:lvlJc w:val="left"/>
      <w:lvlText w:val="(%1)"/>
      <w:numFmt w:val="lowerLetter"/>
      <w:start w:val="17"/>
    </w:lvl>
    <w:lvl w:ilvl="1">
      <w:lvlJc w:val="left"/>
      <w:lvlText w:val="(%2)"/>
      <w:numFmt w:val="lowerRoman"/>
      <w:start w:val="1"/>
    </w:lvl>
  </w:abstractNum>
  <w:abstractNum w:abstractNumId="338">
    <w:nsid w:val="5293BFEF"/>
    <w:multiLevelType w:val="hybridMultilevel"/>
    <w:lvl w:ilvl="0">
      <w:lvlJc w:val="left"/>
      <w:lvlText w:val="%1"/>
      <w:numFmt w:val="lowerLetter"/>
      <w:start w:val="1"/>
    </w:lvl>
    <w:lvl w:ilvl="1">
      <w:lvlJc w:val="left"/>
      <w:lvlText w:val="(%2)"/>
      <w:numFmt w:val="lowerLetter"/>
      <w:start w:val="21"/>
    </w:lvl>
  </w:abstractNum>
  <w:abstractNum w:abstractNumId="339">
    <w:nsid w:val="38BF53E5"/>
    <w:multiLevelType w:val="hybridMultilevel"/>
    <w:lvl w:ilvl="0">
      <w:lvlJc w:val="left"/>
      <w:lvlText w:val="(%1)"/>
      <w:numFmt w:val="lowerLetter"/>
      <w:start w:val="9"/>
    </w:lvl>
    <w:lvl w:ilvl="1">
      <w:lvlJc w:val="left"/>
      <w:lvlText w:val="%2"/>
      <w:numFmt w:val="lowerLetter"/>
      <w:start w:val="1"/>
    </w:lvl>
  </w:abstractNum>
  <w:abstractNum w:abstractNumId="340">
    <w:nsid w:val="226F5320"/>
    <w:multiLevelType w:val="hybridMultilevel"/>
    <w:lvl w:ilvl="0">
      <w:lvlJc w:val="left"/>
      <w:lvlText w:val="(%1)"/>
      <w:numFmt w:val="lowerLetter"/>
      <w:start w:val="22"/>
    </w:lvl>
    <w:lvl w:ilvl="1">
      <w:lvlJc w:val="left"/>
      <w:lvlText w:val="%2"/>
      <w:numFmt w:val="lowerLetter"/>
      <w:start w:val="1"/>
    </w:lvl>
  </w:abstractNum>
  <w:abstractNum w:abstractNumId="341">
    <w:nsid w:val="5A0201C7"/>
    <w:multiLevelType w:val="hybridMultilevel"/>
    <w:lvl w:ilvl="0">
      <w:lvlJc w:val="left"/>
      <w:lvlText w:val="%1."/>
      <w:numFmt w:val="decimal"/>
      <w:start w:val="9"/>
    </w:lvl>
  </w:abstractNum>
  <w:abstractNum w:abstractNumId="342">
    <w:nsid w:val="2A9C34E2"/>
    <w:multiLevelType w:val="hybridMultilevel"/>
    <w:lvl w:ilvl="0">
      <w:lvlJc w:val="left"/>
      <w:lvlText w:val="%1"/>
      <w:numFmt w:val="lowerLetter"/>
      <w:start w:val="1"/>
    </w:lvl>
    <w:lvl w:ilvl="1">
      <w:lvlJc w:val="left"/>
      <w:lvlText w:val="(%2)"/>
      <w:numFmt w:val="lowerLetter"/>
      <w:start w:val="1"/>
    </w:lvl>
  </w:abstractNum>
  <w:abstractNum w:abstractNumId="343">
    <w:nsid w:val="1B7585AB"/>
    <w:multiLevelType w:val="hybridMultilevel"/>
    <w:lvl w:ilvl="0">
      <w:lvlJc w:val="left"/>
      <w:lvlText w:val="(%1)"/>
      <w:numFmt w:val="lowerLetter"/>
      <w:start w:val="61"/>
    </w:lvl>
    <w:lvl w:ilvl="1">
      <w:lvlJc w:val="left"/>
      <w:lvlText w:val="(%2)"/>
      <w:numFmt w:val="lowerLetter"/>
      <w:start w:val="10"/>
    </w:lvl>
  </w:abstractNum>
  <w:abstractNum w:abstractNumId="344">
    <w:nsid w:val="612DBDDD"/>
    <w:multiLevelType w:val="hybridMultilevel"/>
    <w:lvl w:ilvl="0">
      <w:lvlJc w:val="left"/>
      <w:lvlText w:val="%1."/>
      <w:numFmt w:val="decimal"/>
      <w:start w:val="1"/>
    </w:lvl>
  </w:abstractNum>
  <w:abstractNum w:abstractNumId="345">
    <w:nsid w:val="2109CDA4"/>
    <w:multiLevelType w:val="hybridMultilevel"/>
    <w:lvl w:ilvl="0">
      <w:lvlJc w:val="left"/>
      <w:lvlText w:val="%1."/>
      <w:numFmt w:val="decimal"/>
      <w:start w:val="2"/>
    </w:lvl>
  </w:abstractNum>
  <w:abstractNum w:abstractNumId="346">
    <w:nsid w:val="577F5A4D"/>
    <w:multiLevelType w:val="hybridMultilevel"/>
    <w:lvl w:ilvl="0">
      <w:lvlJc w:val="left"/>
      <w:lvlText w:val="%1."/>
      <w:numFmt w:val="decimal"/>
      <w:start w:val="5"/>
    </w:lvl>
    <w:lvl w:ilvl="1">
      <w:lvlJc w:val="left"/>
      <w:lvlText w:val="(%2)"/>
      <w:numFmt w:val="lowerLetter"/>
      <w:start w:val="1"/>
    </w:lvl>
  </w:abstractNum>
  <w:abstractNum w:abstractNumId="347">
    <w:nsid w:val="2121A81"/>
    <w:multiLevelType w:val="hybridMultilevel"/>
    <w:lvl w:ilvl="0">
      <w:lvlJc w:val="left"/>
      <w:lvlText w:val="%1."/>
      <w:numFmt w:val="decimal"/>
      <w:start w:val="7"/>
    </w:lvl>
  </w:abstractNum>
  <w:abstractNum w:abstractNumId="348">
    <w:nsid w:val="6C2CFC88"/>
    <w:multiLevelType w:val="hybridMultilevel"/>
    <w:lvl w:ilvl="0">
      <w:lvlJc w:val="left"/>
      <w:lvlText w:val="(%1)"/>
      <w:numFmt w:val="lowerLetter"/>
      <w:start w:val="1"/>
    </w:lvl>
    <w:lvl w:ilvl="1">
      <w:lvlJc w:val="left"/>
      <w:lvlText w:val="(%2)"/>
      <w:numFmt w:val="lowerRoman"/>
      <w:start w:val="1"/>
    </w:lvl>
  </w:abstractNum>
  <w:abstractNum w:abstractNumId="349">
    <w:nsid w:val="6D1BCF1C"/>
    <w:multiLevelType w:val="hybridMultilevel"/>
    <w:lvl w:ilvl="0">
      <w:lvlJc w:val="left"/>
      <w:lvlText w:val="%1"/>
      <w:numFmt w:val="upperLetter"/>
      <w:start w:val="1"/>
    </w:lvl>
    <w:lvl w:ilvl="1">
      <w:lvlJc w:val="left"/>
      <w:lvlText w:val="(%2)"/>
      <w:numFmt w:val="lowerRoman"/>
      <w:start w:val="9"/>
    </w:lvl>
  </w:abstractNum>
  <w:abstractNum w:abstractNumId="350">
    <w:nsid w:val="4CE5CA53"/>
    <w:multiLevelType w:val="hybridMultilevel"/>
    <w:lvl w:ilvl="0">
      <w:lvlJc w:val="left"/>
      <w:lvlText w:val="(%1)"/>
      <w:numFmt w:val="upperLetter"/>
      <w:start w:val="2"/>
    </w:lvl>
    <w:lvl w:ilvl="1">
      <w:lvlJc w:val="left"/>
      <w:lvlText w:val="(%2)"/>
      <w:numFmt w:val="lowerRoman"/>
      <w:start w:val="10"/>
    </w:lvl>
  </w:abstractNum>
  <w:abstractNum w:abstractNumId="351">
    <w:nsid w:val="29262D1A"/>
    <w:multiLevelType w:val="hybridMultilevel"/>
    <w:lvl w:ilvl="0">
      <w:lvlJc w:val="left"/>
      <w:lvlText w:val="%1"/>
      <w:numFmt w:val="upperLetter"/>
      <w:start w:val="1"/>
    </w:lvl>
    <w:lvl w:ilvl="1">
      <w:lvlJc w:val="left"/>
      <w:lvlText w:val="(%2)"/>
      <w:numFmt w:val="lowerRoman"/>
      <w:start w:val="14"/>
    </w:lvl>
  </w:abstractNum>
  <w:abstractNum w:abstractNumId="352">
    <w:nsid w:val="557FB7EE"/>
    <w:multiLevelType w:val="hybridMultilevel"/>
    <w:lvl w:ilvl="0">
      <w:lvlJc w:val="left"/>
      <w:lvlText w:val="(%1)"/>
      <w:numFmt w:val="upperLetter"/>
      <w:start w:val="3"/>
    </w:lvl>
    <w:lvl w:ilvl="1">
      <w:lvlJc w:val="left"/>
      <w:lvlText w:val="(%2)"/>
      <w:numFmt w:val="lowerRoman"/>
      <w:start w:val="15"/>
    </w:lvl>
  </w:abstractNum>
  <w:abstractNum w:abstractNumId="353">
    <w:nsid w:val="436F2BEB"/>
    <w:multiLevelType w:val="hybridMultilevel"/>
    <w:lvl w:ilvl="0">
      <w:lvlJc w:val="left"/>
      <w:lvlText w:val="%1"/>
      <w:numFmt w:val="lowerRoman"/>
      <w:start w:val="1"/>
    </w:lvl>
    <w:lvl w:ilvl="1">
      <w:lvlJc w:val="left"/>
      <w:lvlText w:val="(%2)"/>
      <w:numFmt w:val="lowerLetter"/>
      <w:start w:val="2"/>
    </w:lvl>
  </w:abstractNum>
  <w:abstractNum w:abstractNumId="354">
    <w:nsid w:val="6C8B4466"/>
    <w:multiLevelType w:val="hybridMultilevel"/>
    <w:lvl w:ilvl="0">
      <w:lvlJc w:val="left"/>
      <w:lvlText w:val="(%1)"/>
      <w:numFmt w:val="lowerRoman"/>
      <w:start w:val="4"/>
    </w:lvl>
    <w:lvl w:ilvl="1">
      <w:lvlJc w:val="left"/>
      <w:lvlText w:val="(%2)"/>
      <w:numFmt w:val="lowerLetter"/>
      <w:start w:val="4"/>
    </w:lvl>
  </w:abstractNum>
  <w:abstractNum w:abstractNumId="355">
    <w:nsid w:val="2006E424"/>
    <w:multiLevelType w:val="hybridMultilevel"/>
    <w:lvl w:ilvl="0">
      <w:lvlJc w:val="left"/>
      <w:lvlText w:val="(%1)"/>
      <w:numFmt w:val="lowerRoman"/>
      <w:start w:val="3"/>
    </w:lvl>
    <w:lvl w:ilvl="1">
      <w:lvlJc w:val="left"/>
      <w:lvlText w:val="%2"/>
      <w:numFmt w:val="lowerLetter"/>
      <w:start w:val="1"/>
    </w:lvl>
  </w:abstractNum>
  <w:abstractNum w:abstractNumId="356">
    <w:nsid w:val="20CC134C"/>
    <w:multiLevelType w:val="hybridMultilevel"/>
    <w:lvl w:ilvl="0">
      <w:lvlJc w:val="left"/>
      <w:lvlText w:val="(%1)"/>
      <w:numFmt w:val="lowerLetter"/>
      <w:start w:val="6"/>
    </w:lvl>
  </w:abstractNum>
  <w:abstractNum w:abstractNumId="357">
    <w:nsid w:val="95FC93B"/>
    <w:multiLevelType w:val="hybridMultilevel"/>
    <w:lvl w:ilvl="0">
      <w:lvlJc w:val="left"/>
      <w:lvlText w:val="%1."/>
      <w:numFmt w:val="decimal"/>
      <w:start w:val="8"/>
    </w:lvl>
  </w:abstractNum>
  <w:abstractNum w:abstractNumId="358">
    <w:nsid w:val="41D74679"/>
    <w:multiLevelType w:val="hybridMultilevel"/>
    <w:lvl w:ilvl="0">
      <w:lvlJc w:val="left"/>
      <w:lvlText w:val="(%1)"/>
      <w:numFmt w:val="lowerLetter"/>
      <w:start w:val="1"/>
    </w:lvl>
  </w:abstractNum>
  <w:abstractNum w:abstractNumId="359">
    <w:nsid w:val="71E5621E"/>
    <w:multiLevelType w:val="hybridMultilevel"/>
    <w:lvl w:ilvl="0">
      <w:lvlJc w:val="left"/>
      <w:lvlText w:val="(%1)"/>
      <w:numFmt w:val="lowerLetter"/>
      <w:start w:val="3"/>
    </w:lvl>
  </w:abstractNum>
  <w:abstractNum w:abstractNumId="360">
    <w:nsid w:val="4E42B6A8"/>
    <w:multiLevelType w:val="hybridMultilevel"/>
    <w:lvl w:ilvl="0">
      <w:lvlJc w:val="left"/>
      <w:lvlText w:val="(%1)"/>
      <w:numFmt w:val="lowerRoman"/>
      <w:start w:val="2"/>
    </w:lvl>
    <w:lvl w:ilvl="1">
      <w:lvlJc w:val="left"/>
      <w:lvlText w:val="(%2)"/>
      <w:numFmt w:val="upperLetter"/>
      <w:start w:val="1"/>
    </w:lvl>
  </w:abstractNum>
  <w:abstractNum w:abstractNumId="361">
    <w:nsid w:val="43F8E1AC"/>
    <w:multiLevelType w:val="hybridMultilevel"/>
    <w:lvl w:ilvl="0">
      <w:lvlJc w:val="left"/>
      <w:lvlText w:val="%1"/>
      <w:numFmt w:val="lowerLetter"/>
      <w:start w:val="1"/>
    </w:lvl>
    <w:lvl w:ilvl="1">
      <w:lvlJc w:val="left"/>
      <w:lvlText w:val="(%2)"/>
      <w:numFmt w:val="upperLetter"/>
      <w:start w:val="3"/>
    </w:lvl>
  </w:abstractNum>
  <w:abstractNum w:abstractNumId="362">
    <w:nsid w:val="69215DFB"/>
    <w:multiLevelType w:val="hybridMultilevel"/>
    <w:lvl w:ilvl="0">
      <w:lvlJc w:val="left"/>
      <w:lvlText w:val="(%1)"/>
      <w:numFmt w:val="lowerLetter"/>
      <w:start w:val="4"/>
    </w:lvl>
    <w:lvl w:ilvl="1">
      <w:lvlJc w:val="left"/>
      <w:lvlText w:val="%2"/>
      <w:numFmt w:val="upperLetter"/>
      <w:start w:val="1"/>
    </w:lvl>
  </w:abstractNum>
  <w:abstractNum w:abstractNumId="363">
    <w:nsid w:val="7ABF196A"/>
    <w:multiLevelType w:val="hybridMultilevel"/>
    <w:lvl w:ilvl="0">
      <w:lvlJc w:val="left"/>
      <w:lvlText w:val="(%1)"/>
      <w:numFmt w:val="lowerLetter"/>
      <w:start w:val="6"/>
    </w:lvl>
  </w:abstractNum>
  <w:abstractNum w:abstractNumId="364">
    <w:nsid w:val="5E4DB968"/>
    <w:multiLevelType w:val="hybridMultilevel"/>
    <w:lvl w:ilvl="0">
      <w:lvlJc w:val="left"/>
      <w:lvlText w:val="(%1)"/>
      <w:numFmt w:val="lowerLetter"/>
      <w:start w:val="7"/>
    </w:lvl>
    <w:lvl w:ilvl="1">
      <w:lvlJc w:val="left"/>
      <w:lvlText w:val="(%2)"/>
      <w:numFmt w:val="lowerRoman"/>
      <w:start w:val="1"/>
    </w:lvl>
  </w:abstractNum>
  <w:abstractNum w:abstractNumId="365">
    <w:nsid w:val="2C06DCF3"/>
    <w:multiLevelType w:val="hybridMultilevel"/>
    <w:lvl w:ilvl="0">
      <w:lvlJc w:val="left"/>
      <w:lvlText w:val="(%1)"/>
      <w:numFmt w:val="lowerLetter"/>
      <w:start w:val="11"/>
    </w:lvl>
    <w:lvl w:ilvl="1">
      <w:lvlJc w:val="left"/>
      <w:lvlText w:val="(%2)"/>
      <w:numFmt w:val="lowerRoman"/>
      <w:start w:val="1"/>
    </w:lvl>
  </w:abstractNum>
  <w:abstractNum w:abstractNumId="366">
    <w:nsid w:val="2E129658"/>
    <w:multiLevelType w:val="hybridMultilevel"/>
    <w:lvl w:ilvl="0">
      <w:lvlJc w:val="left"/>
      <w:lvlText w:val="%1"/>
      <w:numFmt w:val="lowerLetter"/>
      <w:start w:val="1"/>
    </w:lvl>
    <w:lvl w:ilvl="1">
      <w:lvlJc w:val="left"/>
      <w:lvlText w:val="(%2)"/>
      <w:numFmt w:val="lowerLetter"/>
      <w:start w:val="22"/>
    </w:lvl>
  </w:abstractNum>
  <w:abstractNum w:abstractNumId="367">
    <w:nsid w:val="59F0446"/>
    <w:multiLevelType w:val="hybridMultilevel"/>
    <w:lvl w:ilvl="0">
      <w:lvlJc w:val="left"/>
      <w:lvlText w:val="(%1)"/>
      <w:numFmt w:val="lowerLetter"/>
      <w:start w:val="12"/>
    </w:lvl>
    <w:lvl w:ilvl="1">
      <w:lvlJc w:val="left"/>
      <w:lvlText w:val="%2"/>
      <w:numFmt w:val="lowerLetter"/>
      <w:start w:val="1"/>
    </w:lvl>
  </w:abstractNum>
  <w:abstractNum w:abstractNumId="368">
    <w:nsid w:val="30DF306"/>
    <w:multiLevelType w:val="hybridMultilevel"/>
    <w:lvl w:ilvl="0">
      <w:lvlJc w:val="left"/>
      <w:lvlText w:val="(%1)"/>
      <w:numFmt w:val="lowerLetter"/>
      <w:start w:val="17"/>
    </w:lvl>
    <w:lvl w:ilvl="1">
      <w:lvlJc w:val="left"/>
      <w:lvlText w:val="(%2)"/>
      <w:numFmt w:val="lowerRoman"/>
      <w:start w:val="1"/>
    </w:lvl>
  </w:abstractNum>
  <w:abstractNum w:abstractNumId="369">
    <w:nsid w:val="A65647"/>
    <w:multiLevelType w:val="hybridMultilevel"/>
    <w:lvl w:ilvl="0">
      <w:lvlJc w:val="left"/>
      <w:lvlText w:val="(%1)"/>
      <w:numFmt w:val="lowerLetter"/>
      <w:start w:val="21"/>
    </w:lvl>
    <w:lvl w:ilvl="1">
      <w:lvlJc w:val="left"/>
      <w:lvlText w:val="(%2)"/>
      <w:numFmt w:val="lowerRoman"/>
      <w:start w:val="1"/>
    </w:lvl>
  </w:abstractNum>
  <w:abstractNum w:abstractNumId="370">
    <w:nsid w:val="3E5E582B"/>
    <w:multiLevelType w:val="hybridMultilevel"/>
    <w:lvl w:ilvl="0">
      <w:lvlJc w:val="left"/>
      <w:lvlText w:val="%1."/>
      <w:numFmt w:val="decimal"/>
      <w:start w:val="9"/>
    </w:lvl>
  </w:abstractNum>
  <w:abstractNum w:abstractNumId="371">
    <w:nsid w:val="257D4626"/>
    <w:multiLevelType w:val="hybridMultilevel"/>
    <w:lvl w:ilvl="0">
      <w:lvlJc w:val="left"/>
      <w:lvlText w:val="%1"/>
      <w:numFmt w:val="lowerLetter"/>
      <w:start w:val="1"/>
    </w:lvl>
    <w:lvl w:ilvl="1">
      <w:lvlJc w:val="left"/>
      <w:lvlText w:val="(%2)"/>
      <w:numFmt w:val="lowerLetter"/>
      <w:start w:val="1"/>
    </w:lvl>
  </w:abstractNum>
  <w:abstractNum w:abstractNumId="372">
    <w:nsid w:val="5AA8580E"/>
    <w:multiLevelType w:val="hybridMultilevel"/>
    <w:lvl w:ilvl="0">
      <w:lvlJc w:val="left"/>
      <w:lvlText w:val="(%1)"/>
      <w:numFmt w:val="lowerLetter"/>
      <w:start w:val="61"/>
    </w:lvl>
    <w:lvl w:ilvl="1">
      <w:lvlJc w:val="left"/>
      <w:lvlText w:val="(%2)"/>
      <w:numFmt w:val="lowerLetter"/>
      <w:start w:val="10"/>
    </w:lvl>
  </w:abstractNum>
  <w:abstractNum w:abstractNumId="373">
    <w:nsid w:val="68FA8D0D"/>
    <w:multiLevelType w:val="hybridMultilevel"/>
    <w:lvl w:ilvl="0">
      <w:lvlJc w:val="left"/>
      <w:lvlText w:val="%1."/>
      <w:numFmt w:val="decimal"/>
      <w:start w:val="1"/>
    </w:lvl>
  </w:abstractNum>
  <w:abstractNum w:abstractNumId="374">
    <w:nsid w:val="40F2CBD2"/>
    <w:multiLevelType w:val="hybridMultilevel"/>
    <w:lvl w:ilvl="0">
      <w:lvlJc w:val="left"/>
      <w:lvlText w:val="%1."/>
      <w:numFmt w:val="decimal"/>
      <w:start w:val="2"/>
    </w:lvl>
  </w:abstractNum>
  <w:abstractNum w:abstractNumId="375">
    <w:nsid w:val="3BD615EB"/>
    <w:multiLevelType w:val="hybridMultilevel"/>
    <w:lvl w:ilvl="0">
      <w:lvlJc w:val="left"/>
      <w:lvlText w:val="%1."/>
      <w:numFmt w:val="decimal"/>
      <w:start w:val="4"/>
    </w:lvl>
    <w:lvl w:ilvl="1">
      <w:lvlJc w:val="left"/>
      <w:lvlText w:val="(%2)"/>
      <w:numFmt w:val="lowerLetter"/>
      <w:start w:val="1"/>
    </w:lvl>
  </w:abstractNum>
  <w:abstractNum w:abstractNumId="376">
    <w:nsid w:val="A045AB2"/>
    <w:multiLevelType w:val="hybridMultilevel"/>
    <w:lvl w:ilvl="0">
      <w:lvlJc w:val="left"/>
      <w:lvlText w:val="%1."/>
      <w:numFmt w:val="decimal"/>
      <w:start w:val="7"/>
    </w:lvl>
  </w:abstractNum>
  <w:abstractNum w:abstractNumId="377">
    <w:nsid w:val="1872261F"/>
    <w:multiLevelType w:val="hybridMultilevel"/>
    <w:lvl w:ilvl="0">
      <w:lvlJc w:val="left"/>
      <w:lvlText w:val="(%1)"/>
      <w:numFmt w:val="lowerLetter"/>
      <w:start w:val="1"/>
    </w:lvl>
    <w:lvl w:ilvl="1">
      <w:lvlJc w:val="left"/>
      <w:lvlText w:val="(%2)"/>
      <w:numFmt w:val="lowerRoman"/>
      <w:start w:val="1"/>
    </w:lvl>
  </w:abstractNum>
  <w:abstractNum w:abstractNumId="378">
    <w:nsid w:val="3DE8306C"/>
    <w:multiLevelType w:val="hybridMultilevel"/>
    <w:lvl w:ilvl="0">
      <w:lvlJc w:val="left"/>
      <w:lvlText w:val="%1"/>
      <w:numFmt w:val="upperLetter"/>
      <w:start w:val="1"/>
    </w:lvl>
    <w:lvl w:ilvl="1">
      <w:lvlJc w:val="left"/>
      <w:lvlText w:val="(%2)"/>
      <w:numFmt w:val="lowerRoman"/>
      <w:start w:val="9"/>
    </w:lvl>
  </w:abstractNum>
  <w:abstractNum w:abstractNumId="379">
    <w:nsid w:val="7631573A"/>
    <w:multiLevelType w:val="hybridMultilevel"/>
    <w:lvl w:ilvl="0">
      <w:lvlJc w:val="left"/>
      <w:lvlText w:val="(%1)"/>
      <w:numFmt w:val="upperLetter"/>
      <w:start w:val="2"/>
    </w:lvl>
    <w:lvl w:ilvl="1">
      <w:lvlJc w:val="left"/>
      <w:lvlText w:val="(%2)"/>
      <w:numFmt w:val="lowerRoman"/>
      <w:start w:val="10"/>
    </w:lvl>
  </w:abstractNum>
  <w:abstractNum w:abstractNumId="380">
    <w:nsid w:val="58DF53B"/>
    <w:multiLevelType w:val="hybridMultilevel"/>
    <w:lvl w:ilvl="0">
      <w:lvlJc w:val="left"/>
      <w:lvlText w:val="%1"/>
      <w:numFmt w:val="upperLetter"/>
      <w:start w:val="1"/>
    </w:lvl>
    <w:lvl w:ilvl="1">
      <w:lvlJc w:val="left"/>
      <w:lvlText w:val="(%2)"/>
      <w:numFmt w:val="lowerRoman"/>
      <w:start w:val="14"/>
    </w:lvl>
  </w:abstractNum>
  <w:abstractNum w:abstractNumId="381">
    <w:nsid w:val="ACDFAC0"/>
    <w:multiLevelType w:val="hybridMultilevel"/>
    <w:lvl w:ilvl="0">
      <w:lvlJc w:val="left"/>
      <w:lvlText w:val="(%1)"/>
      <w:numFmt w:val="upperLetter"/>
      <w:start w:val="3"/>
    </w:lvl>
    <w:lvl w:ilvl="1">
      <w:lvlJc w:val="left"/>
      <w:lvlText w:val="(%2)"/>
      <w:numFmt w:val="lowerRoman"/>
      <w:start w:val="15"/>
    </w:lvl>
  </w:abstractNum>
  <w:abstractNum w:abstractNumId="382">
    <w:nsid w:val="1F57845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383">
    <w:nsid w:val="5B0DAD2A"/>
    <w:multiLevelType w:val="hybridMultilevel"/>
    <w:lvl w:ilvl="0">
      <w:lvlJc w:val="left"/>
      <w:lvlText w:val="(%1)"/>
      <w:numFmt w:val="lowerRoman"/>
      <w:start w:val="4"/>
    </w:lvl>
    <w:lvl w:ilvl="1">
      <w:lvlJc w:val="left"/>
      <w:lvlText w:val="(%2)"/>
      <w:numFmt w:val="lowerLetter"/>
      <w:start w:val="60"/>
    </w:lvl>
    <w:lvl w:ilvl="2">
      <w:lvlJc w:val="left"/>
      <w:lvlText w:val="(%3)"/>
      <w:numFmt w:val="lowerLetter"/>
      <w:start w:val="4"/>
    </w:lvl>
  </w:abstractNum>
  <w:abstractNum w:abstractNumId="384">
    <w:nsid w:val="4E3D26AB"/>
    <w:multiLevelType w:val="hybridMultilevel"/>
    <w:lvl w:ilvl="0">
      <w:lvlJc w:val="left"/>
      <w:lvlText w:val="(%1)"/>
      <w:numFmt w:val="lowerLetter"/>
      <w:start w:val="6"/>
    </w:lvl>
  </w:abstractNum>
  <w:abstractNum w:abstractNumId="385">
    <w:nsid w:val="BE2C8BA"/>
    <w:multiLevelType w:val="hybridMultilevel"/>
    <w:lvl w:ilvl="0">
      <w:lvlJc w:val="left"/>
      <w:lvlText w:val="%1."/>
      <w:numFmt w:val="decimal"/>
      <w:start w:val="8"/>
    </w:lvl>
  </w:abstractNum>
  <w:abstractNum w:abstractNumId="386">
    <w:nsid w:val="7B14914E"/>
    <w:multiLevelType w:val="hybridMultilevel"/>
    <w:lvl w:ilvl="0">
      <w:lvlJc w:val="left"/>
      <w:lvlText w:val="(%1)"/>
      <w:numFmt w:val="lowerLetter"/>
      <w:start w:val="1"/>
    </w:lvl>
  </w:abstractNum>
  <w:abstractNum w:abstractNumId="387">
    <w:nsid w:val="6F0939F8"/>
    <w:multiLevelType w:val="hybridMultilevel"/>
    <w:lvl w:ilvl="0">
      <w:lvlJc w:val="left"/>
      <w:lvlText w:val="(%1)"/>
      <w:numFmt w:val="lowerLetter"/>
      <w:start w:val="3"/>
    </w:lvl>
  </w:abstractNum>
  <w:abstractNum w:abstractNumId="388">
    <w:nsid w:val="154291F6"/>
    <w:multiLevelType w:val="hybridMultilevel"/>
    <w:lvl w:ilvl="0">
      <w:lvlJc w:val="left"/>
      <w:lvlText w:val="(%1)"/>
      <w:numFmt w:val="lowerRoman"/>
      <w:start w:val="2"/>
    </w:lvl>
    <w:lvl w:ilvl="1">
      <w:lvlJc w:val="left"/>
      <w:lvlText w:val="(%2)"/>
      <w:numFmt w:val="upperLetter"/>
      <w:start w:val="1"/>
    </w:lvl>
  </w:abstractNum>
  <w:abstractNum w:abstractNumId="389">
    <w:nsid w:val="3CEBD7C7"/>
    <w:multiLevelType w:val="hybridMultilevel"/>
    <w:lvl w:ilvl="0">
      <w:lvlJc w:val="left"/>
      <w:lvlText w:val="%1"/>
      <w:numFmt w:val="lowerLetter"/>
      <w:start w:val="1"/>
    </w:lvl>
    <w:lvl w:ilvl="1">
      <w:lvlJc w:val="left"/>
      <w:lvlText w:val="(%2)"/>
      <w:numFmt w:val="upperLetter"/>
      <w:start w:val="3"/>
    </w:lvl>
  </w:abstractNum>
  <w:abstractNum w:abstractNumId="390">
    <w:nsid w:val="60EE9C16"/>
    <w:multiLevelType w:val="hybridMultilevel"/>
    <w:lvl w:ilvl="0">
      <w:lvlJc w:val="left"/>
      <w:lvlText w:val="(%1)"/>
      <w:numFmt w:val="lowerLetter"/>
      <w:start w:val="4"/>
    </w:lvl>
    <w:lvl w:ilvl="1">
      <w:lvlJc w:val="left"/>
      <w:lvlText w:val="%2"/>
      <w:numFmt w:val="upperLetter"/>
      <w:start w:val="1"/>
    </w:lvl>
  </w:abstractNum>
  <w:abstractNum w:abstractNumId="391">
    <w:nsid w:val="6385489E"/>
    <w:multiLevelType w:val="hybridMultilevel"/>
    <w:lvl w:ilvl="0">
      <w:lvlJc w:val="left"/>
      <w:lvlText w:val="(%1)"/>
      <w:numFmt w:val="lowerLetter"/>
      <w:start w:val="6"/>
    </w:lvl>
  </w:abstractNum>
  <w:abstractNum w:abstractNumId="392">
    <w:nsid w:val="E4B973"/>
    <w:multiLevelType w:val="hybridMultilevel"/>
    <w:lvl w:ilvl="0">
      <w:lvlJc w:val="left"/>
      <w:lvlText w:val="(%1)"/>
      <w:numFmt w:val="lowerLetter"/>
      <w:start w:val="7"/>
    </w:lvl>
    <w:lvl w:ilvl="1">
      <w:lvlJc w:val="left"/>
      <w:lvlText w:val="(%2)"/>
      <w:numFmt w:val="lowerRoman"/>
      <w:start w:val="1"/>
    </w:lvl>
  </w:abstractNum>
  <w:abstractNum w:abstractNumId="393">
    <w:nsid w:val="4A0FFA11"/>
    <w:multiLevelType w:val="hybridMultilevel"/>
    <w:lvl w:ilvl="0">
      <w:lvlJc w:val="left"/>
      <w:lvlText w:val="(%1)"/>
      <w:numFmt w:val="lowerLetter"/>
      <w:start w:val="11"/>
    </w:lvl>
    <w:lvl w:ilvl="1">
      <w:lvlJc w:val="left"/>
      <w:lvlText w:val="(%2)"/>
      <w:numFmt w:val="lowerRoman"/>
      <w:start w:val="1"/>
    </w:lvl>
  </w:abstractNum>
  <w:abstractNum w:abstractNumId="394">
    <w:nsid w:val="5E446208"/>
    <w:multiLevelType w:val="hybridMultilevel"/>
    <w:lvl w:ilvl="0">
      <w:lvlJc w:val="left"/>
      <w:lvlText w:val="%1"/>
      <w:numFmt w:val="lowerLetter"/>
      <w:start w:val="1"/>
    </w:lvl>
    <w:lvl w:ilvl="1">
      <w:lvlJc w:val="left"/>
      <w:lvlText w:val="(%2)"/>
      <w:numFmt w:val="lowerLetter"/>
      <w:start w:val="22"/>
    </w:lvl>
  </w:abstractNum>
  <w:abstractNum w:abstractNumId="395">
    <w:nsid w:val="5F3272DB"/>
    <w:multiLevelType w:val="hybridMultilevel"/>
    <w:lvl w:ilvl="0">
      <w:lvlJc w:val="left"/>
      <w:lvlText w:val="(%1)"/>
      <w:numFmt w:val="lowerLetter"/>
      <w:start w:val="12"/>
    </w:lvl>
    <w:lvl w:ilvl="1">
      <w:lvlJc w:val="left"/>
      <w:lvlText w:val="%2"/>
      <w:numFmt w:val="lowerLetter"/>
      <w:start w:val="1"/>
    </w:lvl>
  </w:abstractNum>
  <w:abstractNum w:abstractNumId="396">
    <w:nsid w:val="7616D704"/>
    <w:multiLevelType w:val="hybridMultilevel"/>
    <w:lvl w:ilvl="0">
      <w:lvlJc w:val="left"/>
      <w:lvlText w:val="(%1)"/>
      <w:numFmt w:val="lowerLetter"/>
      <w:start w:val="17"/>
    </w:lvl>
    <w:lvl w:ilvl="1">
      <w:lvlJc w:val="left"/>
      <w:lvlText w:val="(%2)"/>
      <w:numFmt w:val="lowerRoman"/>
      <w:start w:val="1"/>
    </w:lvl>
  </w:abstractNum>
  <w:abstractNum w:abstractNumId="397">
    <w:nsid w:val="C56F860"/>
    <w:multiLevelType w:val="hybridMultilevel"/>
    <w:lvl w:ilvl="0">
      <w:lvlJc w:val="left"/>
      <w:lvlText w:val="%1"/>
      <w:numFmt w:val="lowerLetter"/>
      <w:start w:val="1"/>
    </w:lvl>
    <w:lvl w:ilvl="1">
      <w:lvlJc w:val="left"/>
      <w:lvlText w:val="(%2)"/>
      <w:numFmt w:val="lowerLetter"/>
      <w:start w:val="21"/>
    </w:lvl>
  </w:abstractNum>
  <w:abstractNum w:abstractNumId="398">
    <w:nsid w:val="64D17722"/>
    <w:multiLevelType w:val="hybridMultilevel"/>
    <w:lvl w:ilvl="0">
      <w:lvlJc w:val="left"/>
      <w:lvlText w:val="(%1)"/>
      <w:numFmt w:val="lowerLetter"/>
      <w:start w:val="9"/>
    </w:lvl>
    <w:lvl w:ilvl="1">
      <w:lvlJc w:val="left"/>
      <w:lvlText w:val="%2"/>
      <w:numFmt w:val="lowerLetter"/>
      <w:start w:val="1"/>
    </w:lvl>
  </w:abstractNum>
  <w:abstractNum w:abstractNumId="399">
    <w:nsid w:val="7924CA0A"/>
    <w:multiLevelType w:val="hybridMultilevel"/>
    <w:lvl w:ilvl="0">
      <w:lvlJc w:val="left"/>
      <w:lvlText w:val="(%1)"/>
      <w:numFmt w:val="lowerLetter"/>
      <w:start w:val="22"/>
    </w:lvl>
    <w:lvl w:ilvl="1">
      <w:lvlJc w:val="left"/>
      <w:lvlText w:val="%2"/>
      <w:numFmt w:val="lowerLetter"/>
      <w:start w:val="1"/>
    </w:lvl>
  </w:abstractNum>
  <w:abstractNum w:abstractNumId="400">
    <w:nsid w:val="CFD4EA7"/>
    <w:multiLevelType w:val="hybridMultilevel"/>
    <w:lvl w:ilvl="0">
      <w:lvlJc w:val="left"/>
      <w:lvlText w:val="%1."/>
      <w:numFmt w:val="decimal"/>
      <w:start w:val="9"/>
    </w:lvl>
  </w:abstractNum>
  <w:abstractNum w:abstractNumId="401">
    <w:nsid w:val="232FCF4D"/>
    <w:multiLevelType w:val="hybridMultilevel"/>
    <w:lvl w:ilvl="0">
      <w:lvlJc w:val="left"/>
      <w:lvlText w:val="%1"/>
      <w:numFmt w:val="lowerLetter"/>
      <w:start w:val="1"/>
    </w:lvl>
    <w:lvl w:ilvl="1">
      <w:lvlJc w:val="left"/>
      <w:lvlText w:val="(%2)"/>
      <w:numFmt w:val="lowerLetter"/>
      <w:start w:val="1"/>
    </w:lvl>
  </w:abstractNum>
  <w:abstractNum w:abstractNumId="402">
    <w:nsid w:val="1EA21031"/>
    <w:multiLevelType w:val="hybridMultilevel"/>
    <w:lvl w:ilvl="0">
      <w:lvlJc w:val="left"/>
      <w:lvlText w:val="(%1)"/>
      <w:numFmt w:val="lowerLetter"/>
      <w:start w:val="61"/>
    </w:lvl>
    <w:lvl w:ilvl="1">
      <w:lvlJc w:val="left"/>
      <w:lvlText w:val="(%2)"/>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2019-12-28T03:15:40Z</dcterms:created>
  <dcterms:modified xsi:type="dcterms:W3CDTF">2019-12-28T03:15:40Z</dcterms:modified>
</cp:coreProperties>
</file>