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tabs>
          <w:tab w:leader="none" w:pos="9300" w:val="left"/>
        </w:tabs>
        <w:rPr>
          <w:sz w:val="20"/>
          <w:szCs w:val="20"/>
          <w:color w:val="auto"/>
        </w:rPr>
      </w:pPr>
      <w:r>
        <w:rPr>
          <w:rFonts w:ascii="Arial" w:cs="Arial" w:eastAsia="Arial" w:hAnsi="Arial"/>
          <w:sz w:val="16"/>
          <w:szCs w:val="16"/>
          <w:color w:val="auto"/>
        </w:rPr>
        <w:t>As filed with the Securities and Exchange Commission on December 22, 2017</w:t>
      </w:r>
      <w:r>
        <w:rPr>
          <w:sz w:val="20"/>
          <w:szCs w:val="20"/>
          <w:color w:val="auto"/>
        </w:rPr>
        <w:tab/>
      </w:r>
      <w:r>
        <w:rPr>
          <w:rFonts w:ascii="Arial" w:cs="Arial" w:eastAsia="Arial" w:hAnsi="Arial"/>
          <w:sz w:val="16"/>
          <w:szCs w:val="16"/>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92075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42545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31750</wp:posOffset>
            </wp:positionV>
            <wp:extent cx="2521585"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58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58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4900" w:type="dxa"/>
            <w:vAlign w:val="bottom"/>
            <w:gridSpan w:val="2"/>
          </w:tcPr>
          <w:p>
            <w:pPr>
              <w:jc w:val="center"/>
              <w:ind w:right="60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(Full title of plan)</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Scott C. Folkers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Vice President, General Counsel and Secretary</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P.O. Box 152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(641) 585-6809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address, and telephone number of agent for service)</w:t>
      </w:r>
    </w:p>
    <w:p>
      <w:pPr>
        <w:spacing w:after="0" w:line="194" w:lineRule="exact"/>
        <w:rPr>
          <w:sz w:val="24"/>
          <w:szCs w:val="24"/>
          <w:color w:val="auto"/>
        </w:rPr>
      </w:pPr>
    </w:p>
    <w:p>
      <w:pPr>
        <w:ind w:right="20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898" w:right="239" w:bottom="1440" w:gutter="0" w:footer="0" w:header="0"/>
        </w:sectPr>
      </w:pPr>
    </w:p>
    <w:p>
      <w:pPr>
        <w:spacing w:after="0" w:line="182" w:lineRule="exact"/>
        <w:rPr>
          <w:sz w:val="24"/>
          <w:szCs w:val="24"/>
          <w:color w:val="auto"/>
        </w:rPr>
      </w:pPr>
    </w:p>
    <w:p>
      <w:pPr>
        <w:ind w:left="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88" w:lineRule="exact"/>
        <w:rPr>
          <w:sz w:val="24"/>
          <w:szCs w:val="24"/>
          <w:color w:val="auto"/>
        </w:rPr>
      </w:pPr>
    </w:p>
    <w:p>
      <w:pPr>
        <w:sectPr>
          <w:pgSz w:w="11900" w:h="16838" w:orient="portrait"/>
          <w:cols w:equalWidth="0" w:num="6">
            <w:col w:w="1680" w:space="60"/>
            <w:col w:w="620" w:space="720"/>
            <w:col w:w="1160" w:space="60"/>
            <w:col w:w="1320" w:space="720"/>
            <w:col w:w="1500" w:space="60"/>
            <w:col w:w="3520"/>
          </w:cols>
          <w:pgMar w:left="240" w:top="898" w:right="239" w:bottom="1440" w:gutter="0" w:footer="0" w:header="0"/>
          <w:type w:val="continuous"/>
        </w:sectPr>
      </w:pPr>
    </w:p>
    <w:p>
      <w:pPr>
        <w:spacing w:after="0" w:line="43" w:lineRule="exact"/>
        <w:rPr>
          <w:sz w:val="24"/>
          <w:szCs w:val="24"/>
          <w:color w:val="auto"/>
        </w:rPr>
      </w:pPr>
    </w:p>
    <w:p>
      <w:pPr>
        <w:ind w:left="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20" w:lineRule="exact"/>
        <w:rPr>
          <w:sz w:val="24"/>
          <w:szCs w:val="24"/>
          <w:color w:val="auto"/>
        </w:rPr>
      </w:pPr>
    </w:p>
    <w:p>
      <w:pPr>
        <w:sectPr>
          <w:pgSz w:w="11900" w:h="16838" w:orient="portrait"/>
          <w:cols w:equalWidth="0" w:num="4">
            <w:col w:w="2120" w:space="60"/>
            <w:col w:w="180" w:space="720"/>
            <w:col w:w="2000" w:space="60"/>
            <w:col w:w="6280"/>
          </w:cols>
          <w:pgMar w:left="240" w:top="898" w:right="239" w:bottom="1440" w:gutter="0" w:footer="0" w:header="0"/>
          <w:type w:val="continuous"/>
        </w:sect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Proposed maximum</w:t>
            </w:r>
          </w:p>
        </w:tc>
        <w:tc>
          <w:tcPr>
            <w:tcW w:w="23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4"/>
        </w:trPr>
        <w:tc>
          <w:tcPr>
            <w:tcW w:w="2760" w:type="dxa"/>
            <w:vAlign w:val="bottom"/>
          </w:tcPr>
          <w:p>
            <w:pPr>
              <w:jc w:val="center"/>
              <w:ind w:left="379"/>
              <w:spacing w:after="0"/>
              <w:rPr>
                <w:sz w:val="20"/>
                <w:szCs w:val="20"/>
                <w:color w:val="auto"/>
              </w:rPr>
            </w:pPr>
            <w:r>
              <w:rPr>
                <w:rFonts w:ascii="Arial" w:cs="Arial" w:eastAsia="Arial" w:hAnsi="Arial"/>
                <w:sz w:val="16"/>
                <w:szCs w:val="16"/>
                <w:color w:val="auto"/>
              </w:rPr>
              <w:t>Title of securities</w:t>
            </w:r>
          </w:p>
        </w:tc>
        <w:tc>
          <w:tcPr>
            <w:tcW w:w="26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offering price</w:t>
            </w:r>
          </w:p>
        </w:tc>
        <w:tc>
          <w:tcPr>
            <w:tcW w:w="2360" w:type="dxa"/>
            <w:vAlign w:val="bottom"/>
          </w:tcPr>
          <w:p>
            <w:pPr>
              <w:jc w:val="center"/>
              <w:spacing w:after="0"/>
              <w:rPr>
                <w:sz w:val="20"/>
                <w:szCs w:val="20"/>
                <w:color w:val="auto"/>
              </w:rPr>
            </w:pPr>
            <w:r>
              <w:rPr>
                <w:rFonts w:ascii="Arial" w:cs="Arial" w:eastAsia="Arial" w:hAnsi="Arial"/>
                <w:sz w:val="16"/>
                <w:szCs w:val="16"/>
                <w:color w:val="auto"/>
              </w:rPr>
              <w:t>Proposed maximum</w:t>
            </w:r>
          </w:p>
        </w:tc>
        <w:tc>
          <w:tcPr>
            <w:tcW w:w="1860" w:type="dxa"/>
            <w:vAlign w:val="bottom"/>
          </w:tcPr>
          <w:p>
            <w:pPr>
              <w:jc w:val="center"/>
              <w:ind w:right="119"/>
              <w:spacing w:after="0"/>
              <w:rPr>
                <w:sz w:val="20"/>
                <w:szCs w:val="20"/>
                <w:color w:val="auto"/>
              </w:rPr>
            </w:pPr>
            <w:r>
              <w:rPr>
                <w:rFonts w:ascii="Arial" w:cs="Arial" w:eastAsia="Arial" w:hAnsi="Arial"/>
                <w:sz w:val="16"/>
                <w:szCs w:val="16"/>
                <w:color w:val="auto"/>
              </w:rPr>
              <w:t>Amount of</w:t>
            </w:r>
          </w:p>
        </w:tc>
      </w:tr>
      <w:tr>
        <w:trPr>
          <w:trHeight w:val="219"/>
        </w:trPr>
        <w:tc>
          <w:tcPr>
            <w:tcW w:w="27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rPr>
              <w:t>to be registered</w:t>
            </w:r>
          </w:p>
        </w:tc>
        <w:tc>
          <w:tcPr>
            <w:tcW w:w="2620" w:type="dxa"/>
            <w:vAlign w:val="bottom"/>
            <w:tcBorders>
              <w:bottom w:val="single" w:sz="8" w:color="auto"/>
            </w:tcBorders>
          </w:tcPr>
          <w:p>
            <w:pPr>
              <w:jc w:val="center"/>
              <w:ind w:left="279"/>
              <w:spacing w:after="0" w:line="219" w:lineRule="exact"/>
              <w:rPr>
                <w:sz w:val="20"/>
                <w:szCs w:val="20"/>
                <w:color w:val="auto"/>
              </w:rPr>
            </w:pPr>
            <w:r>
              <w:rPr>
                <w:rFonts w:ascii="Arial" w:cs="Arial" w:eastAsia="Arial" w:hAnsi="Arial"/>
                <w:sz w:val="16"/>
                <w:szCs w:val="16"/>
                <w:color w:val="auto"/>
                <w:w w:val="98"/>
              </w:rPr>
              <w:t xml:space="preserve">Amount to be registered </w:t>
            </w:r>
            <w:r>
              <w:rPr>
                <w:rFonts w:ascii="Arial" w:cs="Arial" w:eastAsia="Arial" w:hAnsi="Arial"/>
                <w:sz w:val="21"/>
                <w:szCs w:val="21"/>
                <w:color w:val="auto"/>
                <w:w w:val="98"/>
                <w:vertAlign w:val="superscript"/>
              </w:rPr>
              <w:t>(1)</w:t>
            </w:r>
          </w:p>
        </w:tc>
        <w:tc>
          <w:tcPr>
            <w:tcW w:w="182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6"/>
              </w:rPr>
              <w:t xml:space="preserve">per share </w:t>
            </w:r>
            <w:r>
              <w:rPr>
                <w:rFonts w:ascii="Arial" w:cs="Arial" w:eastAsia="Arial" w:hAnsi="Arial"/>
                <w:sz w:val="21"/>
                <w:szCs w:val="21"/>
                <w:color w:val="auto"/>
                <w:w w:val="96"/>
                <w:vertAlign w:val="superscript"/>
              </w:rPr>
              <w:t>(2)</w:t>
            </w:r>
          </w:p>
        </w:tc>
        <w:tc>
          <w:tcPr>
            <w:tcW w:w="236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8"/>
              </w:rPr>
              <w:t xml:space="preserve">aggregate offering price </w:t>
            </w:r>
            <w:r>
              <w:rPr>
                <w:rFonts w:ascii="Arial" w:cs="Arial" w:eastAsia="Arial" w:hAnsi="Arial"/>
                <w:sz w:val="21"/>
                <w:szCs w:val="21"/>
                <w:color w:val="auto"/>
                <w:w w:val="98"/>
                <w:vertAlign w:val="superscript"/>
              </w:rPr>
              <w:t>(2)</w:t>
            </w:r>
          </w:p>
        </w:tc>
        <w:tc>
          <w:tcPr>
            <w:tcW w:w="18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registration fee</w:t>
            </w:r>
          </w:p>
        </w:tc>
      </w:tr>
      <w:tr>
        <w:trPr>
          <w:trHeight w:val="211"/>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2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08"/>
        </w:trPr>
        <w:tc>
          <w:tcPr>
            <w:tcW w:w="2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 value $.50 per share</w:t>
            </w:r>
          </w:p>
        </w:tc>
        <w:tc>
          <w:tcPr>
            <w:tcW w:w="26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rPr>
              <w:t>250,000  shares</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$57.73</w:t>
            </w:r>
          </w:p>
        </w:tc>
        <w:tc>
          <w:tcPr>
            <w:tcW w:w="2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$14,432,500</w:t>
            </w:r>
          </w:p>
        </w:tc>
        <w:tc>
          <w:tcPr>
            <w:tcW w:w="1860" w:type="dxa"/>
            <w:vAlign w:val="bottom"/>
            <w:tcBorders>
              <w:bottom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rPr>
              <w:t>$1,796.85</w:t>
            </w:r>
          </w:p>
        </w:tc>
      </w:tr>
    </w:tbl>
    <w:p>
      <w:pPr>
        <w:spacing w:after="0" w:line="191" w:lineRule="exact"/>
        <w:rPr>
          <w:sz w:val="24"/>
          <w:szCs w:val="24"/>
          <w:color w:val="auto"/>
        </w:rPr>
      </w:pPr>
    </w:p>
    <w:p>
      <w:pPr>
        <w:ind w:firstLine="8"/>
        <w:spacing w:after="0" w:line="255"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Any additional shares to be issued as a result of stock dividends, stock splits or similar transactions prior to the termination of this registration statement shall be covered by this registration statement as provided in Rule 416.</w:t>
      </w:r>
    </w:p>
    <w:p>
      <w:pPr>
        <w:ind w:right="100" w:firstLine="8"/>
        <w:spacing w:after="0" w:line="288"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and (d) the maximum offering price per share and maximum aggregate offering price and amount of registration fee are calculated upon a price of $57.73, the average of the high and low prices for the shares of Winnebago Industries, Inc. Common Stock as reported by the New York Stock Exchange, Inc. on 12/19/17.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Registration Statement on Form S-8 is filed by Winnebago Industries, Inc. an Iowa corporation ("Winnebago" or the "Company") to register 250,000 shares of its common stock issuable under the Winnebago Industries, Inc. Employee Stock Purchase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INFORMATION REQUIRED IN THE SECTION 10(a) PROSPECTUS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note of Part I of Form S-8, the information required by Items 1 and 2 of Form S-8 is not filed as part of this Registration Statement on Form S-8 and documents containing the information specified such Part I have been or will be delivered to participants as specified by Rule 428(b)(1) under the Securities Act of 1933. These documents and the documents incorporated by reference in this Registration Statement pursuant to Item 3 of Part II, taken together, constitute a prospectus that meets the requirements of Section 10(a) of the Securities Act of 1933.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documents which have been filed with the Securities and Exchange Commission (the "Commission") by Winnebago Industries, Inc. ("Winnebago" or the "Registrant") pursuant to the Securities Exchange Act of 1934 ("1934 Act") are incorporated herein by reference:</w:t>
      </w:r>
    </w:p>
    <w:p>
      <w:pPr>
        <w:spacing w:after="0" w:line="196" w:lineRule="exact"/>
        <w:rPr>
          <w:sz w:val="20"/>
          <w:szCs w:val="20"/>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August 26, 2017 of Winnebago filed on October 20, 2017;</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 ended November 25, 2017 of Winnebago filed on December 21, 2017;</w:t>
      </w:r>
    </w:p>
    <w:p>
      <w:pPr>
        <w:spacing w:after="0" w:line="225" w:lineRule="exact"/>
        <w:rPr>
          <w:rFonts w:ascii="Arial" w:cs="Arial" w:eastAsia="Arial" w:hAnsi="Arial"/>
          <w:sz w:val="18"/>
          <w:szCs w:val="18"/>
          <w:color w:val="auto"/>
        </w:rPr>
      </w:pPr>
    </w:p>
    <w:p>
      <w:pPr>
        <w:ind w:left="340" w:right="340" w:hanging="8"/>
        <w:spacing w:after="0" w:line="262"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October 27, 2017, November 2, 2017, November 27, 2017, December 6, 2017, December 12, 2017, December 14, 2017 and December 20, 2017;</w:t>
      </w:r>
    </w:p>
    <w:p>
      <w:pPr>
        <w:spacing w:after="0" w:line="196" w:lineRule="exact"/>
        <w:rPr>
          <w:rFonts w:ascii="Arial" w:cs="Arial" w:eastAsia="Arial" w:hAnsi="Arial"/>
          <w:sz w:val="18"/>
          <w:szCs w:val="18"/>
          <w:color w:val="auto"/>
        </w:rPr>
      </w:pPr>
    </w:p>
    <w:p>
      <w:pPr>
        <w:ind w:left="340" w:hanging="8"/>
        <w:spacing w:after="0" w:line="262" w:lineRule="auto"/>
        <w:tabs>
          <w:tab w:leader="none" w:pos="61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Notice of Annual Meeting of Shareholders to be Held December 12, 2017 and Proxy Statement (and amendments), filed on October 24, 2017, October 31, 2017 and November 3, 2017; and</w:t>
      </w:r>
    </w:p>
    <w:p>
      <w:pPr>
        <w:spacing w:after="0" w:line="196" w:lineRule="exact"/>
        <w:rPr>
          <w:rFonts w:ascii="Arial" w:cs="Arial" w:eastAsia="Arial" w:hAnsi="Arial"/>
          <w:sz w:val="18"/>
          <w:szCs w:val="18"/>
          <w:color w:val="auto"/>
        </w:rPr>
      </w:pPr>
    </w:p>
    <w:p>
      <w:pPr>
        <w:ind w:left="340" w:right="20" w:hanging="8"/>
        <w:spacing w:after="0" w:line="262" w:lineRule="auto"/>
        <w:tabs>
          <w:tab w:leader="none" w:pos="61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Winnebago's Common Stock which is contained in the Forms 8-A pursuant to Section 12(b) of the 1934 Act filed with the Commission on June 18, 1969 and June 16, 1971 (1934 Act File No. 1-6403).</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documents subsequently filed by Winnebago pursuant to Sections 13(a), 13(c), 14 and 15(d) of the 1934 Act, as amended, prior to the filing of the post-effective amendment which indicates that all securities offered hereby have been sold or which deregisters all such securities then remaining unsold, shall be deemed to be incorporated by reference herein and to be a part hereof from the date of filing of such reports and documents.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Description of Securities. </w:t>
      </w: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Interests of Named Experts and Counsel. </w:t>
      </w: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Sections 490.851 of the Iowa Business Corporation Act gives Iowa corporations the power to indemnify present and former directors under certain circumstances. The Amended and Restated Articles of Incorporation of Winnebago provide for indemnification by Winnebago of directors against all expenses, liabilities and loss (including attorney’s fees, judgments, fines or penalties and amounts paid or to be paid in settlement) actually incurred by such person relating to his or her conduct as a director of Winnebago, except that the aforesaid mandatory indemnification shall not apply (i) to a breach of a director’s duty of loyalty to the corporation or its shareholders, (ii) for acts or omissions not in good faith or which involve intentional misconduct or knowing violation of the law, (iii) for a transaction from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576" w:right="259" w:bottom="1440" w:gutter="0" w:footer="0" w:header="0"/>
        </w:sectPr>
      </w:pPr>
    </w:p>
    <w:bookmarkStart w:id="2" w:name="page3"/>
    <w:bookmarkEnd w:id="2"/>
    <w:p>
      <w:pPr>
        <w:ind w:right="140"/>
        <w:spacing w:after="0" w:line="253" w:lineRule="auto"/>
        <w:rPr>
          <w:sz w:val="20"/>
          <w:szCs w:val="20"/>
          <w:color w:val="auto"/>
        </w:rPr>
      </w:pPr>
      <w:r>
        <w:rPr>
          <w:rFonts w:ascii="Arial" w:cs="Arial" w:eastAsia="Arial" w:hAnsi="Arial"/>
          <w:sz w:val="18"/>
          <w:szCs w:val="18"/>
          <w:color w:val="auto"/>
        </w:rPr>
        <w:t>which a director derived an improper personal benefit, (iv) under Section 496A.44 of the Iowa Business Corporation Act, or (v) against judgments, penalties, fines and settlements arising from any proceeding by or in the right of the corporation, or against expenses in any such case where such director shall be adjudged liable to the corporation. The Amended and Restated Articles of Incorporation further provide that the indemnification provided thereunder shall not be exclusive of any other rights to which those indemnified may be entitled under any bylaw, agreement, vote of stockholders or disinterested directors or otherwise.</w:t>
      </w:r>
    </w:p>
    <w:p>
      <w:pPr>
        <w:spacing w:after="0" w:line="20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addition, Winnebago maintains a directors’ and officers’ liability insurance policy to insure its liability under the above-described provision of its Amended and Restated Articles of Incorporation and to insure its individual directors and officers against certain obligations not covered by such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Exemption from Registrations Claimed. </w:t>
      </w: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93" w:lineRule="exact"/>
        <w:rPr>
          <w:sz w:val="20"/>
          <w:szCs w:val="20"/>
          <w:color w:val="auto"/>
        </w:rPr>
      </w:pPr>
    </w:p>
    <w:p>
      <w:pPr>
        <w:ind w:left="740" w:right="400" w:hanging="705"/>
        <w:spacing w:after="0" w:line="246" w:lineRule="auto"/>
        <w:tabs>
          <w:tab w:leader="none" w:pos="740" w:val="left"/>
        </w:tabs>
        <w:numPr>
          <w:ilvl w:val="0"/>
          <w:numId w:val="3"/>
        </w:numPr>
        <w:rPr>
          <w:rFonts w:ascii="Arial" w:cs="Arial" w:eastAsia="Arial" w:hAnsi="Arial"/>
          <w:sz w:val="18"/>
          <w:szCs w:val="18"/>
          <w:u w:val="single" w:color="auto"/>
          <w:color w:val="0000FF"/>
        </w:rPr>
      </w:pPr>
      <w:r>
        <w:rPr>
          <w:rFonts w:ascii="Arial" w:cs="Arial" w:eastAsia="Arial" w:hAnsi="Arial"/>
          <w:sz w:val="18"/>
          <w:szCs w:val="18"/>
          <w:color w:val="auto"/>
        </w:rPr>
        <w:t>Winnebago Industries, Inc. Employee Stock Purchase Plan (incorporated by reference to Appendix B to the Company's Definitive Proxy Statement) filed October 24, 2017.</w:t>
      </w:r>
    </w:p>
    <w:p>
      <w:pPr>
        <w:spacing w:after="0" w:line="35"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u w:val="single" w:color="auto"/>
          <w:color w:val="0000FF"/>
        </w:rPr>
        <w:t>5.1</w:t>
      </w:r>
      <w:r>
        <w:rPr>
          <w:sz w:val="20"/>
          <w:szCs w:val="20"/>
          <w:color w:val="auto"/>
        </w:rPr>
        <w:tab/>
      </w:r>
      <w:r>
        <w:rPr>
          <w:rFonts w:ascii="Arial" w:cs="Arial" w:eastAsia="Arial" w:hAnsi="Arial"/>
          <w:sz w:val="17"/>
          <w:szCs w:val="17"/>
          <w:color w:val="auto"/>
        </w:rPr>
        <w:t>Opinion and consent of Lindquist and Vennum LLP regarding the legality of the securities being registered.</w:t>
      </w:r>
    </w:p>
    <w:p>
      <w:pPr>
        <w:spacing w:after="0" w:line="63"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u w:val="single" w:color="auto"/>
          <w:color w:val="0000FF"/>
        </w:rPr>
        <w:t>23.1</w:t>
      </w:r>
      <w:r>
        <w:rPr>
          <w:sz w:val="20"/>
          <w:szCs w:val="20"/>
          <w:color w:val="auto"/>
        </w:rPr>
        <w:tab/>
      </w:r>
      <w:r>
        <w:rPr>
          <w:rFonts w:ascii="Arial" w:cs="Arial" w:eastAsia="Arial" w:hAnsi="Arial"/>
          <w:sz w:val="17"/>
          <w:szCs w:val="17"/>
          <w:color w:val="auto"/>
        </w:rPr>
        <w:t>Consent of Independent Registered Public Accounting Firm.</w:t>
      </w:r>
    </w:p>
    <w:p>
      <w:pPr>
        <w:spacing w:after="0" w:line="63"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Consent of Lindquist and Vennum LLP (included in Exhibit 5.1).</w:t>
      </w:r>
    </w:p>
    <w:p>
      <w:pPr>
        <w:spacing w:after="0" w:line="63"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Power of Attorney (included on signature page).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40" w:firstLine="1305"/>
        <w:spacing w:after="0" w:line="256" w:lineRule="auto"/>
        <w:tabs>
          <w:tab w:leader="none" w:pos="154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1" w:lineRule="exact"/>
        <w:rPr>
          <w:rFonts w:ascii="Arial" w:cs="Arial" w:eastAsia="Arial" w:hAnsi="Arial"/>
          <w:sz w:val="18"/>
          <w:szCs w:val="18"/>
          <w:color w:val="auto"/>
        </w:rPr>
      </w:pPr>
    </w:p>
    <w:p>
      <w:pPr>
        <w:ind w:right="540" w:firstLine="1305"/>
        <w:spacing w:after="0" w:line="250" w:lineRule="auto"/>
        <w:tabs>
          <w:tab w:leader="none" w:pos="158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Registration Statement is on Form S-3, Form S-8 or Form F-3,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204" w:lineRule="exact"/>
        <w:rPr>
          <w:rFonts w:ascii="Arial" w:cs="Arial" w:eastAsia="Arial" w:hAnsi="Arial"/>
          <w:sz w:val="18"/>
          <w:szCs w:val="18"/>
          <w:color w:val="auto"/>
        </w:rPr>
      </w:pPr>
    </w:p>
    <w:p>
      <w:pPr>
        <w:jc w:val="both"/>
        <w:ind w:right="360" w:firstLine="656"/>
        <w:spacing w:after="0" w:line="256" w:lineRule="auto"/>
        <w:tabs>
          <w:tab w:leader="none" w:pos="91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Arial" w:cs="Arial" w:eastAsia="Arial" w:hAnsi="Arial"/>
          <w:sz w:val="18"/>
          <w:szCs w:val="18"/>
          <w:color w:val="auto"/>
        </w:rPr>
      </w:pPr>
    </w:p>
    <w:p>
      <w:pPr>
        <w:ind w:right="100" w:firstLine="656"/>
        <w:spacing w:after="0" w:line="262" w:lineRule="auto"/>
        <w:tabs>
          <w:tab w:leader="none" w:pos="91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6" w:lineRule="exact"/>
        <w:rPr>
          <w:rFonts w:ascii="Arial" w:cs="Arial" w:eastAsia="Arial" w:hAnsi="Arial"/>
          <w:sz w:val="18"/>
          <w:szCs w:val="18"/>
          <w:color w:val="auto"/>
        </w:rPr>
      </w:pPr>
    </w:p>
    <w:p>
      <w:pPr>
        <w:ind w:right="20" w:firstLine="8"/>
        <w:spacing w:after="0" w:line="253"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598" w:right="259" w:bottom="1440" w:gutter="0" w:footer="0" w:header="0"/>
        </w:sectPr>
      </w:pPr>
    </w:p>
    <w:bookmarkStart w:id="3" w:name="page4"/>
    <w:bookmarkEnd w:id="3"/>
    <w:p>
      <w:pPr>
        <w:spacing w:after="0" w:line="252" w:lineRule="auto"/>
        <w:rPr>
          <w:sz w:val="20"/>
          <w:szCs w:val="20"/>
          <w:color w:val="auto"/>
        </w:rPr>
      </w:pPr>
      <w:r>
        <w:rPr>
          <w:rFonts w:ascii="Arial" w:cs="Arial" w:eastAsia="Arial" w:hAnsi="Arial"/>
          <w:sz w:val="18"/>
          <w:szCs w:val="18"/>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S-8 and has duly caused this Registration Statement to be signed on its behalf by the undersigned, thereunto duly authorized, in Eden Prairie, Minnesota on December 22, 2017.</w:t>
      </w:r>
    </w:p>
    <w:p>
      <w:pPr>
        <w:spacing w:after="0" w:line="14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w:t>
      </w:r>
      <w:r>
        <w:rPr>
          <w:rFonts w:ascii="Arial" w:cs="Arial" w:eastAsia="Arial" w:hAnsi="Arial"/>
          <w:sz w:val="18"/>
          <w:szCs w:val="18"/>
          <w:color w:val="auto"/>
        </w:rPr>
        <w:t>INNEBAGO</w:t>
      </w:r>
      <w:r>
        <w:rPr>
          <w:rFonts w:ascii="Arial" w:cs="Arial" w:eastAsia="Arial" w:hAnsi="Arial"/>
          <w:sz w:val="22"/>
          <w:szCs w:val="22"/>
          <w:color w:val="auto"/>
        </w:rPr>
        <w:t xml:space="preserve"> I</w:t>
      </w:r>
      <w:r>
        <w:rPr>
          <w:rFonts w:ascii="Arial" w:cs="Arial" w:eastAsia="Arial" w:hAnsi="Arial"/>
          <w:sz w:val="18"/>
          <w:szCs w:val="18"/>
          <w:color w:val="auto"/>
        </w:rPr>
        <w:t>NDUSTRIES,</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63"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14605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Michael J. Happe</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Chief Executive Officer and President</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person whose signature appears below hereby constitutes and appoints Michael J. Happe and Bryan L. Hughes as such person's true and lawful attorneys-in-fact and agents with full power to any of them, and to each of them singly, to sign for us and in our names in the capacities indicated below, any and all amendments and post-effective amendments (including post-effective amendments) to this Registration Statement, and to file the same, with all exhibits thereto and other documents in connection therewith, with the Securities and Exchange Commission, and generally to do all such things in our name and behalf in our capacities as officers and directors to enable Winnebago to comply with the provisions of the Securities Act of 1933, as amended, and all requirements of the Securities and Exchange Commission, hereby ratifying and confirming our signatures as they may be signed by our said attorneys-in-fact, or any of them, to said Registration Statement and and all amendments thereof.</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80"/>
          </w:cols>
          <w:pgMar w:left="240" w:top="598" w:right="279" w:bottom="1440" w:gutter="0" w:footer="0" w:header="0"/>
        </w:sectPr>
      </w:pPr>
    </w:p>
    <w:bookmarkStart w:id="4" w:name="page5"/>
    <w:bookmarkEnd w:id="4"/>
    <w:p>
      <w:pPr>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on December 22, 2017, by the following persons in the capacities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SIGNATURE</w:t>
            </w:r>
          </w:p>
        </w:tc>
        <w:tc>
          <w:tcPr>
            <w:tcW w:w="2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TITLE</w:t>
            </w:r>
          </w:p>
        </w:tc>
        <w:tc>
          <w:tcPr>
            <w:tcW w:w="2320" w:type="dxa"/>
            <w:vAlign w:val="bottom"/>
          </w:tcPr>
          <w:p>
            <w:pPr>
              <w:spacing w:after="0"/>
              <w:rPr>
                <w:sz w:val="17"/>
                <w:szCs w:val="17"/>
                <w:color w:val="auto"/>
              </w:rPr>
            </w:pPr>
          </w:p>
        </w:tc>
      </w:tr>
      <w:tr>
        <w:trPr>
          <w:trHeight w:val="298"/>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Michael J. Happe</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5"/>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Michael J. Happe</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w w:val="99"/>
              </w:rPr>
              <w:t>Chief Executive Officer, President and Director (Principal Executive</w:t>
            </w:r>
          </w:p>
        </w:tc>
      </w:tr>
      <w:tr>
        <w:trPr>
          <w:trHeight w:val="217"/>
        </w:trPr>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Officer)</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Bryan L. Hughes</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5"/>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Bryan L. Hughes</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Vice President, Chief Financial Officer</w:t>
            </w:r>
          </w:p>
        </w:tc>
      </w:tr>
      <w:tr>
        <w:trPr>
          <w:trHeight w:val="217"/>
        </w:trPr>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(Principal Financial and Accounting Officer)</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Robert M. Chiusano</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Robert M. Chiusano</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Chairman of the Board</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Christopher J. Braun</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Christopher J. Braun</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William C. Fisher</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William C. Fisher</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David W. Miles</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David W. Miles</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Richard D. Moss</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Richard D. Moss</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John M. Murabito</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John M. Murabito</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Martha T. Rodamaker</w:t>
            </w: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Martha T. Rodamaker</w:t>
            </w:r>
          </w:p>
        </w:tc>
        <w:tc>
          <w:tcPr>
            <w:tcW w:w="57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858"/>
        </w:trPr>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260"/>
          </w:cols>
          <w:pgMar w:left="240" w:top="814" w:right="399" w:bottom="1440" w:gutter="0" w:footer="0" w:header="0"/>
        </w:sectPr>
      </w:pPr>
    </w:p>
    <w:bookmarkStart w:id="5" w:name="page6"/>
    <w:bookmarkEnd w:id="5"/>
    <w:p>
      <w:pPr>
        <w:ind w:left="6500"/>
        <w:spacing w:after="0"/>
        <w:rPr>
          <w:sz w:val="20"/>
          <w:szCs w:val="20"/>
          <w:color w:val="auto"/>
        </w:rPr>
      </w:pPr>
      <w:r>
        <w:rPr>
          <w:rFonts w:ascii="Arial" w:cs="Arial" w:eastAsia="Arial" w:hAnsi="Arial"/>
          <w:sz w:val="15"/>
          <w:szCs w:val="15"/>
          <w:b w:val="1"/>
          <w:bCs w:val="1"/>
          <w:color w:val="auto"/>
        </w:rPr>
        <w:t>Exhibit 5.1</w:t>
      </w:r>
    </w:p>
    <w:p>
      <w:pPr>
        <w:sectPr>
          <w:pgSz w:w="11900" w:h="16838" w:orient="portrait"/>
          <w:cols w:equalWidth="0" w:num="1">
            <w:col w:w="11380"/>
          </w:cols>
          <w:pgMar w:left="240" w:top="594" w:right="2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IA 50436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21, 2017</w:t>
      </w:r>
    </w:p>
    <w:p>
      <w:pPr>
        <w:spacing w:after="0" w:line="578" w:lineRule="exact"/>
        <w:rPr>
          <w:sz w:val="20"/>
          <w:szCs w:val="20"/>
          <w:color w:val="auto"/>
        </w:rPr>
      </w:pPr>
    </w:p>
    <w:p>
      <w:pPr>
        <w:sectPr>
          <w:pgSz w:w="11900" w:h="16838" w:orient="portrait"/>
          <w:cols w:equalWidth="0" w:num="2">
            <w:col w:w="2640" w:space="720"/>
            <w:col w:w="8020"/>
          </w:cols>
          <w:pgMar w:left="240" w:top="594" w:right="279" w:bottom="1440" w:gutter="0" w:footer="0" w:header="0"/>
          <w:type w:val="continuous"/>
        </w:sectPr>
      </w:pPr>
    </w:p>
    <w:p>
      <w:pPr>
        <w:spacing w:after="0" w:line="183"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6"/>
          <w:szCs w:val="16"/>
          <w:color w:val="auto"/>
        </w:rPr>
        <w:t>Re:</w:t>
        <w:tab/>
        <w:t>Winnebago Industries, Inc.</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Form S-8 Registration Statement</w:t>
      </w:r>
    </w:p>
    <w:p>
      <w:pPr>
        <w:sectPr>
          <w:pgSz w:w="11900" w:h="16838" w:orient="portrait"/>
          <w:cols w:equalWidth="0" w:num="1">
            <w:col w:w="11380"/>
          </w:cols>
          <w:pgMar w:left="240" w:top="594"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Gentlemen:</w:t>
      </w:r>
    </w:p>
    <w:p>
      <w:pPr>
        <w:spacing w:after="0" w:line="194" w:lineRule="exact"/>
        <w:rPr>
          <w:sz w:val="20"/>
          <w:szCs w:val="20"/>
          <w:color w:val="auto"/>
        </w:rPr>
      </w:pPr>
    </w:p>
    <w:p>
      <w:pPr>
        <w:ind w:right="200" w:firstLine="648"/>
        <w:spacing w:after="0" w:line="251" w:lineRule="auto"/>
        <w:rPr>
          <w:sz w:val="20"/>
          <w:szCs w:val="20"/>
          <w:color w:val="auto"/>
        </w:rPr>
      </w:pPr>
      <w:r>
        <w:rPr>
          <w:rFonts w:ascii="Arial" w:cs="Arial" w:eastAsia="Arial" w:hAnsi="Arial"/>
          <w:sz w:val="16"/>
          <w:szCs w:val="16"/>
          <w:color w:val="auto"/>
        </w:rPr>
        <w:t>We have acted as special counsel for Winnebago Industries, Inc. ("WINNEBAGO"), in connection with the Registration Statement on Form S-8 (the "REGISTRATION STATEMENT") of Winnebago which is being filed with the Securities and Exchange Commission on December 22, 2017 covering up to 250,000 shares of Winnebago's Common Stock, $.50 par value (the "COMMON STOCK"), issuable to eligible participants in the Winnebago Industries, Inc. Employee Stock Purchase Plan (the "ESPP").</w:t>
      </w:r>
    </w:p>
    <w:p>
      <w:pPr>
        <w:spacing w:after="0" w:line="176"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As such counsel, we have examined the Articles of Incorporation and By-laws of Winnebago, the ESPP, the Registration Statement and such other corporate documents and records and have made such other inquiries as we have deemed necessary or advisable in order to enable us to render the opinions hereinafter set forth.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the foregoing, we are of the opinion that:</w:t>
      </w:r>
    </w:p>
    <w:p>
      <w:pPr>
        <w:spacing w:after="0" w:line="194" w:lineRule="exact"/>
        <w:rPr>
          <w:sz w:val="20"/>
          <w:szCs w:val="20"/>
          <w:color w:val="auto"/>
        </w:rPr>
      </w:pPr>
    </w:p>
    <w:p>
      <w:pPr>
        <w:ind w:right="80" w:firstLine="656"/>
        <w:spacing w:after="0" w:line="260" w:lineRule="auto"/>
        <w:tabs>
          <w:tab w:leader="none" w:pos="82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shares of Common Stock when sold, issued and delivered in the manner and for consideration pursuant to the ESPP and as contemplated by the Registration Statement will be validly issued and outstanding, fully paid and non-assessable shares of Common Stock of Winnebago.</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as an exhibit to the Registration Statement.</w:t>
      </w:r>
    </w:p>
    <w:p>
      <w:pPr>
        <w:spacing w:after="0" w:line="38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Respectfully submitted,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by: /s/ Lindquist &amp; Vennum, LLP</w:t>
      </w:r>
    </w:p>
    <w:p>
      <w:pPr>
        <w:sectPr>
          <w:pgSz w:w="11900" w:h="16838" w:orient="portrait"/>
          <w:cols w:equalWidth="0" w:num="1">
            <w:col w:w="11380"/>
          </w:cols>
          <w:pgMar w:left="240" w:top="594" w:right="27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ind w:right="140"/>
        <w:spacing w:after="0" w:line="191" w:lineRule="exact"/>
        <w:rPr>
          <w:sz w:val="20"/>
          <w:szCs w:val="20"/>
          <w:color w:val="auto"/>
        </w:rPr>
      </w:pPr>
      <w:r>
        <w:rPr>
          <w:rFonts w:ascii="Arial" w:cs="Arial" w:eastAsia="Arial" w:hAnsi="Arial"/>
          <w:sz w:val="16"/>
          <w:szCs w:val="16"/>
          <w:color w:val="auto"/>
        </w:rPr>
        <w:t>We consent to the incorporation by reference in this Registration Statement on Form S-8 of our reports dated October 20, 2017, relating to the consolidated financial statements of Winnebago Industries, Inc. and subsidiaries, and the effectiveness of Winnebago Industries, Inc. and subsidiaries' internal control over financial reporting, appearing in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Winnebago Industries, Inc. for the year ended August 26,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December 22, 2017</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2019-12-05T08:25:41Z</dcterms:created>
  <dcterms:modified xsi:type="dcterms:W3CDTF">2019-12-05T08:25:41Z</dcterms:modified>
</cp:coreProperties>
</file>