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Folkers Scott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ind w:left="14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40" w:type="dxa"/>
            <w:vAlign w:val="bottom"/>
          </w:tcPr>
          <w:p>
            <w:pPr>
              <w:ind w:left="14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440" w:type="dxa"/>
            <w:vAlign w:val="bottom"/>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940" w:type="dxa"/>
            <w:vAlign w:val="bottom"/>
            <w:gridSpan w:val="2"/>
            <w:vMerge w:val="restart"/>
          </w:tcPr>
          <w:p>
            <w:pPr>
              <w:ind w:left="60"/>
              <w:spacing w:after="0"/>
              <w:rPr>
                <w:sz w:val="20"/>
                <w:szCs w:val="20"/>
                <w:color w:val="auto"/>
              </w:rPr>
            </w:pPr>
            <w:r>
              <w:rPr>
                <w:rFonts w:ascii="Arial" w:cs="Arial" w:eastAsia="Arial" w:hAnsi="Arial"/>
                <w:sz w:val="18"/>
                <w:szCs w:val="18"/>
                <w:color w:val="0000FF"/>
              </w:rPr>
              <w:t>VP-General Counsel &amp; Secretary</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03/25/2013</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w w:val="94"/>
              </w:rPr>
              <w:t>03/25/2013</w:t>
            </w:r>
            <w:r>
              <w:rPr>
                <w:rFonts w:ascii="Arial" w:cs="Arial" w:eastAsia="Arial" w:hAnsi="Arial"/>
                <w:sz w:val="22"/>
                <w:szCs w:val="22"/>
                <w:color w:val="008000"/>
                <w:w w:val="94"/>
                <w:vertAlign w:val="superscript"/>
              </w:rPr>
              <w:t>(1)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194</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22.01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10,319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annual incremental vesting of a restricted stock award granted 3/23/2011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8"/>
              </w:rPr>
              <w:t>/s/ Scott C. Folkers</w:t>
            </w:r>
          </w:p>
        </w:tc>
        <w:tc>
          <w:tcPr>
            <w:tcW w:w="7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03/27/2013</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147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2019-12-16T08:21:28Z</dcterms:created>
  <dcterms:modified xsi:type="dcterms:W3CDTF">2019-12-16T08:21:28Z</dcterms:modified>
</cp:coreProperties>
</file>