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74" w:lineRule="exact"/>
        <w:rPr>
          <w:sz w:val="24"/>
          <w:szCs w:val="24"/>
          <w:color w:val="auto"/>
        </w:rPr>
      </w:pPr>
    </w:p>
    <w:p>
      <w:pPr>
        <w:ind w:left="60"/>
        <w:spacing w:after="0"/>
        <w:rPr>
          <w:sz w:val="20"/>
          <w:szCs w:val="20"/>
          <w:color w:val="auto"/>
        </w:rPr>
      </w:pPr>
      <w:r>
        <w:rPr>
          <w:rFonts w:ascii="Arial" w:cs="Arial" w:eastAsia="Arial" w:hAnsi="Arial"/>
          <w:sz w:val="16"/>
          <w:szCs w:val="16"/>
          <w:color w:val="auto"/>
        </w:rPr>
        <w:t>(Mark One)</w:t>
      </w:r>
    </w:p>
    <w:p>
      <w:pPr>
        <w:spacing w:after="0" w:line="50"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54" w:lineRule="exact"/>
        <w:rPr>
          <w:sz w:val="24"/>
          <w:szCs w:val="24"/>
          <w:color w:val="auto"/>
        </w:rPr>
      </w:pPr>
    </w:p>
    <w:p>
      <w:pPr>
        <w:ind w:right="2620" w:firstLine="315"/>
        <w:spacing w:after="0" w:line="36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February 28, 2026</w:t>
      </w:r>
    </w:p>
    <w:p>
      <w:pPr>
        <w:jc w:val="center"/>
        <w:ind w:right="60"/>
        <w:spacing w:after="0"/>
        <w:rPr>
          <w:sz w:val="20"/>
          <w:szCs w:val="20"/>
          <w:color w:val="auto"/>
        </w:rPr>
      </w:pPr>
      <w:r>
        <w:rPr>
          <w:rFonts w:ascii="Arial" w:cs="Arial" w:eastAsia="Arial" w:hAnsi="Arial"/>
          <w:sz w:val="16"/>
          <w:szCs w:val="16"/>
          <w:color w:val="auto"/>
        </w:rPr>
        <w:t>or</w:t>
      </w:r>
    </w:p>
    <w:p>
      <w:pPr>
        <w:spacing w:after="0" w:line="86" w:lineRule="exact"/>
        <w:rPr>
          <w:sz w:val="24"/>
          <w:szCs w:val="24"/>
          <w:color w:val="auto"/>
        </w:rPr>
      </w:pPr>
    </w:p>
    <w:p>
      <w:pPr>
        <w:ind w:left="280" w:right="2680" w:hanging="254"/>
        <w:spacing w:after="0" w:line="352"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72390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720" w:type="dxa"/>
            <w:vAlign w:val="bottom"/>
            <w:gridSpan w:val="5"/>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1"/>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8"/>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1"/>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208"/>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60" w:type="dxa"/>
            <w:vAlign w:val="bottom"/>
            <w:gridSpan w:val="6"/>
          </w:tcPr>
          <w:p>
            <w:pPr>
              <w:jc w:val="center"/>
              <w:ind w:left="219"/>
              <w:spacing w:after="0"/>
              <w:rPr>
                <w:sz w:val="20"/>
                <w:szCs w:val="20"/>
                <w:color w:val="auto"/>
              </w:rPr>
            </w:pPr>
            <w:r>
              <w:rPr>
                <w:rFonts w:ascii="Arial" w:cs="Arial" w:eastAsia="Arial" w:hAnsi="Arial"/>
                <w:sz w:val="16"/>
                <w:szCs w:val="16"/>
                <w:color w:val="auto"/>
              </w:rPr>
              <w:t>(Registrant's telephone number, including area code)</w:t>
            </w:r>
          </w:p>
        </w:tc>
        <w:tc>
          <w:tcPr>
            <w:tcW w:w="2260" w:type="dxa"/>
            <w:vAlign w:val="bottom"/>
          </w:tcPr>
          <w:p>
            <w:pPr>
              <w:spacing w:after="0"/>
              <w:rPr>
                <w:sz w:val="18"/>
                <w:szCs w:val="18"/>
                <w:color w:val="auto"/>
              </w:rPr>
            </w:pPr>
          </w:p>
        </w:tc>
      </w:tr>
      <w:tr>
        <w:trPr>
          <w:trHeight w:val="512"/>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
        </w:trPr>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2"/>
          </w:tcPr>
          <w:p>
            <w:pPr>
              <w:spacing w:after="0"/>
              <w:rPr>
                <w:sz w:val="2"/>
                <w:szCs w:val="2"/>
                <w:color w:val="auto"/>
              </w:rPr>
            </w:pPr>
          </w:p>
        </w:tc>
      </w:tr>
      <w:tr>
        <w:trPr>
          <w:trHeight w:val="209"/>
        </w:trPr>
        <w:tc>
          <w:tcPr>
            <w:tcW w:w="1720" w:type="dxa"/>
            <w:vAlign w:val="bottom"/>
            <w:tcBorders>
              <w:left w:val="single" w:sz="8" w:color="auto"/>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4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24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As of March 18, 2026, there were 28,265,787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February 28, 2026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sz w:val="20"/>
                <w:szCs w:val="20"/>
                <w:color w:val="auto"/>
              </w:rPr>
            </w:pPr>
            <w:r>
              <w:rPr>
                <w:rFonts w:ascii="Arial" w:cs="Arial" w:eastAsia="Arial" w:hAnsi="Arial"/>
                <w:sz w:val="16"/>
                <w:szCs w:val="16"/>
                <w:b w:val="1"/>
                <w:bCs w:val="1"/>
                <w:color w:val="0000FF"/>
              </w:rPr>
              <w:t>PART I.</w:t>
            </w:r>
          </w:p>
        </w:tc>
        <w:tc>
          <w:tcPr>
            <w:tcW w:w="6360" w:type="dxa"/>
            <w:vAlign w:val="bottom"/>
            <w:gridSpan w:val="17"/>
          </w:tcPr>
          <w:p>
            <w:pPr>
              <w:spacing w:after="0"/>
              <w:rPr>
                <w:sz w:val="20"/>
                <w:szCs w:val="20"/>
                <w:color w:val="auto"/>
              </w:rPr>
            </w:pPr>
            <w:r>
              <w:rPr>
                <w:rFonts w:ascii="Arial" w:cs="Arial" w:eastAsia="Arial" w:hAnsi="Arial"/>
                <w:sz w:val="16"/>
                <w:szCs w:val="16"/>
                <w:b w:val="1"/>
                <w:bCs w:val="1"/>
                <w:color w:val="0000FF"/>
              </w:rPr>
              <w:t>FINANCIAL INFORMATION</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20"/>
                <w:szCs w:val="20"/>
                <w:color w:val="auto"/>
              </w:rPr>
            </w:pPr>
            <w:r>
              <w:rPr>
                <w:rFonts w:ascii="Arial" w:cs="Arial" w:eastAsia="Arial" w:hAnsi="Arial"/>
                <w:sz w:val="16"/>
                <w:szCs w:val="16"/>
                <w:color w:val="0000FF"/>
                <w:w w:val="93"/>
              </w:rPr>
              <w:t>Item 1.</w:t>
            </w:r>
          </w:p>
        </w:tc>
        <w:tc>
          <w:tcPr>
            <w:tcW w:w="460" w:type="dxa"/>
            <w:vAlign w:val="bottom"/>
            <w:gridSpan w:val="3"/>
          </w:tcPr>
          <w:p>
            <w:pPr>
              <w:spacing w:after="0"/>
              <w:rPr>
                <w:sz w:val="17"/>
                <w:szCs w:val="17"/>
                <w:color w:val="auto"/>
              </w:rPr>
            </w:pPr>
          </w:p>
        </w:tc>
        <w:tc>
          <w:tcPr>
            <w:tcW w:w="6360" w:type="dxa"/>
            <w:vAlign w:val="bottom"/>
            <w:gridSpan w:val="17"/>
          </w:tcPr>
          <w:p>
            <w:pPr>
              <w:spacing w:after="0"/>
              <w:rPr>
                <w:sz w:val="20"/>
                <w:szCs w:val="20"/>
                <w:color w:val="auto"/>
              </w:rPr>
            </w:pPr>
            <w:r>
              <w:rPr>
                <w:rFonts w:ascii="Arial" w:cs="Arial" w:eastAsia="Arial" w:hAnsi="Arial"/>
                <w:sz w:val="16"/>
                <w:szCs w:val="16"/>
                <w:color w:val="0000FF"/>
              </w:rPr>
              <w:t>Consolidated Financial Statements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9"/>
          </w:tcPr>
          <w:p>
            <w:pPr>
              <w:spacing w:after="0"/>
              <w:rPr>
                <w:sz w:val="20"/>
                <w:szCs w:val="20"/>
                <w:color w:val="auto"/>
              </w:rPr>
            </w:pPr>
            <w:r>
              <w:rPr>
                <w:rFonts w:ascii="Arial" w:cs="Arial" w:eastAsia="Arial" w:hAnsi="Arial"/>
                <w:sz w:val="16"/>
                <w:szCs w:val="16"/>
                <w:color w:val="0000FF"/>
              </w:rPr>
              <w:t>Consolidated Statements of Income</w:t>
            </w:r>
          </w:p>
        </w:tc>
        <w:tc>
          <w:tcPr>
            <w:tcW w:w="3600" w:type="dxa"/>
            <w:vAlign w:val="bottom"/>
            <w:gridSpan w:val="6"/>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sz w:val="20"/>
                <w:szCs w:val="20"/>
                <w:color w:val="auto"/>
              </w:rPr>
            </w:pPr>
            <w:r>
              <w:rPr>
                <w:rFonts w:ascii="Arial" w:cs="Arial" w:eastAsia="Arial" w:hAnsi="Arial"/>
                <w:sz w:val="16"/>
                <w:szCs w:val="16"/>
                <w:color w:val="0000FF"/>
              </w:rPr>
              <w:t>Consolidated Balance Sheets</w:t>
            </w:r>
          </w:p>
        </w:tc>
        <w:tc>
          <w:tcPr>
            <w:tcW w:w="440" w:type="dxa"/>
            <w:vAlign w:val="bottom"/>
            <w:gridSpan w:val="2"/>
          </w:tcPr>
          <w:p>
            <w:pPr>
              <w:spacing w:after="0"/>
              <w:rPr>
                <w:sz w:val="17"/>
                <w:szCs w:val="17"/>
                <w:color w:val="auto"/>
              </w:rPr>
            </w:pPr>
          </w:p>
        </w:tc>
        <w:tc>
          <w:tcPr>
            <w:tcW w:w="3600" w:type="dxa"/>
            <w:vAlign w:val="bottom"/>
            <w:gridSpan w:val="6"/>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0"/>
          </w:tcPr>
          <w:p>
            <w:pPr>
              <w:spacing w:after="0"/>
              <w:rPr>
                <w:sz w:val="20"/>
                <w:szCs w:val="20"/>
                <w:color w:val="auto"/>
              </w:rPr>
            </w:pPr>
            <w:r>
              <w:rPr>
                <w:rFonts w:ascii="Arial" w:cs="Arial" w:eastAsia="Arial" w:hAnsi="Arial"/>
                <w:sz w:val="16"/>
                <w:szCs w:val="16"/>
                <w:color w:val="0000FF"/>
              </w:rPr>
              <w:t>Consolidated Statements of Cash Flows</w:t>
            </w:r>
          </w:p>
        </w:tc>
        <w:tc>
          <w:tcPr>
            <w:tcW w:w="3280" w:type="dxa"/>
            <w:vAlign w:val="bottom"/>
            <w:gridSpan w:val="5"/>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gridSpan w:val="15"/>
          </w:tcPr>
          <w:p>
            <w:pPr>
              <w:spacing w:after="0"/>
              <w:rPr>
                <w:sz w:val="20"/>
                <w:szCs w:val="20"/>
                <w:color w:val="auto"/>
              </w:rPr>
            </w:pPr>
            <w:r>
              <w:rPr>
                <w:rFonts w:ascii="Arial" w:cs="Arial" w:eastAsia="Arial" w:hAnsi="Arial"/>
                <w:sz w:val="16"/>
                <w:szCs w:val="16"/>
                <w:color w:val="0000FF"/>
              </w:rPr>
              <w:t>Consolidated Statements of Changes in Shareholders' Equity</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6</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0000FF"/>
              </w:rPr>
              <w:t>Notes to Consolidated Financial Statements</w:t>
            </w:r>
          </w:p>
        </w:tc>
        <w:tc>
          <w:tcPr>
            <w:tcW w:w="1780" w:type="dxa"/>
            <w:vAlign w:val="bottom"/>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8</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636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22</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6360" w:type="dxa"/>
            <w:vAlign w:val="bottom"/>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32</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6360" w:type="dxa"/>
            <w:vAlign w:val="bottom"/>
            <w:gridSpan w:val="17"/>
          </w:tcPr>
          <w:p>
            <w:pPr>
              <w:spacing w:after="0"/>
              <w:rPr>
                <w:sz w:val="20"/>
                <w:szCs w:val="20"/>
                <w:color w:val="auto"/>
              </w:rPr>
            </w:pPr>
            <w:r>
              <w:rPr>
                <w:rFonts w:ascii="Arial" w:cs="Arial" w:eastAsia="Arial" w:hAnsi="Arial"/>
                <w:sz w:val="16"/>
                <w:szCs w:val="16"/>
                <w:color w:val="0000FF"/>
              </w:rPr>
              <w:t>Controls and Procedures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32</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w:t>
            </w:r>
          </w:p>
        </w:tc>
        <w:tc>
          <w:tcPr>
            <w:tcW w:w="340" w:type="dxa"/>
            <w:vAlign w:val="bottom"/>
          </w:tcPr>
          <w:p>
            <w:pPr>
              <w:spacing w:after="0"/>
              <w:rPr>
                <w:sz w:val="24"/>
                <w:szCs w:val="24"/>
                <w:color w:val="auto"/>
              </w:rPr>
            </w:pP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OTHER INFORMATION</w:t>
            </w:r>
          </w:p>
        </w:tc>
        <w:tc>
          <w:tcPr>
            <w:tcW w:w="4580" w:type="dxa"/>
            <w:vAlign w:val="bottom"/>
            <w:gridSpan w:val="10"/>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33</w:t>
            </w: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w:t>
            </w:r>
          </w:p>
        </w:tc>
        <w:tc>
          <w:tcPr>
            <w:tcW w:w="360" w:type="dxa"/>
            <w:vAlign w:val="bottom"/>
            <w:gridSpan w:val="2"/>
          </w:tcPr>
          <w:p>
            <w:pPr>
              <w:spacing w:after="0"/>
              <w:rPr>
                <w:sz w:val="17"/>
                <w:szCs w:val="17"/>
                <w:color w:val="auto"/>
              </w:rPr>
            </w:pP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9"/>
              </w:rPr>
              <w:t>Legal Proceedings</w:t>
            </w:r>
          </w:p>
        </w:tc>
        <w:tc>
          <w:tcPr>
            <w:tcW w:w="5020" w:type="dxa"/>
            <w:vAlign w:val="bottom"/>
            <w:gridSpan w:val="11"/>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6360" w:type="dxa"/>
            <w:vAlign w:val="bottom"/>
            <w:gridSpan w:val="17"/>
          </w:tcPr>
          <w:p>
            <w:pPr>
              <w:spacing w:after="0"/>
              <w:rPr>
                <w:sz w:val="20"/>
                <w:szCs w:val="20"/>
                <w:color w:val="auto"/>
              </w:rPr>
            </w:pPr>
            <w:r>
              <w:rPr>
                <w:rFonts w:ascii="Arial" w:cs="Arial" w:eastAsia="Arial" w:hAnsi="Arial"/>
                <w:sz w:val="16"/>
                <w:szCs w:val="16"/>
                <w:color w:val="0000FF"/>
              </w:rPr>
              <w:t>Risk Factors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60" w:type="dxa"/>
            <w:vAlign w:val="bottom"/>
            <w:gridSpan w:val="2"/>
          </w:tcPr>
          <w:p>
            <w:pPr>
              <w:spacing w:after="0"/>
              <w:rPr>
                <w:sz w:val="17"/>
                <w:szCs w:val="17"/>
                <w:color w:val="auto"/>
              </w:rPr>
            </w:pPr>
          </w:p>
        </w:tc>
        <w:tc>
          <w:tcPr>
            <w:tcW w:w="6360" w:type="dxa"/>
            <w:vAlign w:val="bottom"/>
            <w:gridSpan w:val="1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100" w:type="dxa"/>
            <w:vAlign w:val="bottom"/>
            <w:gridSpan w:val="10"/>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6360" w:type="dxa"/>
            <w:vAlign w:val="bottom"/>
            <w:gridSpan w:val="17"/>
          </w:tcPr>
          <w:p>
            <w:pPr>
              <w:spacing w:after="0"/>
              <w:rPr>
                <w:sz w:val="20"/>
                <w:szCs w:val="20"/>
                <w:color w:val="auto"/>
              </w:rPr>
            </w:pPr>
            <w:r>
              <w:rPr>
                <w:rFonts w:ascii="Arial" w:cs="Arial" w:eastAsia="Arial" w:hAnsi="Arial"/>
                <w:sz w:val="16"/>
                <w:szCs w:val="16"/>
                <w:color w:val="0000FF"/>
              </w:rPr>
              <w:t>Other Information</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636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0" w:type="dxa"/>
            <w:vAlign w:val="bottom"/>
            <w:gridSpan w:val="1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b w:val="1"/>
                <w:bCs w:val="1"/>
                <w:color w:val="0000FF"/>
                <w:w w:val="99"/>
              </w:rPr>
              <w:t>SIGNATURES</w:t>
            </w:r>
          </w:p>
        </w:tc>
        <w:tc>
          <w:tcPr>
            <w:tcW w:w="6260" w:type="dxa"/>
            <w:vAlign w:val="bottom"/>
            <w:gridSpan w:val="16"/>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43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918"/>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4"/>
        </w:trPr>
        <w:tc>
          <w:tcPr>
            <w:tcW w:w="1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32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1, 2025</w:t>
            </w:r>
          </w:p>
        </w:tc>
      </w:tr>
      <w:tr>
        <w:trPr>
          <w:trHeight w:val="209"/>
        </w:trPr>
        <w:tc>
          <w:tcPr>
            <w:tcW w:w="4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1,245.8</w:t>
            </w:r>
          </w:p>
        </w:tc>
      </w:tr>
      <w:tr>
        <w:trPr>
          <w:trHeight w:val="215"/>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w:t>
            </w:r>
          </w:p>
        </w:tc>
      </w:tr>
      <w:tr>
        <w:trPr>
          <w:trHeight w:val="21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r>
      <w:tr>
        <w:trPr>
          <w:trHeight w:val="209"/>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17"/>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9"/>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r>
      <w:tr>
        <w:trPr>
          <w:trHeight w:val="21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7"/>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1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4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
        </w:trPr>
        <w:tc>
          <w:tcPr>
            <w:tcW w:w="4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434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7"/>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56"/>
        </w:trPr>
        <w:tc>
          <w:tcPr>
            <w:tcW w:w="4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434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7"/>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August 30, 2025</w:t>
            </w:r>
          </w:p>
        </w:tc>
      </w:tr>
      <w:tr>
        <w:trPr>
          <w:trHeight w:val="197"/>
        </w:trPr>
        <w:tc>
          <w:tcPr>
            <w:tcW w:w="7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(Unaudited)</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2"/>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9"/>
        </w:trPr>
        <w:tc>
          <w:tcPr>
            <w:tcW w:w="77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174.0</w:t>
            </w:r>
          </w:p>
        </w:tc>
      </w:tr>
      <w:tr>
        <w:trPr>
          <w:trHeight w:val="206"/>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less allowance for credit losses ($0.5 and $0.5, respectively)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r>
      <w:tr>
        <w:trPr>
          <w:trHeight w:val="199"/>
        </w:trPr>
        <w:tc>
          <w:tcPr>
            <w:tcW w:w="772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407.6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396.4</w:t>
            </w:r>
          </w:p>
        </w:tc>
      </w:tr>
      <w:tr>
        <w:trPr>
          <w:trHeight w:val="206"/>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192"/>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792.2</w:t>
            </w: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333.0</w:t>
            </w: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484.2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484.2</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456.9</w:t>
            </w: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Investment in life insurance</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r>
      <w:tr>
        <w:trPr>
          <w:trHeight w:val="22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2,051.5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2,154.4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Product warranties</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72.9</w:t>
            </w: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Self-insurance</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Promotional</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interest and dividends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98"/>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r>
      <w:tr>
        <w:trPr>
          <w:trHeight w:val="200"/>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327.1</w:t>
            </w:r>
          </w:p>
        </w:tc>
      </w:tr>
      <w:tr>
        <w:trPr>
          <w:trHeight w:val="178"/>
        </w:trPr>
        <w:tc>
          <w:tcPr>
            <w:tcW w:w="7720" w:type="dxa"/>
            <w:vAlign w:val="bottom"/>
          </w:tcPr>
          <w:p>
            <w:pPr>
              <w:ind w:left="40"/>
              <w:spacing w:after="0"/>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net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540.5</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Deferred income tax liabilities, net</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6"/>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Unrecognized tax benefits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Long-term operating lease liabilities</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39.3</w:t>
            </w: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 benefits, net of current portion</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8"/>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200"/>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929.7</w:t>
            </w:r>
          </w:p>
        </w:tc>
      </w:tr>
      <w:tr>
        <w:trPr>
          <w:trHeight w:val="178"/>
        </w:trPr>
        <w:tc>
          <w:tcPr>
            <w:tcW w:w="7720" w:type="dxa"/>
            <w:vAlign w:val="bottom"/>
          </w:tcPr>
          <w:p>
            <w:pPr>
              <w:ind w:left="20"/>
              <w:spacing w:after="0"/>
              <w:rPr>
                <w:sz w:val="20"/>
                <w:szCs w:val="20"/>
                <w:color w:val="auto"/>
              </w:rPr>
            </w:pPr>
            <w:r>
              <w:rPr>
                <w:rFonts w:ascii="Arial" w:cs="Arial" w:eastAsia="Arial" w:hAnsi="Arial"/>
                <w:sz w:val="14"/>
                <w:szCs w:val="14"/>
                <w:color w:val="auto"/>
              </w:rPr>
              <w:t>Contingent liabilities and commitments (Note 9)</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Preferred stock, par value $0.01: 10.0 shares authorized; zero shares issued and outstanding</w:t>
            </w:r>
          </w:p>
        </w:tc>
        <w:tc>
          <w:tcPr>
            <w:tcW w:w="1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par value $0.50: 120.0 shares authorized; 51.8 shares issued</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208.4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203.3</w:t>
            </w:r>
          </w:p>
        </w:tc>
      </w:tr>
      <w:tr>
        <w:trPr>
          <w:trHeight w:val="206"/>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w:t>
            </w:r>
          </w:p>
        </w:tc>
      </w:tr>
      <w:tr>
        <w:trPr>
          <w:trHeight w:val="198"/>
        </w:trPr>
        <w:tc>
          <w:tcPr>
            <w:tcW w:w="772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23.6 and 23.8 shares, respectively</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(714.1)</w:t>
            </w:r>
          </w:p>
        </w:tc>
      </w:tr>
      <w:tr>
        <w:trPr>
          <w:trHeight w:val="195"/>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b w:val="1"/>
                <w:bCs w:val="1"/>
                <w:color w:val="auto"/>
              </w:rPr>
              <w:t>Total shareholders' equity</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1,235.1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1,224.7</w:t>
            </w:r>
          </w:p>
        </w:tc>
      </w:tr>
      <w:tr>
        <w:trPr>
          <w:trHeight w:val="22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2,051.5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2,154.4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197"/>
        </w:trPr>
        <w:tc>
          <w:tcPr>
            <w:tcW w:w="7680" w:type="dxa"/>
            <w:vAlign w:val="bottom"/>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28, 2026</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March 1, 2025</w:t>
            </w:r>
          </w:p>
        </w:tc>
      </w:tr>
      <w:tr>
        <w:trPr>
          <w:trHeight w:val="197"/>
        </w:trPr>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198"/>
        </w:trPr>
        <w:tc>
          <w:tcPr>
            <w:tcW w:w="768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7"/>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7"/>
        </w:trPr>
        <w:tc>
          <w:tcPr>
            <w:tcW w:w="7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7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Last in, first-out ("LIFO") expense</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7"/>
        </w:trPr>
        <w:tc>
          <w:tcPr>
            <w:tcW w:w="7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Loss on note repurchase</w:t>
            </w:r>
          </w:p>
        </w:tc>
        <w:tc>
          <w:tcPr>
            <w:tcW w:w="16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7"/>
        </w:trPr>
        <w:tc>
          <w:tcPr>
            <w:tcW w:w="7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Restructuring and related costs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7"/>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07"/>
        </w:trPr>
        <w:tc>
          <w:tcPr>
            <w:tcW w:w="7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 net</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7"/>
        </w:trPr>
        <w:tc>
          <w:tcPr>
            <w:tcW w:w="7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7680" w:type="dxa"/>
            <w:vAlign w:val="bottom"/>
          </w:tcPr>
          <w:p>
            <w:pPr>
              <w:ind w:left="200"/>
              <w:spacing w:after="0"/>
              <w:rPr>
                <w:sz w:val="20"/>
                <w:szCs w:val="20"/>
                <w:color w:val="auto"/>
              </w:rPr>
            </w:pPr>
            <w:r>
              <w:rPr>
                <w:rFonts w:ascii="Arial" w:cs="Arial" w:eastAsia="Arial" w:hAnsi="Arial"/>
                <w:sz w:val="14"/>
                <w:szCs w:val="14"/>
                <w:color w:val="auto"/>
              </w:rPr>
              <w:t>Income taxes and unrecognized tax benefits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6"/>
        </w:trPr>
        <w:tc>
          <w:tcPr>
            <w:tcW w:w="7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95"/>
        </w:trPr>
        <w:tc>
          <w:tcPr>
            <w:tcW w:w="7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w:t>
            </w:r>
          </w:p>
        </w:tc>
      </w:tr>
      <w:tr>
        <w:trPr>
          <w:trHeight w:val="197"/>
        </w:trPr>
        <w:tc>
          <w:tcPr>
            <w:tcW w:w="7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Purchases of property, plant, and equipment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Proceeds from sale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Borrowings on long-term debt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Payments of cash dividends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Payments for 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Income taxes paid, net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Capital expenditures in accounts payable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Increase in lease assets in exchange for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Operating leases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Finance leases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03"/>
        </w:trPr>
        <w:tc>
          <w:tcPr>
            <w:tcW w:w="6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w:t>
            </w:r>
          </w:p>
        </w:tc>
      </w:tr>
      <w:tr>
        <w:trPr>
          <w:trHeight w:val="594"/>
        </w:trPr>
        <w:tc>
          <w:tcPr>
            <w:tcW w:w="6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(100.5)</w:t>
            </w:r>
          </w:p>
        </w:tc>
      </w:tr>
      <w:tr>
        <w:trPr>
          <w:trHeight w:val="203"/>
        </w:trPr>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02"/>
        </w:trPr>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207"/>
        </w:trPr>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(121.4)</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(173.0)</w:t>
            </w:r>
          </w:p>
        </w:tc>
      </w:tr>
      <w:tr>
        <w:trPr>
          <w:trHeight w:val="391"/>
        </w:trPr>
        <w:tc>
          <w:tcPr>
            <w:tcW w:w="6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(215.4)</w:t>
            </w:r>
          </w:p>
        </w:tc>
      </w:tr>
      <w:tr>
        <w:trPr>
          <w:trHeight w:val="207"/>
        </w:trPr>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174.0</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w:t>
            </w:r>
          </w:p>
        </w:tc>
      </w:tr>
      <w:tr>
        <w:trPr>
          <w:trHeight w:val="196"/>
        </w:trPr>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r>
      <w:tr>
        <w:trPr>
          <w:trHeight w:val="25"/>
        </w:trPr>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80"/>
        </w:trPr>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3"/>
        </w:trPr>
        <w:tc>
          <w:tcPr>
            <w:tcW w:w="6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621"/>
        </w:trPr>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405"/>
        </w:trPr>
        <w:tc>
          <w:tcPr>
            <w:tcW w:w="6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2"/>
        </w:trPr>
        <w:tc>
          <w:tcPr>
            <w:tcW w:w="6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r>
    </w:tbl>
    <w:p>
      <w:pPr>
        <w:spacing w:after="0" w:line="129" w:lineRule="exact"/>
        <w:rPr>
          <w:sz w:val="20"/>
          <w:szCs w:val="20"/>
          <w:color w:val="auto"/>
        </w:rPr>
      </w:pPr>
    </w:p>
    <w:p>
      <w:pPr>
        <w:sectPr>
          <w:pgSz w:w="11900" w:h="16838" w:orient="portrait"/>
          <w:cols w:equalWidth="0" w:num="2">
            <w:col w:w="7000" w:space="720"/>
            <w:col w:w="3500"/>
          </w:cols>
          <w:pgMar w:left="320" w:top="125" w:right="359" w:bottom="1440" w:gutter="0" w:footer="0" w:header="0"/>
          <w:type w:val="continuous"/>
        </w:sect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February 28, 2026</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November 29, 2025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(710.3)</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1,233.6</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Common stock dividends; $0.35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February 28, 2026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1,235.1</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March 1, 2025</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November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1,240.2</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Common stock dividends; $0.34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1, 2025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(716.2)</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February 28, 2026</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30, 2025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1,224.7</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Common stock dividends; $0.35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February 28, 2026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1,235.1</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March 1, 2025</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1,273.3</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(53.6)</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Common stock dividends; $0.34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1, 2025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(716.2)</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millions, except share and per share data, unless otherwise designated)</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wholly-owned subsidiaries. Intercompany account balances and transactions have been eliminated in consolidation.</w:t>
      </w:r>
    </w:p>
    <w:p>
      <w:pPr>
        <w:spacing w:after="0" w:line="196"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30, 2025 filed with the SEC. Interim results of operations are not necessarily indicative of the results to be expected for the full fiscal year ending August 29, 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Comprehensive income represents the change in shareholders’ equity from transactions and other events and circumstances from sources other than shareholders. As of February 28, 2026 and March 1, 2025, the difference between comprehensive income and net income was not material.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2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In September 2025, the Financial Accounting Standards Board ("FASB") issued Accounting Standards Update ("ASU") 2025-06, </w:t>
      </w:r>
      <w:r>
        <w:rPr>
          <w:rFonts w:ascii="Arial" w:cs="Arial" w:eastAsia="Arial" w:hAnsi="Arial"/>
          <w:sz w:val="16"/>
          <w:szCs w:val="16"/>
          <w:i w:val="1"/>
          <w:iCs w:val="1"/>
          <w:color w:val="auto"/>
        </w:rPr>
        <w:t>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Other—Internal-Use Software (Subtopic 350-40): Targeted Improvements to the Accounting for Internal-Use Software</w:t>
      </w:r>
      <w:r>
        <w:rPr>
          <w:rFonts w:ascii="Arial" w:cs="Arial" w:eastAsia="Arial" w:hAnsi="Arial"/>
          <w:sz w:val="16"/>
          <w:szCs w:val="16"/>
          <w:color w:val="auto"/>
        </w:rPr>
        <w:t>, which removes all references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new guidance is effective for annual reporting periods beginning after December 15, 2027,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27, 2028 and filings thereafter.</w:t>
      </w:r>
    </w:p>
    <w:p>
      <w:pPr>
        <w:spacing w:after="0" w:line="21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In November 2024, the FASB issued ASU 2024-04, </w:t>
      </w:r>
      <w:r>
        <w:rPr>
          <w:rFonts w:ascii="Arial" w:cs="Arial" w:eastAsia="Arial" w:hAnsi="Arial"/>
          <w:sz w:val="16"/>
          <w:szCs w:val="16"/>
          <w:i w:val="1"/>
          <w:iCs w:val="1"/>
          <w:color w:val="auto"/>
        </w:rPr>
        <w:t>Debt—Debt with Conversion and Other Options (Subtopic 470-20): Induced Conversions of 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Debt Instruments</w:t>
      </w:r>
      <w:r>
        <w:rPr>
          <w:rFonts w:ascii="Arial" w:cs="Arial" w:eastAsia="Arial" w:hAnsi="Arial"/>
          <w:sz w:val="16"/>
          <w:szCs w:val="16"/>
          <w:color w:val="auto"/>
        </w:rPr>
        <w:t>, which clarifies the assessment of whether certain settlements of convertible debt instruments should be accounted for as an inducement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30, 2026 and filings thereafter.</w:t>
      </w: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disclosure of additional disaggregated information about significant expenses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which requires expanded disclosures primarily related to the effective tax rate reconciliation and income taxes paid. The new guidance is effective for annual reporting periods beginning after December 15, 2024, with early adoption permitted. We are currently evaluating the impact of the standard on our consolidated financial statements and related disclosures. We will adopt the standard in our Annual Report on Form 10-K for our fiscal year ending August 29, 2026 and annual filings thereafter.</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Segments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operating income, as defined below.</w:t>
      </w: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three 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motorized chassis, along with other related manufactured products and services. Marine is comprised of products that include boats, along with other related manufactured products and services.</w:t>
      </w:r>
    </w:p>
    <w:p>
      <w:pPr>
        <w:spacing w:after="0" w:line="20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Corporate / All Other category includes the Winnebago specialty vehicles and Lithionics operating segments as well as certain corporate administration expenses, such as corporate leadership and administration costs. None of these operating segments have ever met any of the quantitative thresholds for determining reportable segments.</w:t>
      </w:r>
    </w:p>
    <w:p>
      <w:pPr>
        <w:spacing w:after="0" w:line="20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Chief Executive Officer, who serves as the Chief Operating Decision Maker ("CODM"), regularly reviews consolidated financial results in their entirety and operating segment financial information through operating income and has ultimate responsibility for enterprise decisions. Our CODM is responsible for allocating resources and assessing the performance of the consolidated enterprise and operating segments by reviewing budget to actual comparisons within the financial package regularly provided to him. Each operating segment is allocated resources, and segment management is responsible for operating decisions and assessing performance within their respective operating segment. Capital is allocated to each operating segment by the CODM based on factors such as business size, operating segment performance (measured by operating income), strategic initiatives of both the operating segment and the enterprise, and the total available capital of the consolidated enterprise. The accounting policies of all reportable segments are the same as those described in Note 1 in the Notes to Consolidated Financial Statements included in Item 8 of Part II of our Annual Report on Form 10-K for the fiscal year ended August 30, 2025.</w:t>
      </w:r>
    </w:p>
    <w:p>
      <w:pPr>
        <w:spacing w:after="0" w:line="204"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monitor and evaluate the operating performance of our reportable segments based on operating income. Operating income is defined as net revenues less cost of goods sold (“COGS”) and selling, general, and administrative expenses (“SG&amp;A”).</w:t>
      </w:r>
    </w:p>
    <w:p>
      <w:pPr>
        <w:spacing w:after="0" w:line="16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Net sales and significant expense categories included in operating income by reportable segment as well as a reconciliation to consolidated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February 28, 2026</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Towable RV</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Motorhome RV</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Marine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Segment Total</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657.4</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7"/>
                <w:szCs w:val="17"/>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564.6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Selling, general, and administrative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86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note repurchase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Non-operating income</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See Note 10 in the Notes to Consolidated Financial Statements for more information on segment revenues.</w:t>
      </w:r>
    </w:p>
    <w:p>
      <w:pPr>
        <w:spacing w:after="0" w:line="32" w:lineRule="exact"/>
        <w:rPr>
          <w:rFonts w:ascii="Arial" w:cs="Arial" w:eastAsia="Arial" w:hAnsi="Arial"/>
          <w:sz w:val="16"/>
          <w:szCs w:val="16"/>
          <w:color w:val="auto"/>
          <w:vertAlign w:val="superscript"/>
        </w:rPr>
      </w:pPr>
    </w:p>
    <w:p>
      <w:pPr>
        <w:ind w:left="20" w:right="200" w:firstLine="6"/>
        <w:spacing w:after="0"/>
        <w:tabs>
          <w:tab w:leader="none" w:pos="16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Includes compensation for non-production employees, selling and marketing expenses, depreciation and amortization on non-production assets, professional services, and other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-247650</wp:posOffset>
            </wp:positionV>
            <wp:extent cx="8483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1, 2025</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Towable RV</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Motorhome RV</w:t>
            </w:r>
          </w:p>
        </w:tc>
        <w:tc>
          <w:tcPr>
            <w:tcW w:w="140" w:type="dxa"/>
            <w:vAlign w:val="bottom"/>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Marine</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Segment Total</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249.5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Selling, general, and administrative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note repurchase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Non-operating income</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 w:hanging="134"/>
        <w:spacing w:after="0"/>
        <w:tabs>
          <w:tab w:leader="none" w:pos="16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See Note 10 in the Notes to Consolidated Financial Statements for more information on segment revenues.</w:t>
      </w:r>
    </w:p>
    <w:p>
      <w:pPr>
        <w:spacing w:after="0" w:line="32" w:lineRule="exact"/>
        <w:rPr>
          <w:rFonts w:ascii="Arial" w:cs="Arial" w:eastAsia="Arial" w:hAnsi="Arial"/>
          <w:sz w:val="16"/>
          <w:szCs w:val="16"/>
          <w:color w:val="auto"/>
          <w:vertAlign w:val="superscript"/>
        </w:rPr>
      </w:pPr>
    </w:p>
    <w:p>
      <w:pPr>
        <w:ind w:left="20" w:right="200" w:firstLine="6"/>
        <w:spacing w:after="0"/>
        <w:tabs>
          <w:tab w:leader="none" w:pos="16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Includes compensation for non-production employees, selling and marketing expenses, depreciation and amortization on non-production assets, professional services, and other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-247650</wp:posOffset>
            </wp:positionV>
            <wp:extent cx="848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Six Months Ended February 28, 2026</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Towable RV</w:t>
            </w:r>
          </w:p>
        </w:tc>
        <w:tc>
          <w:tcPr>
            <w:tcW w:w="14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3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Marine</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Segment Total</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1,360.1</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485.4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541.7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1,173.0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Selling, general, and administrative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48.2</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note repurchase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9"/>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Non-operating income</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 w:hanging="134"/>
        <w:spacing w:after="0"/>
        <w:tabs>
          <w:tab w:leader="none" w:pos="16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See Note 10 in the Notes to Consolidated Financial Statements for more information on segment revenues.</w:t>
      </w:r>
    </w:p>
    <w:p>
      <w:pPr>
        <w:spacing w:after="0" w:line="32" w:lineRule="exact"/>
        <w:rPr>
          <w:rFonts w:ascii="Arial" w:cs="Arial" w:eastAsia="Arial" w:hAnsi="Arial"/>
          <w:sz w:val="16"/>
          <w:szCs w:val="16"/>
          <w:color w:val="auto"/>
          <w:vertAlign w:val="superscript"/>
        </w:rPr>
      </w:pPr>
    </w:p>
    <w:p>
      <w:pPr>
        <w:ind w:left="20" w:right="200" w:firstLine="6"/>
        <w:spacing w:after="0"/>
        <w:tabs>
          <w:tab w:leader="none" w:pos="16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Includes compensation for non-production employees, selling and marketing expenses, depreciation and amortization on non-production assets, professional services, and other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-247650</wp:posOffset>
            </wp:positionV>
            <wp:extent cx="8483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Six Months Ended March 1, 2025</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Towable RV</w:t>
            </w:r>
          </w:p>
        </w:tc>
        <w:tc>
          <w:tcPr>
            <w:tcW w:w="14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Motorhome RV</w:t>
            </w:r>
          </w:p>
        </w:tc>
        <w:tc>
          <w:tcPr>
            <w:tcW w:w="18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Marine</w:t>
            </w: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Segment Total</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Net revenues</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542.2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1,245.8</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468.3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457.7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Selling, general, and administrative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to income before income taxes: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8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note repurchase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Non-operating income</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 w:hanging="134"/>
        <w:spacing w:after="0"/>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See Note 10 in the Notes to Consolidated Financial Statements for more information on segment revenues.</w:t>
      </w:r>
    </w:p>
    <w:p>
      <w:pPr>
        <w:spacing w:after="0" w:line="32" w:lineRule="exact"/>
        <w:rPr>
          <w:rFonts w:ascii="Arial" w:cs="Arial" w:eastAsia="Arial" w:hAnsi="Arial"/>
          <w:sz w:val="16"/>
          <w:szCs w:val="16"/>
          <w:color w:val="auto"/>
          <w:vertAlign w:val="superscript"/>
        </w:rPr>
      </w:pPr>
    </w:p>
    <w:p>
      <w:pPr>
        <w:ind w:left="20" w:right="200" w:firstLine="6"/>
        <w:spacing w:after="0"/>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Includes compensation for non-production employees, selling and marketing expenses, depreciation and amortization on non-production assets, professional services, and other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-247650</wp:posOffset>
            </wp:positionV>
            <wp:extent cx="8483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Other financial information by reportable segment and corporate/all other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rPr>
              <w:t>Three Months Ended February 28, 2026</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Towable RV</w:t>
            </w:r>
          </w:p>
        </w:tc>
        <w:tc>
          <w:tcPr>
            <w:tcW w:w="14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Marine</w:t>
            </w:r>
          </w:p>
        </w:tc>
        <w:tc>
          <w:tcPr>
            <w:tcW w:w="1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Segment Total</w:t>
            </w:r>
          </w:p>
        </w:tc>
        <w:tc>
          <w:tcPr>
            <w:tcW w:w="1480" w:type="dxa"/>
            <w:vAlign w:val="bottom"/>
            <w:gridSpan w:val="5"/>
          </w:tcPr>
          <w:p>
            <w:pPr>
              <w:jc w:val="center"/>
              <w:ind w:right="10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2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 March 1, 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Towable RV</w:t>
            </w:r>
          </w:p>
        </w:tc>
        <w:tc>
          <w:tcPr>
            <w:tcW w:w="14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Marine</w:t>
            </w:r>
          </w:p>
        </w:tc>
        <w:tc>
          <w:tcPr>
            <w:tcW w:w="1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Segment Total</w:t>
            </w:r>
          </w:p>
        </w:tc>
        <w:tc>
          <w:tcPr>
            <w:tcW w:w="1480" w:type="dxa"/>
            <w:vAlign w:val="bottom"/>
            <w:gridSpan w:val="5"/>
          </w:tcPr>
          <w:p>
            <w:pPr>
              <w:jc w:val="center"/>
              <w:ind w:right="10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2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5"/>
        </w:trPr>
        <w:tc>
          <w:tcPr>
            <w:tcW w:w="2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Six Months Ended February 28, 2026</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Towable RV</w:t>
            </w:r>
          </w:p>
        </w:tc>
        <w:tc>
          <w:tcPr>
            <w:tcW w:w="14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Marine</w:t>
            </w:r>
          </w:p>
        </w:tc>
        <w:tc>
          <w:tcPr>
            <w:tcW w:w="1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Segment Total</w:t>
            </w:r>
          </w:p>
        </w:tc>
        <w:tc>
          <w:tcPr>
            <w:tcW w:w="1480" w:type="dxa"/>
            <w:vAlign w:val="bottom"/>
            <w:gridSpan w:val="5"/>
          </w:tcPr>
          <w:p>
            <w:pPr>
              <w:jc w:val="center"/>
              <w:ind w:right="10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2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Six Months Ended March 1, 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Towable RV</w:t>
            </w:r>
          </w:p>
        </w:tc>
        <w:tc>
          <w:tcPr>
            <w:tcW w:w="14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Motorhome RV</w:t>
            </w:r>
          </w:p>
        </w:tc>
        <w:tc>
          <w:tcPr>
            <w:tcW w:w="100" w:type="dxa"/>
            <w:vAlign w:val="bottom"/>
          </w:tcPr>
          <w:p>
            <w:pPr>
              <w:spacing w:after="0"/>
              <w:rPr>
                <w:sz w:val="12"/>
                <w:szCs w:val="12"/>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Marine</w:t>
            </w:r>
          </w:p>
        </w:tc>
        <w:tc>
          <w:tcPr>
            <w:tcW w:w="1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Segment Total</w:t>
            </w:r>
          </w:p>
        </w:tc>
        <w:tc>
          <w:tcPr>
            <w:tcW w:w="1480" w:type="dxa"/>
            <w:vAlign w:val="bottom"/>
            <w:gridSpan w:val="5"/>
          </w:tcPr>
          <w:p>
            <w:pPr>
              <w:jc w:val="center"/>
              <w:ind w:right="100"/>
              <w:spacing w:after="0" w:line="147" w:lineRule="exact"/>
              <w:rPr>
                <w:sz w:val="20"/>
                <w:szCs w:val="20"/>
                <w:color w:val="auto"/>
              </w:rPr>
            </w:pPr>
            <w:r>
              <w:rPr>
                <w:rFonts w:ascii="Arial" w:cs="Arial" w:eastAsia="Arial" w:hAnsi="Arial"/>
                <w:sz w:val="14"/>
                <w:szCs w:val="14"/>
                <w:b w:val="1"/>
                <w:bCs w:val="1"/>
                <w:color w:val="auto"/>
              </w:rPr>
              <w:t>Corporate / All</w:t>
            </w:r>
          </w:p>
        </w:tc>
        <w:tc>
          <w:tcPr>
            <w:tcW w:w="160" w:type="dxa"/>
            <w:vAlign w:val="bottom"/>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2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574"/>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4"/>
          </w:tcPr>
          <w:p>
            <w:pPr>
              <w:ind w:left="420"/>
              <w:spacing w:after="0"/>
              <w:rPr>
                <w:sz w:val="20"/>
                <w:szCs w:val="20"/>
                <w:color w:val="auto"/>
              </w:rPr>
            </w:pPr>
            <w:r>
              <w:rPr>
                <w:rFonts w:ascii="Arial" w:cs="Arial" w:eastAsia="Arial" w:hAnsi="Arial"/>
                <w:sz w:val="14"/>
                <w:szCs w:val="14"/>
                <w:b w:val="1"/>
                <w:bCs w:val="1"/>
                <w:color w:val="auto"/>
              </w:rPr>
              <w:t>February 28, 2026</w:t>
            </w:r>
          </w:p>
        </w:tc>
        <w:tc>
          <w:tcPr>
            <w:tcW w:w="200" w:type="dxa"/>
            <w:vAlign w:val="bottom"/>
          </w:tcPr>
          <w:p>
            <w:pPr>
              <w:spacing w:after="0"/>
              <w:rPr>
                <w:sz w:val="24"/>
                <w:szCs w:val="24"/>
                <w:color w:val="auto"/>
              </w:rPr>
            </w:pPr>
          </w:p>
        </w:tc>
        <w:tc>
          <w:tcPr>
            <w:tcW w:w="18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August 30, 2025</w:t>
            </w:r>
          </w:p>
        </w:tc>
        <w:tc>
          <w:tcPr>
            <w:tcW w:w="0" w:type="dxa"/>
            <w:vAlign w:val="bottom"/>
          </w:tcPr>
          <w:p>
            <w:pPr>
              <w:spacing w:after="0"/>
              <w:rPr>
                <w:sz w:val="1"/>
                <w:szCs w:val="1"/>
                <w:color w:val="auto"/>
              </w:rPr>
            </w:pPr>
          </w:p>
        </w:tc>
      </w:tr>
      <w:tr>
        <w:trPr>
          <w:trHeight w:val="197"/>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20" w:type="dxa"/>
            <w:vAlign w:val="bottom"/>
          </w:tcPr>
          <w:p>
            <w:pPr>
              <w:ind w:left="20"/>
              <w:spacing w:after="0"/>
              <w:rPr>
                <w:sz w:val="20"/>
                <w:szCs w:val="20"/>
                <w:color w:val="auto"/>
              </w:rPr>
            </w:pPr>
            <w:r>
              <w:rPr>
                <w:rFonts w:ascii="Arial" w:cs="Arial" w:eastAsia="Arial" w:hAnsi="Arial"/>
                <w:sz w:val="14"/>
                <w:szCs w:val="14"/>
                <w:color w:val="auto"/>
              </w:rPr>
              <w:t>Towable RV</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732.7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697.0</w:t>
            </w:r>
          </w:p>
        </w:tc>
        <w:tc>
          <w:tcPr>
            <w:tcW w:w="0" w:type="dxa"/>
            <w:vAlign w:val="bottom"/>
          </w:tcPr>
          <w:p>
            <w:pPr>
              <w:spacing w:after="0"/>
              <w:rPr>
                <w:sz w:val="1"/>
                <w:szCs w:val="1"/>
                <w:color w:val="auto"/>
              </w:rPr>
            </w:pPr>
          </w:p>
        </w:tc>
      </w:tr>
      <w:tr>
        <w:trPr>
          <w:trHeight w:val="20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Motorhome RV</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795.7</w:t>
            </w:r>
          </w:p>
        </w:tc>
        <w:tc>
          <w:tcPr>
            <w:tcW w:w="0" w:type="dxa"/>
            <w:vAlign w:val="bottom"/>
          </w:tcPr>
          <w:p>
            <w:pPr>
              <w:spacing w:after="0"/>
              <w:rPr>
                <w:sz w:val="1"/>
                <w:szCs w:val="1"/>
                <w:color w:val="auto"/>
              </w:rPr>
            </w:pP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Marine</w:t>
            </w: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369.7</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Total</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1,862.4</w:t>
            </w:r>
          </w:p>
        </w:tc>
        <w:tc>
          <w:tcPr>
            <w:tcW w:w="0" w:type="dxa"/>
            <w:vAlign w:val="bottom"/>
          </w:tcPr>
          <w:p>
            <w:pPr>
              <w:spacing w:after="0"/>
              <w:rPr>
                <w:sz w:val="1"/>
                <w:szCs w:val="1"/>
                <w:color w:val="auto"/>
              </w:rPr>
            </w:pP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 All Other</w:t>
            </w: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Consolidated</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Investments and Fair Value Measurements</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8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6" w:lineRule="exact"/>
        <w:rPr>
          <w:sz w:val="20"/>
          <w:szCs w:val="20"/>
          <w:color w:val="auto"/>
        </w:rPr>
      </w:pPr>
    </w:p>
    <w:p>
      <w:pPr>
        <w:ind w:left="660" w:right="300"/>
        <w:spacing w:after="0" w:line="286"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18"/>
        </w:trPr>
        <w:tc>
          <w:tcPr>
            <w:tcW w:w="6160" w:type="dxa"/>
            <w:vAlign w:val="bottom"/>
            <w:gridSpan w:val="8"/>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9"/>
        </w:trPr>
        <w:tc>
          <w:tcPr>
            <w:tcW w:w="6500" w:type="dxa"/>
            <w:vAlign w:val="bottom"/>
            <w:gridSpan w:val="10"/>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8"/>
              </w:rPr>
              <w:t>Fair Value at</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February 28, 2026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ind w:left="18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Total assets at fair value</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Fair Value at</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August 30, 2025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Pr>
          <w:p>
            <w:pPr>
              <w:spacing w:after="0"/>
              <w:rPr>
                <w:sz w:val="18"/>
                <w:szCs w:val="18"/>
                <w:color w:val="auto"/>
              </w:rPr>
            </w:pPr>
          </w:p>
        </w:tc>
        <w:tc>
          <w:tcPr>
            <w:tcW w:w="4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tcPr>
          <w:p>
            <w:pPr>
              <w:spacing w:after="0"/>
              <w:rPr>
                <w:sz w:val="18"/>
                <w:szCs w:val="18"/>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6"/>
                <w:szCs w:val="16"/>
                <w:color w:val="auto"/>
              </w:rPr>
              <w:t>Total assets at fair value</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111"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30, 2025 for additional information regarding these plans.</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six months ended February 28, 2026 or March 1, 2025.</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13"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91"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8 in the Notes to Consolidated Financial Statements included in Item 1 of Part I of this Quarterly Report on Form 10-Q for the fair value of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Note 4.  Inventories</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00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19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60" w:type="dxa"/>
            <w:vAlign w:val="bottom"/>
          </w:tcPr>
          <w:p>
            <w:pPr>
              <w:spacing w:after="0"/>
              <w:rPr>
                <w:sz w:val="21"/>
                <w:szCs w:val="21"/>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209"/>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460.6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450.3</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Excess of First-in, first-out ("FIFO") over LIFO cost</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0"/>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0" w:type="dxa"/>
            <w:vAlign w:val="bottom"/>
          </w:tcPr>
          <w:p>
            <w:pPr>
              <w:spacing w:after="0"/>
              <w:rPr>
                <w:sz w:val="1"/>
                <w:szCs w:val="1"/>
                <w:color w:val="auto"/>
              </w:rPr>
            </w:pPr>
          </w:p>
        </w:tc>
      </w:tr>
      <w:tr>
        <w:trPr>
          <w:trHeight w:val="21"/>
        </w:trPr>
        <w:tc>
          <w:tcPr>
            <w:tcW w:w="7000" w:type="dxa"/>
            <w:vAlign w:val="bottom"/>
            <w:gridSpan w:val="2"/>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7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19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60" w:type="dxa"/>
            <w:vAlign w:val="bottom"/>
          </w:tcPr>
          <w:p>
            <w:pPr>
              <w:spacing w:after="0"/>
              <w:rPr>
                <w:sz w:val="21"/>
                <w:szCs w:val="21"/>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09"/>
        </w:trPr>
        <w:tc>
          <w:tcPr>
            <w:tcW w:w="7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FIFO basis</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5.</w:t>
        <w:tab/>
        <w:t>Property, Plant,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8"/>
                <w:szCs w:val="18"/>
                <w:color w:val="auto"/>
              </w:rPr>
            </w:pPr>
          </w:p>
        </w:tc>
        <w:tc>
          <w:tcPr>
            <w:tcW w:w="19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60" w:type="dxa"/>
            <w:vAlign w:val="bottom"/>
          </w:tcPr>
          <w:p>
            <w:pPr>
              <w:spacing w:after="0"/>
              <w:rPr>
                <w:sz w:val="18"/>
                <w:szCs w:val="18"/>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30, 2025</w:t>
            </w:r>
          </w:p>
        </w:tc>
      </w:tr>
      <w:tr>
        <w:trPr>
          <w:trHeight w:val="209"/>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279.3</w:t>
            </w: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10"/>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r>
      <w:tr>
        <w:trPr>
          <w:trHeight w:val="215"/>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Depreciation expense was $9.6 million and $9.4 million for the three months ended February 28, 2026 and March 1, 2025, respectively; and $19.4 million and $19.1 million for the six months ended February 28, 2026 and March 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1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4120" w:type="dxa"/>
            <w:vAlign w:val="bottom"/>
            <w:gridSpan w:val="2"/>
          </w:tcPr>
          <w:p>
            <w:pPr>
              <w:spacing w:after="0"/>
              <w:rPr>
                <w:sz w:val="20"/>
                <w:szCs w:val="20"/>
                <w:color w:val="auto"/>
              </w:rPr>
            </w:pPr>
            <w:r>
              <w:rPr>
                <w:rFonts w:ascii="Arial" w:cs="Arial" w:eastAsia="Arial" w:hAnsi="Arial"/>
                <w:sz w:val="16"/>
                <w:szCs w:val="16"/>
                <w:b w:val="1"/>
                <w:bCs w:val="1"/>
                <w:color w:val="auto"/>
              </w:rPr>
              <w:t>Note 6.  Goodwill and Intangible Assets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720" w:type="dxa"/>
            <w:vAlign w:val="bottom"/>
            <w:gridSpan w:val="5"/>
          </w:tcPr>
          <w:p>
            <w:pPr>
              <w:spacing w:after="0"/>
              <w:rPr>
                <w:sz w:val="20"/>
                <w:szCs w:val="20"/>
                <w:color w:val="auto"/>
              </w:rPr>
            </w:pPr>
            <w:r>
              <w:rPr>
                <w:rFonts w:ascii="Arial" w:cs="Arial" w:eastAsia="Arial" w:hAnsi="Arial"/>
                <w:sz w:val="16"/>
                <w:szCs w:val="16"/>
                <w:color w:val="auto"/>
              </w:rPr>
              <w:t>The carrying amount of goodwill by reportable segment is as follows: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Towable</w:t>
            </w: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Motorhome</w:t>
            </w:r>
          </w:p>
        </w:tc>
        <w:tc>
          <w:tcPr>
            <w:tcW w:w="24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Marine</w:t>
            </w: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Corporate / All</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1"/>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8"/>
              </w:rPr>
              <w:t>RV</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RV</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1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Balances at February 28, 2026 and August 30, 2025</w:t>
            </w:r>
            <w:r>
              <w:rPr>
                <w:rFonts w:ascii="Arial" w:cs="Arial" w:eastAsia="Arial" w:hAnsi="Arial"/>
                <w:sz w:val="21"/>
                <w:szCs w:val="21"/>
                <w:color w:val="auto"/>
                <w:vertAlign w:val="superscript"/>
              </w:rPr>
              <w:t>(1)</w:t>
            </w:r>
          </w:p>
        </w:tc>
        <w:tc>
          <w:tcPr>
            <w:tcW w:w="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There was no activity in the six months ended February 28, 2026.</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February 28, 2026</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40" w:type="dxa"/>
            <w:vAlign w:val="bottom"/>
          </w:tcPr>
          <w:p>
            <w:pPr>
              <w:spacing w:after="0"/>
              <w:rPr>
                <w:sz w:val="13"/>
                <w:szCs w:val="13"/>
                <w:color w:val="auto"/>
              </w:rPr>
            </w:pPr>
          </w:p>
        </w:tc>
        <w:tc>
          <w:tcPr>
            <w:tcW w:w="192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30, 2025</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finite-lived intangible assets as of February 28, 2026 was approximately five years.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Amortization</w:t>
            </w: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2029</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2030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2031</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960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Product Warranties</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9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6"/>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200" w:type="dxa"/>
            <w:vAlign w:val="bottom"/>
            <w:gridSpan w:val="6"/>
          </w:tcPr>
          <w:p>
            <w:pPr>
              <w:jc w:val="right"/>
              <w:ind w:right="8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1, 2025</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center"/>
              <w:ind w:left="939"/>
              <w:spacing w:after="0"/>
              <w:rPr>
                <w:sz w:val="20"/>
                <w:szCs w:val="20"/>
                <w:color w:val="auto"/>
              </w:rPr>
            </w:pPr>
            <w:r>
              <w:rPr>
                <w:rFonts w:ascii="Arial" w:cs="Arial" w:eastAsia="Arial" w:hAnsi="Arial"/>
                <w:sz w:val="16"/>
                <w:szCs w:val="16"/>
                <w:color w:val="auto"/>
              </w:rPr>
              <w:t>73.8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gridSpan w:val="2"/>
            <w:shd w:val="clear" w:color="auto" w:fill="CCEEFF"/>
          </w:tcPr>
          <w:p>
            <w:pPr>
              <w:jc w:val="center"/>
              <w:ind w:left="859"/>
              <w:spacing w:after="0"/>
              <w:rPr>
                <w:sz w:val="20"/>
                <w:szCs w:val="20"/>
                <w:color w:val="auto"/>
              </w:rPr>
            </w:pPr>
            <w:r>
              <w:rPr>
                <w:rFonts w:ascii="Arial" w:cs="Arial" w:eastAsia="Arial" w:hAnsi="Arial"/>
                <w:sz w:val="16"/>
                <w:szCs w:val="16"/>
                <w:color w:val="auto"/>
                <w:w w:val="96"/>
              </w:rPr>
              <w:t>72.5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6"/>
              </w:rPr>
              <w:t>72.9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5"/>
        </w:trPr>
        <w:tc>
          <w:tcPr>
            <w:tcW w:w="4540" w:type="dxa"/>
            <w:vAlign w:val="bottom"/>
          </w:tcPr>
          <w:p>
            <w:pPr>
              <w:ind w:left="140"/>
              <w:spacing w:after="0"/>
              <w:rPr>
                <w:sz w:val="20"/>
                <w:szCs w:val="20"/>
                <w:color w:val="auto"/>
              </w:rPr>
            </w:pPr>
            <w:r>
              <w:rPr>
                <w:rFonts w:ascii="Arial" w:cs="Arial" w:eastAsia="Arial" w:hAnsi="Arial"/>
                <w:sz w:val="16"/>
                <w:szCs w:val="16"/>
                <w:color w:val="auto"/>
              </w:rPr>
              <w:t>Provision</w:t>
            </w:r>
          </w:p>
        </w:tc>
        <w:tc>
          <w:tcPr>
            <w:tcW w:w="100" w:type="dxa"/>
            <w:vAlign w:val="bottom"/>
          </w:tcPr>
          <w:p>
            <w:pPr>
              <w:spacing w:after="0"/>
              <w:rPr>
                <w:sz w:val="18"/>
                <w:szCs w:val="18"/>
                <w:color w:val="auto"/>
              </w:rPr>
            </w:pPr>
          </w:p>
        </w:tc>
        <w:tc>
          <w:tcPr>
            <w:tcW w:w="1500" w:type="dxa"/>
            <w:vAlign w:val="bottom"/>
          </w:tcPr>
          <w:p>
            <w:pPr>
              <w:jc w:val="center"/>
              <w:ind w:left="9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left="859"/>
              <w:spacing w:after="0"/>
              <w:rPr>
                <w:sz w:val="20"/>
                <w:szCs w:val="20"/>
                <w:color w:val="auto"/>
              </w:rPr>
            </w:pPr>
            <w:r>
              <w:rPr>
                <w:rFonts w:ascii="Arial" w:cs="Arial" w:eastAsia="Arial" w:hAnsi="Arial"/>
                <w:sz w:val="16"/>
                <w:szCs w:val="16"/>
                <w:color w:val="auto"/>
                <w:w w:val="96"/>
              </w:rPr>
              <w:t>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96"/>
              </w:rPr>
              <w:t>48.4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Claims paid</w:t>
            </w: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left="93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center"/>
              <w:ind w:left="839"/>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tcPr>
          <w:p>
            <w:pPr>
              <w:jc w:val="center"/>
              <w:ind w:left="859"/>
              <w:spacing w:after="0"/>
              <w:rPr>
                <w:sz w:val="20"/>
                <w:szCs w:val="20"/>
                <w:color w:val="auto"/>
              </w:rPr>
            </w:pPr>
            <w:r>
              <w:rPr>
                <w:rFonts w:ascii="Arial" w:cs="Arial" w:eastAsia="Arial" w:hAnsi="Arial"/>
                <w:sz w:val="16"/>
                <w:szCs w:val="16"/>
                <w:color w:val="auto"/>
                <w:w w:val="96"/>
              </w:rPr>
              <w:t>66.7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72.7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b w:val="1"/>
                <w:bCs w:val="1"/>
                <w:color w:val="auto"/>
              </w:rPr>
              <w:t>Note 8.   Debt</w:t>
            </w: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4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540" w:type="dxa"/>
            <w:vAlign w:val="bottom"/>
          </w:tcPr>
          <w:p>
            <w:pPr>
              <w:spacing w:after="0"/>
              <w:rPr>
                <w:sz w:val="20"/>
                <w:szCs w:val="20"/>
                <w:color w:val="auto"/>
              </w:rPr>
            </w:pPr>
            <w:r>
              <w:rPr>
                <w:rFonts w:ascii="Arial" w:cs="Arial" w:eastAsia="Arial" w:hAnsi="Arial"/>
                <w:sz w:val="16"/>
                <w:szCs w:val="16"/>
                <w:color w:val="auto"/>
              </w:rPr>
              <w:t>The following table summarizes our outstanding debt:</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February 28, 2026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09"/>
        </w:trPr>
        <w:tc>
          <w:tcPr>
            <w:tcW w:w="4540" w:type="dxa"/>
            <w:vAlign w:val="bottom"/>
          </w:tcPr>
          <w:p>
            <w:pPr>
              <w:ind w:left="140"/>
              <w:spacing w:after="0"/>
              <w:rPr>
                <w:sz w:val="20"/>
                <w:szCs w:val="20"/>
                <w:color w:val="auto"/>
              </w:rPr>
            </w:pPr>
            <w:r>
              <w:rPr>
                <w:rFonts w:ascii="Arial" w:cs="Arial" w:eastAsia="Arial" w:hAnsi="Arial"/>
                <w:sz w:val="16"/>
                <w:szCs w:val="16"/>
                <w:color w:val="auto"/>
              </w:rPr>
              <w:t>Total debt, gross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 net</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Notes</w:t>
      </w:r>
    </w:p>
    <w:p>
      <w:pPr>
        <w:spacing w:after="0" w:line="12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On February 3, 2025, we commenced a tender offer to purchase for cash up to $75.0 million aggregate principal amount of the Senior Secured Notes (the "Tender Offer"). On February 18, 2025, we amended the Tender Offer by increasing the maximum aggregate principal amount of Senior Secured Notes to $100.0 million. On February 20, 2025, $100.0 million aggregate principal amount of the Senior Secured Notes were validly tendered and accepted. In connection with the Senior Secured Notes Tender Offer, we recorded a loss on note repurchase of $2.0 million in the accompanying Consolidated Statements of Income. In addition, accrued interest of $0.6 million was paid in connection with the Tender Offer.</w:t>
      </w:r>
    </w:p>
    <w:p>
      <w:pPr>
        <w:spacing w:after="0" w:line="199"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On February 20, 2026, we redeemed $100.0 million of the outstanding Senior Secured Notes at a redemption price of 100% of the principal amount, plus accrued and unpaid interest to, but not including, the redemption date, which brought the remaining principal amount outstanding to $100.0 million. In connection with the redemption of the Senior Secured Notes, we recorded a loss on note repurchase of $0.8 million in the accompanying Consolidated Statements of Income. In addition, accrued interest of $0.6 million was paid in connection with the redemption of the Senior Secured Notes.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2030 Convertible Notes</w:t>
      </w:r>
    </w:p>
    <w:p>
      <w:pPr>
        <w:spacing w:after="0" w:line="11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spacing w:after="0" w:line="21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w:t>
      </w:r>
    </w:p>
    <w:p>
      <w:pPr>
        <w:spacing w:after="0" w:line="19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February 28, 2026, there have been no changes to the initial conversion rate.</w:t>
      </w:r>
    </w:p>
    <w:p>
      <w:pPr>
        <w:spacing w:after="0" w:line="207"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Prior to the close of business on the business day immediately preceding July 15, 2029, the 2030 Convertible Notes will be convertible only under the following circumstances:</w:t>
      </w:r>
    </w:p>
    <w:p>
      <w:pPr>
        <w:spacing w:after="0" w:line="276" w:lineRule="exact"/>
        <w:rPr>
          <w:sz w:val="20"/>
          <w:szCs w:val="20"/>
          <w:color w:val="auto"/>
        </w:rPr>
      </w:pPr>
    </w:p>
    <w:p>
      <w:pPr>
        <w:ind w:left="660" w:hanging="328"/>
        <w:spacing w:after="0" w:line="26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spacing w:after="0" w:line="64" w:lineRule="exact"/>
        <w:rPr>
          <w:rFonts w:ascii="Arial" w:cs="Arial" w:eastAsia="Arial" w:hAnsi="Arial"/>
          <w:sz w:val="16"/>
          <w:szCs w:val="16"/>
          <w:color w:val="auto"/>
        </w:rPr>
      </w:pPr>
    </w:p>
    <w:p>
      <w:pPr>
        <w:ind w:left="660" w:right="60" w:hanging="328"/>
        <w:spacing w:after="0" w:line="26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five consecutive business day period immediately after any five consecutive trading day period (the "measurement period to the 2030 Convertible Notes") in which the trading price (as defined in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w:t>
      </w:r>
    </w:p>
    <w:p>
      <w:pPr>
        <w:spacing w:after="0" w:line="6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to the 2030 Convertible Notes; or</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call such 2030 Convertible Notes for redemption (as described below).</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w:t>
      </w:r>
    </w:p>
    <w:p>
      <w:pPr>
        <w:spacing w:after="0" w:line="191"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w:t>
      </w:r>
    </w:p>
    <w:p>
      <w:pPr>
        <w:spacing w:after="0" w:line="151"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2030 Convertible Notes and Related 2030 Hedge Transactions and 2030 Warrant Transactions</w:t>
      </w:r>
    </w:p>
    <w:p>
      <w:pPr>
        <w:spacing w:after="0" w:line="111"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$3.2 million and $6.4 million of interest expense during the three and six months ended February 28, 2026. We recorded $3.3 million and $6.5 million of interest expense during the three and six months ended March 1, 2025.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net after-tax cost incurred in connection with the 2030 Call Spread Transactions was $20.6 million. These transactions are classified as equity and 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color w:val="auto"/>
              </w:rPr>
              <w:t>not remeasured each reporting period.</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000" w:type="dxa"/>
            <w:vAlign w:val="bottom"/>
          </w:tcPr>
          <w:p>
            <w:pPr>
              <w:spacing w:after="0"/>
              <w:rPr>
                <w:sz w:val="20"/>
                <w:szCs w:val="20"/>
                <w:color w:val="auto"/>
              </w:rPr>
            </w:pPr>
            <w:r>
              <w:rPr>
                <w:rFonts w:ascii="Arial" w:cs="Arial" w:eastAsia="Arial" w:hAnsi="Arial"/>
                <w:sz w:val="16"/>
                <w:szCs w:val="16"/>
                <w:b w:val="1"/>
                <w:bCs w:val="1"/>
                <w:color w:val="auto"/>
              </w:rPr>
              <w:t>Fair Value and Future Maturities</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000" w:type="dxa"/>
            <w:vAlign w:val="bottom"/>
          </w:tcPr>
          <w:p>
            <w:pPr>
              <w:spacing w:after="0"/>
              <w:rPr>
                <w:sz w:val="20"/>
                <w:szCs w:val="20"/>
                <w:color w:val="auto"/>
              </w:rPr>
            </w:pPr>
            <w:r>
              <w:rPr>
                <w:rFonts w:ascii="Arial" w:cs="Arial" w:eastAsia="Arial" w:hAnsi="Arial"/>
                <w:sz w:val="16"/>
                <w:szCs w:val="16"/>
                <w:color w:val="auto"/>
              </w:rPr>
              <w:t>The fair value of outstanding debt obligations, gross is as follows:</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60" w:type="dxa"/>
            <w:vAlign w:val="bottom"/>
          </w:tcPr>
          <w:p>
            <w:pPr>
              <w:spacing w:after="0"/>
              <w:rPr>
                <w:sz w:val="20"/>
                <w:szCs w:val="20"/>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30, 2025</w:t>
            </w: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Total debt, gross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2026</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Fiscal 2029</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2030</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Fiscal 2031</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Total debt, gross</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of our financial debt covenants as of February 28, 2026.</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30, 2025 for additional information regarding our debt.</w:t>
      </w:r>
    </w:p>
    <w:p>
      <w:pPr>
        <w:spacing w:after="0" w:line="168"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9.</w:t>
        <w:tab/>
        <w:t>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2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$1,859.3 million and $1,640.0 million at February 28, 2026 and August 30, 2025, respectively.</w:t>
      </w:r>
    </w:p>
    <w:p>
      <w:pPr>
        <w:spacing w:after="0" w:line="19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$1.3 million and $1.6 million at February 28, 2026 and August 30, 2025,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six months ended February 28, 2026 and March 1, 2025.</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Revenue</w:t>
      </w:r>
    </w:p>
    <w:p>
      <w:pPr>
        <w:spacing w:after="0" w:line="18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1, 2025</w:t>
            </w:r>
          </w:p>
        </w:tc>
      </w:tr>
      <w:tr>
        <w:trPr>
          <w:trHeight w:val="210"/>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Towable RV</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w:t>
            </w:r>
          </w:p>
        </w:tc>
      </w:tr>
      <w:tr>
        <w:trPr>
          <w:trHeight w:val="215"/>
        </w:trPr>
        <w:tc>
          <w:tcPr>
            <w:tcW w:w="448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17"/>
        </w:trPr>
        <w:tc>
          <w:tcPr>
            <w:tcW w:w="44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9"/>
        </w:trPr>
        <w:tc>
          <w:tcPr>
            <w:tcW w:w="4480" w:type="dxa"/>
            <w:vAlign w:val="bottom"/>
          </w:tcPr>
          <w:p>
            <w:pPr>
              <w:ind w:left="220"/>
              <w:spacing w:after="0"/>
              <w:rPr>
                <w:sz w:val="20"/>
                <w:szCs w:val="20"/>
                <w:color w:val="auto"/>
              </w:rPr>
            </w:pPr>
            <w:r>
              <w:rPr>
                <w:rFonts w:ascii="Arial" w:cs="Arial" w:eastAsia="Arial" w:hAnsi="Arial"/>
                <w:sz w:val="16"/>
                <w:szCs w:val="16"/>
                <w:color w:val="auto"/>
              </w:rPr>
              <w:t>Total Towable RV</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542.2</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4480" w:type="dxa"/>
            <w:vAlign w:val="bottom"/>
          </w:tcPr>
          <w:p>
            <w:pPr>
              <w:ind w:left="140"/>
              <w:spacing w:after="0"/>
              <w:rPr>
                <w:sz w:val="20"/>
                <w:szCs w:val="20"/>
                <w:color w:val="auto"/>
              </w:rPr>
            </w:pPr>
            <w:r>
              <w:rPr>
                <w:rFonts w:ascii="Arial" w:cs="Arial" w:eastAsia="Arial" w:hAnsi="Arial"/>
                <w:sz w:val="16"/>
                <w:szCs w:val="16"/>
                <w:color w:val="auto"/>
              </w:rPr>
              <w:t>Class A</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217"/>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r>
      <w:tr>
        <w:trPr>
          <w:trHeight w:val="216"/>
        </w:trPr>
        <w:tc>
          <w:tcPr>
            <w:tcW w:w="44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w:t>
            </w:r>
          </w:p>
        </w:tc>
      </w:tr>
      <w:tr>
        <w:trPr>
          <w:trHeight w:val="209"/>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 RV</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Marine</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172.2</w:t>
            </w:r>
          </w:p>
        </w:tc>
      </w:tr>
      <w:tr>
        <w:trPr>
          <w:trHeight w:val="217"/>
        </w:trPr>
        <w:tc>
          <w:tcPr>
            <w:tcW w:w="44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0"/>
        </w:trPr>
        <w:tc>
          <w:tcPr>
            <w:tcW w:w="448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1,245.8</w:t>
            </w: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260" w:right="100" w:hanging="252"/>
        <w:spacing w:after="0" w:line="209" w:lineRule="auto"/>
        <w:tabs>
          <w:tab w:leader="none" w:pos="305"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Relates to units, parts, accessories, and services associated with Winnebago specialty vehicles. In addition, this activity also includes Lithionics battery sales, including the related systems and accessories, that are sold directly to external customers.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13"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No single dealer organization accounted for more than 10.0% of net revenue for the six months ended February 28, 2026. One single dealer organization accounted for approximately 10.8% of net revenue for the six months ended March 1, 2025.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8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effective tax rate was 9.9% and 8.1% for the three months ended February 28, 2026 and March 1, 2025, respectively; and 25.1% and 21.0% for the six months ended February 28, 2026 and March 1, 2025, respectively. The change in our effective tax rate for the three months ended February 28, 2026 compared to the three months ended March 1, 2025 was driven primarily by higher pre-tax income, partially offset by the impact of discrete tax benefits in the current year as compared to the prior year. The increase in tax rate for the six months ended February 28, 2026 compared to the six months ended March 1, 2025 was driven primarily by higher pre-tax income in the current year as compared to the prior year.</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of February 28, 2026, $10.9 million of U.S. federal income taxes receivable was included in prepaid expenses and other current assets on the Consolidated Balance Sheets. Comparatively, as of August 30, 2025, $7.3 million of U.S. federal income taxes receivable was included in prepaid expenses and other current assets on the Consolidated Balance Sheets.</w:t>
      </w:r>
    </w:p>
    <w:p>
      <w:pPr>
        <w:spacing w:after="0" w:line="21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Company files a U.S. Federal tax return, as well as returns in various international and state jurisdictions. As of February 28, 2026, our U.S. Federal returns from Fiscal 2022 to present are subject to review by the Internal Revenue Service. With limited exceptions, U.S. state returns from Fiscal 2021 to present continue to be subject to review by state taxing jurisdictions. We believe we have adequately reserved for our exposure to potential additional payments for uncertain tax positions in our liability for unrecognized tax benefits.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Tax Legislation</w:t>
      </w:r>
    </w:p>
    <w:p>
      <w:pPr>
        <w:spacing w:after="0" w:line="262"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On July 4, 2025, the One Big Beautiful Bill Act (“OBBBA”) was signed into law, which included various provisions, such as the permanent extension of certain expiring provisions of the Tax Cuts and Jobs Act and restoration of favorable tax treatment for certain business provisions. The legislation has multiple effective dates, with certain provisions that became effective in Fiscal 2025 and others implemented through Fiscal 2027.</w:t>
      </w:r>
    </w:p>
    <w:p>
      <w:pPr>
        <w:spacing w:after="0" w:line="21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In Fiscal 2026, the OBBBA could have a more significant impact, particularly related to the reinstatement of 100% bonus depreciation, expensing of previously capitalized and unamortized U.S. research and development costs, and changes to interest deductibility. We will continue to assess the implications of the OBBBA. During the six months ended February 28, 2026, none of the relevant provisions of the OBBBA had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450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4500" w:type="dxa"/>
            <w:vAlign w:val="bottom"/>
            <w:gridSpan w:val="3"/>
          </w:tcPr>
          <w:p>
            <w:pPr>
              <w:spacing w:after="0"/>
              <w:rPr>
                <w:sz w:val="20"/>
                <w:szCs w:val="20"/>
                <w:color w:val="auto"/>
              </w:rPr>
            </w:pPr>
            <w:r>
              <w:rPr>
                <w:rFonts w:ascii="Arial" w:cs="Arial" w:eastAsia="Arial" w:hAnsi="Arial"/>
                <w:sz w:val="16"/>
                <w:szCs w:val="16"/>
                <w:b w:val="1"/>
                <w:bCs w:val="1"/>
                <w:color w:val="auto"/>
              </w:rPr>
              <w:t>Note 12. Earnings Per Share</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500" w:type="dxa"/>
            <w:vAlign w:val="bottom"/>
            <w:gridSpan w:val="3"/>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500" w:type="dxa"/>
            <w:vAlign w:val="bottom"/>
            <w:gridSpan w:val="3"/>
          </w:tcPr>
          <w:p>
            <w:pPr>
              <w:ind w:left="20"/>
              <w:spacing w:after="0"/>
              <w:rPr>
                <w:sz w:val="20"/>
                <w:szCs w:val="20"/>
                <w:color w:val="auto"/>
              </w:rPr>
            </w:pPr>
            <w:r>
              <w:rPr>
                <w:rFonts w:ascii="Arial" w:cs="Arial" w:eastAsia="Arial" w:hAnsi="Arial"/>
                <w:sz w:val="14"/>
                <w:szCs w:val="14"/>
                <w:color w:val="auto"/>
              </w:rPr>
              <w:t>(in millions, except per share data)</w:t>
            </w:r>
          </w:p>
        </w:tc>
        <w:tc>
          <w:tcPr>
            <w:tcW w:w="10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1, 2025</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gridSpan w:val="3"/>
          </w:tcPr>
          <w:p>
            <w:pPr>
              <w:ind w:left="140"/>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0"/>
        </w:trPr>
        <w:tc>
          <w:tcPr>
            <w:tcW w:w="4500" w:type="dxa"/>
            <w:vAlign w:val="bottom"/>
            <w:gridSpan w:val="3"/>
          </w:tcPr>
          <w:p>
            <w:pPr>
              <w:ind w:left="240"/>
              <w:spacing w:after="0" w:line="210" w:lineRule="exact"/>
              <w:rPr>
                <w:sz w:val="20"/>
                <w:szCs w:val="20"/>
                <w:color w:val="auto"/>
              </w:rPr>
            </w:pPr>
            <w:r>
              <w:rPr>
                <w:rFonts w:ascii="Arial" w:cs="Arial" w:eastAsia="Arial" w:hAnsi="Arial"/>
                <w:sz w:val="16"/>
                <w:szCs w:val="16"/>
                <w:color w:val="auto"/>
              </w:rPr>
              <w:t>Basic earnings (loss) per common share</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6"/>
        </w:trPr>
        <w:tc>
          <w:tcPr>
            <w:tcW w:w="44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5"/>
        </w:trPr>
        <w:tc>
          <w:tcPr>
            <w:tcW w:w="4500" w:type="dxa"/>
            <w:vAlign w:val="bottom"/>
            <w:gridSpan w:val="3"/>
          </w:tcPr>
          <w:p>
            <w:pPr>
              <w:ind w:left="140"/>
              <w:spacing w:after="0"/>
              <w:rPr>
                <w:sz w:val="20"/>
                <w:szCs w:val="20"/>
                <w:color w:val="auto"/>
              </w:rPr>
            </w:pPr>
            <w:r>
              <w:rPr>
                <w:rFonts w:ascii="Arial" w:cs="Arial" w:eastAsia="Arial" w:hAnsi="Arial"/>
                <w:sz w:val="16"/>
                <w:szCs w:val="16"/>
                <w:color w:val="auto"/>
              </w:rPr>
              <w:t>Dilutive impact of stock compensation awards</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4480" w:type="dxa"/>
            <w:vAlign w:val="bottom"/>
            <w:tcBorders>
              <w:top w:val="single" w:sz="8" w:color="CCEEFF"/>
            </w:tcBorders>
            <w:gridSpan w:val="2"/>
            <w:shd w:val="clear" w:color="auto" w:fill="CCEEFF"/>
          </w:tcPr>
          <w:p>
            <w:pPr>
              <w:ind w:left="140"/>
              <w:spacing w:after="0" w:line="143" w:lineRule="exact"/>
              <w:rPr>
                <w:sz w:val="20"/>
                <w:szCs w:val="20"/>
                <w:color w:val="auto"/>
              </w:rPr>
            </w:pPr>
            <w:r>
              <w:rPr>
                <w:rFonts w:ascii="Arial" w:cs="Arial" w:eastAsia="Arial" w:hAnsi="Arial"/>
                <w:sz w:val="16"/>
                <w:szCs w:val="16"/>
                <w:color w:val="auto"/>
              </w:rPr>
              <w:t>Weighted average common shares outstanding, assuming</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dilution</w:t>
            </w:r>
          </w:p>
        </w:tc>
        <w:tc>
          <w:tcPr>
            <w:tcW w:w="1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500" w:type="dxa"/>
            <w:vAlign w:val="bottom"/>
            <w:gridSpan w:val="3"/>
            <w:shd w:val="clear" w:color="auto" w:fill="CCEEFF"/>
          </w:tcPr>
          <w:p>
            <w:pPr>
              <w:ind w:left="140"/>
              <w:spacing w:after="0" w:line="162" w:lineRule="exact"/>
              <w:rPr>
                <w:sz w:val="20"/>
                <w:szCs w:val="20"/>
                <w:color w:val="auto"/>
              </w:rPr>
            </w:pPr>
            <w:r>
              <w:rPr>
                <w:rFonts w:ascii="Arial" w:cs="Arial" w:eastAsia="Arial" w:hAnsi="Arial"/>
                <w:sz w:val="16"/>
                <w:szCs w:val="16"/>
                <w:color w:val="auto"/>
              </w:rPr>
              <w:t>Anti-dilutive securities excluded from weighted average</w:t>
            </w: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common shares outstanding, assuming dilution</w:t>
            </w:r>
          </w:p>
        </w:tc>
        <w:tc>
          <w:tcPr>
            <w:tcW w:w="1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00" w:type="dxa"/>
            <w:vAlign w:val="bottom"/>
            <w:gridSpan w:val="3"/>
            <w:shd w:val="clear" w:color="auto" w:fill="CCEEFF"/>
          </w:tcPr>
          <w:p>
            <w:pPr>
              <w:ind w:left="240"/>
              <w:spacing w:after="0" w:line="210" w:lineRule="exact"/>
              <w:rPr>
                <w:sz w:val="20"/>
                <w:szCs w:val="20"/>
                <w:color w:val="auto"/>
              </w:rPr>
            </w:pPr>
            <w:r>
              <w:rPr>
                <w:rFonts w:ascii="Arial" w:cs="Arial" w:eastAsia="Arial" w:hAnsi="Arial"/>
                <w:sz w:val="16"/>
                <w:szCs w:val="16"/>
                <w:color w:val="auto"/>
              </w:rPr>
              <w:t>Diluted earnings (loss) per common share</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Earnings per share amounts are calculated based on unrounded numbers and therefore may not recalculate using the rounded numbers provided.</w:t>
      </w:r>
    </w:p>
    <w:p>
      <w:pPr>
        <w:spacing w:after="0" w:line="27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dilutive effect of stock compensation awards, if any, was determined using the treasury stock method while the dilutive impact of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2030 Convertible Notes are assumed to be converted into common stock at the beginning of the reporting period. However, since we are required to settle the principal amount in cash and any conversion premium in excess of the principal amount in cash, shares of common stock, or a combination of cash and shares of common stock, at our election, the 2030 Convertible Notes only have an impact on diluted earnings per share when the average share price of our common stock exceeds the conversion price.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6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0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30, 2025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Known Trends and Uncertainties</w:t>
      </w:r>
    </w:p>
    <w:p>
      <w:pPr>
        <w:spacing w:after="0" w:line="12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business continues to be challenged by macroeconomic conditions impacting retail consumers and our dealers, such as inflation, elevated interest rates, and lower consumer confidence. These factors have contributed to lower consumer spending and reduced short-term demand for large discretionary products such as RVs and marine products. In response, our dealers continue to exercise caution when managing stocking levels. While competitive market pressures have been observed across our portfolio, they have been most acute in our Winnebago motorhome business. As part of our transformation of this business, we have recently taken significant steps to lower field inventory, improve working capital, align our production schedule to market demand, and accelerate stronger product value for our consumers in the future.</w:t>
      </w:r>
    </w:p>
    <w:p>
      <w:pPr>
        <w:spacing w:after="0" w:line="20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expect that as consumer demand stabilizes, dealers will return to more stable ordering patterns across our portfolio of businesses. We continue to produce and ship in accordance with dealer demand as evidenced and requested by dealer orders. Despite the current economic uncertainty, we believe in the long-term health of consumer demand for RV and marine products.</w:t>
      </w:r>
    </w:p>
    <w:p>
      <w:pPr>
        <w:spacing w:after="0" w:line="191"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On February 20, 2026, the United States Supreme Court issued a decision concluding that the International Emergency Economic Powers Act does not authorize the imposition of tariffs. The financial impact of this decision cannot be reasonably estimated at this time. Any potential recoveries of previously paid tariffs will depend on further legal interpretation and administrative procedures. We will continue to monitor developments and will assess the effect of the ruling on future reporting periods as additional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February 28, 2026 Compared to Three Months Ended March 1, 2025</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25"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February 28, 2026 compared to the three months ended March 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2026</w:t>
            </w:r>
          </w:p>
        </w:tc>
        <w:tc>
          <w:tcPr>
            <w:tcW w:w="148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1, 2025</w:t>
            </w: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tcPr>
          <w:p>
            <w:pPr>
              <w:jc w:val="right"/>
              <w:ind w:right="15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142"/>
        </w:trPr>
        <w:tc>
          <w:tcPr>
            <w:tcW w:w="252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w:t>
            </w:r>
          </w:p>
        </w:tc>
        <w:tc>
          <w:tcPr>
            <w:tcW w:w="5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10.4 %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administrative expenses</w:t>
            </w:r>
          </w:p>
        </w:tc>
        <w:tc>
          <w:tcPr>
            <w:tcW w:w="5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50.7 %</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7"/>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Non-operating income</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43"/>
        </w:trPr>
        <w:tc>
          <w:tcPr>
            <w:tcW w:w="25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Income (loss) before income</w:t>
            </w:r>
          </w:p>
        </w:tc>
        <w:tc>
          <w:tcPr>
            <w:tcW w:w="5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5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6"/>
                <w:szCs w:val="16"/>
                <w:color w:val="auto"/>
              </w:rPr>
              <w:t>Diluted weighted average shares</w:t>
            </w:r>
          </w:p>
        </w:tc>
        <w:tc>
          <w:tcPr>
            <w:tcW w:w="5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5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60" w:right="20" w:hanging="252"/>
        <w:spacing w:after="0" w:line="218" w:lineRule="auto"/>
        <w:tabs>
          <w:tab w:leader="none" w:pos="297"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213" w:lineRule="auto"/>
        <w:tabs>
          <w:tab w:leader="none" w:pos="30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selective price adjustments and product mix, partially offset by lower unit volume.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Gross profit as a percentage of revenue decreased primarily due to product mix, partially offset by selective price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decreased primarily due to cost reduction initiatives.</w:t>
      </w:r>
    </w:p>
    <w:p>
      <w:pPr>
        <w:spacing w:after="0" w:line="262"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The loss on note repurchase recorded in the three months ended February 28, 2026 and March 1, 2025 is related to the repurchase of $100.0 million of our Senior Secured Notes in both periods. Refer to Note 8 in the Notes to Consolidated Financial Statements included in Item 1 of Part I of this Quarterly Report on Form 10-Q for further information.</w:t>
      </w:r>
    </w:p>
    <w:p>
      <w:pPr>
        <w:spacing w:after="0" w:line="19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change in our effective tax rate is primarily attributable to higher pre-tax income, partially offset by the impact of discrete tax benefits in the current year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 RV</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RV segment for the three months ended February 28, 2026 compared to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28, 2026</w:t>
            </w:r>
          </w:p>
        </w:tc>
        <w:tc>
          <w:tcPr>
            <w:tcW w:w="148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1, 2025</w:t>
            </w:r>
          </w:p>
        </w:tc>
        <w:tc>
          <w:tcPr>
            <w:tcW w:w="148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71"/>
        </w:trPr>
        <w:tc>
          <w:tcPr>
            <w:tcW w:w="25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2"/>
        </w:trPr>
        <w:tc>
          <w:tcPr>
            <w:tcW w:w="250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(2)</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39,079</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39,559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12"/>
        </w:trPr>
        <w:tc>
          <w:tcPr>
            <w:tcW w:w="25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28, 2026</w:t>
            </w: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1, 2025</w:t>
            </w: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33.2 %</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35"/>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7,225</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ind w:left="280" w:hanging="272"/>
        <w:spacing w:after="0" w:line="232" w:lineRule="auto"/>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224"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Net revenues decreased primarily due to a shift in product mix toward lower price-point models and lower unit volume, partially offset by selective price adjustments.</w:t>
      </w:r>
    </w:p>
    <w:p>
      <w:pPr>
        <w:spacing w:after="0" w:line="18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Operating income margin decreased primarily due to volume deleverage and product mix, largely offset by selective price adjustments and cost containment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 RV</w:t>
      </w:r>
    </w:p>
    <w:p>
      <w:pPr>
        <w:spacing w:after="0" w:line="125"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The following is an analysis of key changes in our Motorhome RV segment for the three months ended February 28, 2026 compared to the three months ended March 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2026</w:t>
            </w:r>
          </w:p>
        </w:tc>
        <w:tc>
          <w:tcPr>
            <w:tcW w:w="148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1, 2025</w:t>
            </w:r>
          </w:p>
        </w:tc>
        <w:tc>
          <w:tcPr>
            <w:tcW w:w="148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29.3 %</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71"/>
        </w:trPr>
        <w:tc>
          <w:tcPr>
            <w:tcW w:w="25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377"/>
        </w:trPr>
        <w:tc>
          <w:tcPr>
            <w:tcW w:w="250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(2)</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203,517</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209,259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(5,742)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2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2026</w:t>
            </w: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1, 2025</w:t>
            </w: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24.7 %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126.9 %</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r>
      <w:tr>
        <w:trPr>
          <w:trHeight w:val="210"/>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32.7 %</w:t>
            </w:r>
          </w:p>
        </w:tc>
      </w:tr>
      <w:tr>
        <w:trPr>
          <w:trHeight w:val="20"/>
        </w:trPr>
        <w:tc>
          <w:tcPr>
            <w:tcW w:w="2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210" w:lineRule="auto"/>
        <w:tabs>
          <w:tab w:leader="none" w:pos="30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higher unit volume driven by new products, partially offset by product mix.</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margin increased primarily due to volume leverage.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three months ended February 28, 2026 compared to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March 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48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48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6.6 %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57"/>
        </w:trPr>
        <w:tc>
          <w:tcPr>
            <w:tcW w:w="2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85"/>
        </w:trPr>
        <w:tc>
          <w:tcPr>
            <w:tcW w:w="250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81,591</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79,123</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2,468</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309"/>
        </w:trPr>
        <w:tc>
          <w:tcPr>
            <w:tcW w:w="25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bl>
    <w:p>
      <w:pPr>
        <w:spacing w:after="0" w:line="33"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lower unit volume and product mix, partially offset by selective price adjustments.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margin decreased primarily due to higher warranty expense and volume deleverage.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Six Months Ended February 28, 2026 Compared to the Six Months Ended March 1, 2025</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25" w:lineRule="exact"/>
        <w:rPr>
          <w:sz w:val="20"/>
          <w:szCs w:val="20"/>
          <w:color w:val="auto"/>
        </w:rPr>
      </w:pPr>
    </w:p>
    <w:p>
      <w:pPr>
        <w:ind w:right="640"/>
        <w:spacing w:after="0" w:line="281"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six months ended February 28, 2026 compared to the six months ended March 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February 28,</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March 1, 2025</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4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1,245.8</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138.2</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141.8</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269.3 %</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Diluted weighted average shares</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60" w:right="20" w:hanging="252"/>
        <w:spacing w:after="0" w:line="218" w:lineRule="auto"/>
        <w:tabs>
          <w:tab w:leader="none" w:pos="297"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213" w:lineRule="auto"/>
        <w:tabs>
          <w:tab w:leader="none" w:pos="30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selective price adjustments, higher unit volume, and product mix.</w:t>
      </w:r>
    </w:p>
    <w:p>
      <w:pPr>
        <w:spacing w:after="0" w:line="24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Gross profit as a percentage of revenue was consistent with prior year as selective price adjustments were offset by higher input costs and slightly higher warranty expense.</w:t>
      </w:r>
    </w:p>
    <w:p>
      <w:pPr>
        <w:spacing w:after="0" w:line="19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Operating expenses decreased primarily due to cost reduction initiatives, partially offset by increased costs to support the growth of the Grand Design Motorhome business.</w:t>
      </w:r>
    </w:p>
    <w:p>
      <w:pPr>
        <w:spacing w:after="0" w:line="19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loss on note repurchase recorded in the six months ended February 28, 2026 and March 1, 2025 is related to the repurchase of $100.0 million of our Senior Secured Notes in both periods. Refer to Note 8 in the Notes to Consolidated Financial Statements included in Item 1 of Part I of this Quarterly Report on Form 10-Q for further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change in our effective tax rate was driven primarily by higher pre-tax income in the current year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 RV</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RV segment for the six months ended February 28, 2026 compared to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28,</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71"/>
        </w:trPr>
        <w:tc>
          <w:tcPr>
            <w:tcW w:w="2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8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39,240</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38,887</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312"/>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28,</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(3)</w:t>
            </w:r>
          </w:p>
        </w:tc>
        <w:tc>
          <w:tcPr>
            <w:tcW w:w="1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10,076</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3,960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4,376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5"/>
        </w:trPr>
        <w:tc>
          <w:tcPr>
            <w:tcW w:w="2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28,</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(4)</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19,855</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17,406</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300" w:hanging="292"/>
        <w:spacing w:after="0" w:line="183" w:lineRule="auto"/>
        <w:tabs>
          <w:tab w:leader="none" w:pos="30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selective price adjustments, partially offset by a shift in product mix toward lower price-point models.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margin was consistent with prior year as selective price adjustments were largely offset by higher warranty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 RV</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RV segment for the six months ended February 28, 2026 compared to the 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March 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28,</w:t>
            </w:r>
          </w:p>
        </w:tc>
        <w:tc>
          <w:tcPr>
            <w:tcW w:w="10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1"/>
        </w:trPr>
        <w:tc>
          <w:tcPr>
            <w:tcW w:w="2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8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218,810</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202,604</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16,206</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309"/>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28,</w:t>
            </w:r>
          </w:p>
        </w:tc>
        <w:tc>
          <w:tcPr>
            <w:tcW w:w="10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(3)</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0"/>
        </w:trPr>
        <w:tc>
          <w:tcPr>
            <w:tcW w:w="286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28,</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(4)</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3,784</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300" w:hanging="292"/>
        <w:spacing w:after="0" w:line="183" w:lineRule="auto"/>
        <w:tabs>
          <w:tab w:leader="none" w:pos="30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23" w:lineRule="auto"/>
        <w:tabs>
          <w:tab w:leader="none" w:pos="30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higher unit volume, product mix, and selective price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margin increased primarily due to volume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following is an analysis of key changes in our Marine segment for the six months ended February 28, 2026 compared to the six months ended March 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28,</w:t>
            </w:r>
          </w:p>
        </w:tc>
        <w:tc>
          <w:tcPr>
            <w:tcW w:w="80" w:type="dxa"/>
            <w:vAlign w:val="bottom"/>
          </w:tcPr>
          <w:p>
            <w:pPr>
              <w:spacing w:after="0"/>
              <w:rPr>
                <w:sz w:val="13"/>
                <w:szCs w:val="13"/>
                <w:color w:val="auto"/>
              </w:rPr>
            </w:pPr>
          </w:p>
        </w:tc>
        <w:tc>
          <w:tcPr>
            <w:tcW w:w="274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March 1, 2025</w:t>
            </w:r>
          </w:p>
        </w:tc>
        <w:tc>
          <w:tcPr>
            <w:tcW w:w="8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274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71"/>
        </w:trPr>
        <w:tc>
          <w:tcPr>
            <w:tcW w:w="2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8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83,006</w:t>
            </w:r>
          </w:p>
        </w:tc>
        <w:tc>
          <w:tcPr>
            <w:tcW w:w="1960" w:type="dxa"/>
            <w:vAlign w:val="bottom"/>
            <w:gridSpan w:val="4"/>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79,090</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3,916</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309"/>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February 28,</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28,</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(3,4)</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3,610</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ind w:left="300" w:hanging="292"/>
        <w:spacing w:after="0" w:line="183" w:lineRule="auto"/>
        <w:tabs>
          <w:tab w:leader="none" w:pos="30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24"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Net revenues decreased primarily due to lower unit volume and a shift in product mix toward lower price-point models, partially offset by selective price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margin decreased primarily due to higher warranty expense and volume deleverage.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20"/>
                <w:szCs w:val="20"/>
                <w:color w:val="auto"/>
              </w:rPr>
            </w:pPr>
            <w:r>
              <w:rPr>
                <w:rFonts w:ascii="Arial" w:cs="Arial" w:eastAsia="Arial" w:hAnsi="Arial"/>
                <w:sz w:val="16"/>
                <w:szCs w:val="16"/>
                <w:b w:val="1"/>
                <w:bCs w:val="1"/>
                <w:color w:val="auto"/>
              </w:rPr>
              <w:t>Analysis of Financial Condition, Liquidity, and Capital Resources</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65"/>
        </w:trPr>
        <w:tc>
          <w:tcPr>
            <w:tcW w:w="736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9"/>
        </w:trPr>
        <w:tc>
          <w:tcPr>
            <w:tcW w:w="7360" w:type="dxa"/>
            <w:vAlign w:val="bottom"/>
          </w:tcPr>
          <w:p>
            <w:pPr>
              <w:spacing w:after="0"/>
              <w:rPr>
                <w:sz w:val="20"/>
                <w:szCs w:val="20"/>
                <w:color w:val="auto"/>
              </w:rPr>
            </w:pPr>
            <w:r>
              <w:rPr>
                <w:rFonts w:ascii="Arial" w:cs="Arial" w:eastAsia="Arial" w:hAnsi="Arial"/>
                <w:sz w:val="16"/>
                <w:szCs w:val="16"/>
                <w:color w:val="auto"/>
              </w:rPr>
              <w:t>The following table summarizes our cash flows from operations: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2"/>
        </w:trPr>
        <w:tc>
          <w:tcPr>
            <w:tcW w:w="7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2026</w:t>
            </w:r>
          </w:p>
        </w:tc>
        <w:tc>
          <w:tcPr>
            <w:tcW w:w="28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1, 2025</w:t>
            </w:r>
          </w:p>
        </w:tc>
      </w:tr>
      <w:tr>
        <w:trPr>
          <w:trHeight w:val="210"/>
        </w:trPr>
        <w:tc>
          <w:tcPr>
            <w:tcW w:w="7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w:t>
            </w:r>
          </w:p>
        </w:tc>
      </w:tr>
      <w:tr>
        <w:trPr>
          <w:trHeight w:val="235"/>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11"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During the six months ended February 28, 2026, net cash provided by operating activities was $0.6 million compared to net cash used in operating activities of $27.2 million during the same period last year. The change in operating cash flow is primarily driven by higher profitability adjusted for non-cash items and favorable changes in net working capital.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decreased primarily due to lower capital expenditures compared to the prior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1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Cash used in financing activities decreased primarily due to minimal share repurchase activity in the current year compared to higher share repurchases in the prior year. During the six months ended February 28, 2026 and March 1, 2025, $100.0 million of debt was repurchased in each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maintain a $350.0 million asset-based revolving credit facility ("ABL Credit Facility") with a maturity date of July 15, 2027, subject to certain factors which may accelerate the maturity date. As of February 28, 2026, we had no borrowings against the ABL Credit Facility.</w:t>
      </w:r>
    </w:p>
    <w:p>
      <w:pPr>
        <w:spacing w:after="0" w:line="185"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As of February 28, 2026, we had $47.4 million in cash and cash equivalents and $350.0 million in unused ABL Credit Facility. Our cash and cash equivalent balances consist of high quality, short-term money market instruments.</w:t>
      </w:r>
    </w:p>
    <w:p>
      <w:pPr>
        <w:spacing w:after="0" w:line="1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On February 3, 2025, we executed a tender offer to purchase for cash up to $75.0 million aggregate principal amount of the Senior Secured Notes (the "Tender Offer"). On February 18, 2025, we amended the Tender Offer by increasing the maximum aggregate principal amount of Senior Secured Notes to $100.0 million. On February 20, 2025, $100.0 million aggregate principal amount of the Senior Secured Notes were validly tendered and accepted. On February 20, 2026, we redeemed $100.0 million of the outstanding Senior Secured Notes at a redemption price of 100% of the principal amount, plus accrued and unpaid interest to, but not including, the redemption date, which brought the remaining principal amount outstanding to $100.0 million.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28, 2026, we have no debt maturing in the next twelve months that is classified as current on our Consolidated Balance Sheets.</w:t>
      </w:r>
    </w:p>
    <w:p>
      <w:pPr>
        <w:spacing w:after="0" w:line="26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2030 Convertible Notes, the Senior Secured Notes, and the ABL Credit Facility, and will continue to monitor counterparty risk on an on-going basis.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Working Capital</w:t>
      </w:r>
    </w:p>
    <w:p>
      <w:pPr>
        <w:spacing w:after="0" w:line="125"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Working capital at February 28, 2026 and August 30, 2025 was $403.5 million and $465.1 million, respectively. We currently expect cash on hand, funds generated from operations, and the borrowing available under our ABL Credit Facility to be sufficient to cover both short-term and long-term operating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August 17, 2022, our Board of Directors authorized a new share repurchase program in the amount of $350.0 million with no time restriction on the authorization, which took effect immediately and replaced the prior program. In the six months ended February 28, 2026, no shares were repurchased under this authorization. Approximately 55,000 shares at a cost of $1.7 million were repurchased to satisfy tax obligations on employee equity awards vested. We continually evaluate if share repurchases reflect a prudent use of our capital and, subject to compliance with our ABL Credit Facility and Senior Secured Notes, we may purchase shares in the future. As of February 28, 2026, we have $180.0 million remaining on our Board approved repurchase authorization.</w:t>
      </w:r>
    </w:p>
    <w:p>
      <w:pPr>
        <w:spacing w:after="0" w:line="205"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On March 18, 2026, our Board of Directors approved a quarterly cash dividend of $0.35 per share payable on April 29, 2026, to common stockholders of record at the close of business on April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13"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There have been no material changes in our contractual obligations since the end of Fiscal 2025. See our Annual Report on Form 10-K for the fiscal year ended August 30, 2025 for additional information regarding our contractual obligations and commercial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27"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We describe our critical accounting policies in Note 1 in the Notes to Consolidated Financial Statements included in Item 8 of Part II of our Annual Report on Form 10-K for the fiscal year ended August 30, 2025. We discuss our critical accounting estimates in Item 7 of Part II of our Annual Report on Form 10-K for the fiscal year ended August 30, 2025. There have been no material changes to our critical accounting policies or critical accounting estimates since the end of Fiscal 2025.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a summary of new applicable accounting pronouncements, see Note 1 in the Notes to Consolidated Financial Statements included in Item 1 of Part I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30, 2025,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7"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 and retail purchasers.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dealer consolidation or the loss of a significant dealer.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 and obtain components.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Inadequate management of dealer inventory levels.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Exposure to warranty claims and product recalls.</w:t>
      </w:r>
    </w:p>
    <w:p>
      <w:pPr>
        <w:spacing w:after="0" w:line="8" w:lineRule="exact"/>
        <w:rPr>
          <w:rFonts w:ascii="Arial" w:cs="Arial" w:eastAsia="Arial" w:hAnsi="Arial"/>
          <w:sz w:val="16"/>
          <w:szCs w:val="16"/>
          <w:color w:val="auto"/>
        </w:rPr>
      </w:pPr>
    </w:p>
    <w:p>
      <w:pPr>
        <w:ind w:left="660" w:right="280" w:hanging="328"/>
        <w:spacing w:after="0" w:line="25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attention to environmental, social, and governance (ESG) matters, and our ability to meet our commitments.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related to our 2030 Convertible Notes and Senior Secured Notes, including our ability to satisfy our obligations under these notes.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recommendations or a withdrawal of coverage by third party securities analysts.</w:t>
      </w:r>
    </w:p>
    <w:p>
      <w:pPr>
        <w:spacing w:after="0" w:line="232"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ABL Credit Facility, which is our only floating rate debt instrument, remains undrawn as of February 28, 2026.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5"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second quarter of Fiscal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For a description of our legal proceedings, see Note 9 in the Notes to Consolidated Financial Statements included in Item 1 of Part I of this Quarterly Report on Form 10-Q.</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30, 2025.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2026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 Purchased</w:t>
            </w:r>
          </w:p>
        </w:tc>
        <w:tc>
          <w:tcPr>
            <w:tcW w:w="320" w:type="dxa"/>
            <w:vAlign w:val="bottom"/>
          </w:tcPr>
          <w:p>
            <w:pPr>
              <w:spacing w:after="0"/>
              <w:rPr>
                <w:sz w:val="16"/>
                <w:szCs w:val="16"/>
                <w:color w:val="auto"/>
              </w:rPr>
            </w:pPr>
          </w:p>
        </w:tc>
        <w:tc>
          <w:tcPr>
            <w:tcW w:w="2560" w:type="dxa"/>
            <w:vAlign w:val="bottom"/>
          </w:tcPr>
          <w:p>
            <w:pPr>
              <w:jc w:val="center"/>
              <w:ind w:right="121"/>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vMerge w:val="continue"/>
          </w:tcPr>
          <w:p>
            <w:pPr>
              <w:spacing w:after="0"/>
              <w:rPr>
                <w:sz w:val="14"/>
                <w:szCs w:val="14"/>
                <w:color w:val="auto"/>
              </w:rPr>
            </w:pPr>
          </w:p>
        </w:tc>
        <w:tc>
          <w:tcPr>
            <w:tcW w:w="2880" w:type="dxa"/>
            <w:vAlign w:val="bottom"/>
            <w:gridSpan w:val="2"/>
          </w:tcPr>
          <w:p>
            <w:pPr>
              <w:jc w:val="center"/>
              <w:ind w:left="22"/>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as Part of Publicly Announced</w:t>
            </w:r>
          </w:p>
        </w:tc>
        <w:tc>
          <w:tcPr>
            <w:tcW w:w="2880" w:type="dxa"/>
            <w:vAlign w:val="bottom"/>
            <w:gridSpan w:val="2"/>
          </w:tcPr>
          <w:p>
            <w:pPr>
              <w:jc w:val="center"/>
              <w:ind w:left="42"/>
              <w:spacing w:after="0" w:line="162" w:lineRule="exact"/>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2"/>
                <w:szCs w:val="12"/>
                <w:color w:val="auto"/>
              </w:rPr>
              <w:t>(in</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7"/>
              </w:rPr>
              <w:t>Plans or Programs</w:t>
            </w:r>
            <w:r>
              <w:rPr>
                <w:rFonts w:ascii="Arial" w:cs="Arial" w:eastAsia="Arial" w:hAnsi="Arial"/>
                <w:sz w:val="21"/>
                <w:szCs w:val="21"/>
                <w:b w:val="1"/>
                <w:bCs w:val="1"/>
                <w:color w:val="auto"/>
                <w:w w:val="97"/>
                <w:vertAlign w:val="superscript"/>
              </w:rPr>
              <w:t>(1,2)</w:t>
            </w: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11/30/25 - 1/3/26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38.72</w:t>
            </w:r>
          </w:p>
        </w:tc>
        <w:tc>
          <w:tcPr>
            <w:tcW w:w="2760" w:type="dxa"/>
            <w:vAlign w:val="bottom"/>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1/4/26 - 1/31/26</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2/1/26 - 2/28/26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0"/>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tcBorders>
              <w:bottom w:val="single" w:sz="8" w:color="auto"/>
            </w:tcBorders>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180" w:hanging="252"/>
        <w:spacing w:after="0" w:line="209" w:lineRule="auto"/>
        <w:tabs>
          <w:tab w:leader="none" w:pos="263"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3" w:lineRule="auto"/>
        <w:tabs>
          <w:tab w:leader="none" w:pos="2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Pursuant to a $350.0 million share repurchase program authorized by our Board of Directors on August 17, 2022. There is no time restriction on the authorization.</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Senior Secured Notes, as defined in Note 8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2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During the quarter ended February 28, 2026,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ectPr>
          <w:pgSz w:w="11900" w:h="16838" w:orient="portrait"/>
          <w:cols w:equalWidth="0" w:num="1">
            <w:col w:w="10340"/>
          </w:cols>
          <w:pgMar w:left="220" w:top="125" w:right="1339" w:bottom="1440" w:gutter="0" w:footer="0" w:header="0"/>
        </w:sectPr>
      </w:pPr>
    </w:p>
    <w:p>
      <w:pPr>
        <w:spacing w:after="0" w:line="289" w:lineRule="exact"/>
        <w:rPr>
          <w:sz w:val="20"/>
          <w:szCs w:val="20"/>
          <w:color w:val="auto"/>
        </w:rPr>
      </w:pPr>
    </w:p>
    <w:p>
      <w:pPr>
        <w:spacing w:after="0"/>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3.1</w:t>
        </w:r>
      </w:hyperlink>
    </w:p>
    <w:p>
      <w:pPr>
        <w:spacing w:after="0" w:line="113" w:lineRule="exact"/>
        <w:rPr>
          <w:sz w:val="20"/>
          <w:szCs w:val="20"/>
          <w:color w:val="auto"/>
        </w:rPr>
      </w:pPr>
    </w:p>
    <w:p>
      <w:pPr>
        <w:spacing w:after="0"/>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3.2</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0.1</w:t>
        </w:r>
      </w:hyperlink>
    </w:p>
    <w:p>
      <w:pPr>
        <w:spacing w:after="0" w:line="194" w:lineRule="exact"/>
        <w:rPr>
          <w:sz w:val="20"/>
          <w:szCs w:val="20"/>
          <w:color w:val="auto"/>
        </w:rPr>
      </w:pPr>
    </w:p>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0.2</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1.INS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.SCH</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.LAB</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46" w:lineRule="auto"/>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Articles of Incorporation of Winnebago Industries, Inc., effective January 1, 2022 (incorporated by reference from Exhibit 3.1 to the</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Registrant’s Current Report on Form 8-K dated January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ind w:right="280"/>
        <w:spacing w:after="0" w:line="246" w:lineRule="auto"/>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Bylaws of Winnebago Industries, Inc., effective August 15, 2023 (incorporated by reference from Exhibit 3.2 to the Registrant’s</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Current Report on Form 8-K dated August 17, 2023).</w:t>
        </w:r>
      </w:hyperlink>
    </w:p>
    <w:p>
      <w:pPr>
        <w:spacing w:after="0" w:line="1" w:lineRule="exact"/>
        <w:rPr>
          <w:sz w:val="20"/>
          <w:szCs w:val="20"/>
          <w:color w:val="auto"/>
        </w:rPr>
      </w:pPr>
    </w:p>
    <w:p>
      <w:pPr>
        <w:ind w:right="120"/>
        <w:spacing w:after="0" w:line="246" w:lineRule="auto"/>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Winnebago Industries, Inc. Amended and Restated 2019 Omnibus Incentive Plan (incorporated by reference from Appendix A to</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the Registrant's Proxy Statement on Definitive 14A filed on November 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ind w:right="560"/>
        <w:spacing w:after="0" w:line="251" w:lineRule="auto"/>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Winnebago Industries, Inc. Employee Stock Purchase Plan as Amended on May 17, 2023 (incorporated by reference from</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Appendix B to the Registrant's Proxy Statement on Definitive 14A filed on November 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-3175</wp:posOffset>
            </wp:positionV>
            <wp:extent cx="653224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by the Chief Executive Officer pursuant to Section 302 of the Sarbanes-Oxley Act of 2002 (filed herewith)</w:t>
      </w:r>
      <w:r>
        <w:rPr>
          <w:rFonts w:ascii="Arial" w:cs="Arial" w:eastAsia="Arial" w:hAnsi="Arial"/>
          <w:sz w:val="16"/>
          <w:szCs w:val="16"/>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by the Chief Financial Officer pursuant to Section 302 of the Sarbanes-Oxley Act of 2002 (filed herewith).</w:t>
      </w:r>
    </w:p>
    <w:p>
      <w:pPr>
        <w:spacing w:after="0" w:line="113" w:lineRule="exact"/>
        <w:rPr>
          <w:sz w:val="20"/>
          <w:szCs w:val="20"/>
          <w:color w:val="auto"/>
        </w:rPr>
      </w:pPr>
    </w:p>
    <w:p>
      <w:pPr>
        <w:ind w:right="580"/>
        <w:spacing w:after="0" w:line="246" w:lineRule="auto"/>
        <w:rPr>
          <w:sz w:val="20"/>
          <w:szCs w:val="20"/>
          <w:color w:val="auto"/>
        </w:rPr>
      </w:pPr>
      <w:r>
        <w:rPr>
          <w:rFonts w:ascii="Arial" w:cs="Arial" w:eastAsia="Arial" w:hAnsi="Arial"/>
          <w:sz w:val="16"/>
          <w:szCs w:val="16"/>
          <w:u w:val="single" w:color="auto"/>
          <w:color w:val="0000FF"/>
        </w:rPr>
        <w:t>Certification by the Chief Executive Officer pursuant to 18 U.S.C. Section 1350, as adopted pursuant to Section 906 of the Sarbanes-Oxley Act of 2002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ind w:right="640"/>
        <w:spacing w:after="0" w:line="246" w:lineRule="auto"/>
        <w:rPr>
          <w:sz w:val="20"/>
          <w:szCs w:val="20"/>
          <w:color w:val="auto"/>
        </w:rPr>
      </w:pPr>
      <w:r>
        <w:rPr>
          <w:rFonts w:ascii="Arial" w:cs="Arial" w:eastAsia="Arial" w:hAnsi="Arial"/>
          <w:sz w:val="16"/>
          <w:szCs w:val="16"/>
          <w:u w:val="single" w:color="auto"/>
          <w:color w:val="0000FF"/>
        </w:rPr>
        <w:t>Certification by the Chief Financial Officer pursuant to 18 U.S.C. Section 1350, as adopted pursuant to Section 906 of the Sarbanes-Oxley Act of 2002 (furnished herewith).</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Inline XBRL Taxonomy Extension Schema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Calculation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Label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Presentation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 w:space="640"/>
            <w:col w:w="9300"/>
          </w:cols>
          <w:pgMar w:left="220" w:top="125" w:right="133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5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220" w:top="125" w:right="1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WINNEBAGO INDUSTRIES, INC.</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25, 2026</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3"/>
        </w:trPr>
        <w:tc>
          <w:tcPr>
            <w:tcW w:w="5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83"/>
        </w:trPr>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25, 2026</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9"/>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40"/>
          </w:cols>
          <w:pgMar w:left="320" w:top="125" w:right="6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3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25, 2026</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3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840"/>
        <w:spacing w:after="0"/>
        <w:tabs>
          <w:tab w:leader="none" w:pos="1460" w:val="left"/>
          <w:tab w:leader="none" w:pos="6740" w:val="left"/>
        </w:tabs>
        <w:rPr>
          <w:sz w:val="20"/>
          <w:szCs w:val="20"/>
          <w:color w:val="auto"/>
        </w:rPr>
      </w:pPr>
      <w:r>
        <w:rPr>
          <w:rFonts w:ascii="Arial" w:cs="Arial" w:eastAsia="Arial" w:hAnsi="Arial"/>
          <w:sz w:val="16"/>
          <w:szCs w:val="16"/>
          <w:color w:val="auto"/>
        </w:rPr>
        <w:t>Date:</w:t>
        <w:tab/>
        <w:t>March 25, 2026</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20955</wp:posOffset>
            </wp:positionV>
            <wp:extent cx="24942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800" w:hanging="328"/>
        <w:spacing w:after="0" w:line="28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28, 2026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25, 2026</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8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800" w:hanging="328"/>
        <w:spacing w:after="0" w:line="28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28, 2026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300"/>
        <w:spacing w:after="0"/>
        <w:tabs>
          <w:tab w:leader="none" w:pos="1000" w:val="left"/>
          <w:tab w:leader="none" w:pos="6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25, 2026</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20955</wp:posOffset>
            </wp:positionV>
            <wp:extent cx="27774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59" Type="http://schemas.openxmlformats.org/officeDocument/2006/relationships/hyperlink" Target="https://www.sec.gov/Archives/edgar/data/107687/000010768722000004/wgo-mnarticlesreincorporat.htm" TargetMode="External"/><Relationship Id="rId60" Type="http://schemas.openxmlformats.org/officeDocument/2006/relationships/hyperlink" Target="https://www.sec.gov/Archives/edgar/data/107687/000010768723000018/wgo-bylawsxaugust152023xfi.htm" TargetMode="External"/><Relationship Id="rId61" Type="http://schemas.openxmlformats.org/officeDocument/2006/relationships/hyperlink" Target="https://www.sec.gov/ix?doc=/Archives/edgar/data/0000107687/000114036125040336/ny20052074x1_def14a.htm#tAPPA" TargetMode="External"/><Relationship Id="rId62" Type="http://schemas.openxmlformats.org/officeDocument/2006/relationships/hyperlink" Target="https://www.sec.gov/ix?doc=/Archives/edgar/data/0000107687/000114036125040336/ny20052074x1_def14a.htm#tAPP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2026-03-25T15:48:04Z</dcterms:created>
  <dcterms:modified xsi:type="dcterms:W3CDTF">2026-03-25T15:48:04Z</dcterms:modified>
</cp:coreProperties>
</file>