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4"/>
          <w:szCs w:val="24"/>
          <w:b w:val="1"/>
          <w:bCs w:val="1"/>
          <w:color w:val="auto"/>
        </w:rPr>
        <w:t>SCHEDULE 14A INFORMATION</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tabs>
          <w:tab w:leader="none" w:pos="3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215"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22"/>
          <w:szCs w:val="22"/>
          <w:color w:val="auto"/>
        </w:rPr>
        <w:t>x</w:t>
      </w:r>
    </w:p>
    <w:p>
      <w:pPr>
        <w:spacing w:after="0" w:line="152" w:lineRule="exact"/>
        <w:rPr>
          <w:sz w:val="24"/>
          <w:szCs w:val="24"/>
          <w:color w:val="auto"/>
        </w:rPr>
      </w:pPr>
    </w:p>
    <w:p>
      <w:pPr>
        <w:spacing w:after="0"/>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21"/>
          <w:szCs w:val="21"/>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152" w:lineRule="exact"/>
        <w:rPr>
          <w:rFonts w:ascii="Arial" w:cs="Arial" w:eastAsia="Arial" w:hAnsi="Arial"/>
          <w:sz w:val="22"/>
          <w:szCs w:val="22"/>
          <w:color w:val="auto"/>
        </w:rPr>
      </w:pPr>
    </w:p>
    <w:p>
      <w:pPr>
        <w:ind w:left="460" w:hanging="452"/>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18"/>
          <w:szCs w:val="18"/>
          <w:color w:val="auto"/>
        </w:rPr>
        <w:t>Confidential, for Use of the Commission Only (as permitted by Rule 14A-6(E)(2))</w:t>
      </w:r>
    </w:p>
    <w:p>
      <w:pPr>
        <w:spacing w:after="0" w:line="152" w:lineRule="exact"/>
        <w:rPr>
          <w:sz w:val="24"/>
          <w:szCs w:val="24"/>
          <w:color w:val="auto"/>
        </w:rPr>
      </w:pPr>
    </w:p>
    <w:p>
      <w:pPr>
        <w:ind w:left="460" w:hanging="452"/>
        <w:spacing w:after="0"/>
        <w:tabs>
          <w:tab w:leader="none" w:pos="460" w:val="left"/>
        </w:tabs>
        <w:numPr>
          <w:ilvl w:val="0"/>
          <w:numId w:val="2"/>
        </w:numPr>
        <w:rPr>
          <w:rFonts w:ascii="Arial" w:cs="Arial" w:eastAsia="Arial" w:hAnsi="Arial"/>
          <w:sz w:val="22"/>
          <w:szCs w:val="22"/>
          <w:color w:val="auto"/>
        </w:rPr>
      </w:pPr>
      <w:r>
        <w:rPr>
          <w:rFonts w:ascii="Arial" w:cs="Arial" w:eastAsia="Arial" w:hAnsi="Arial"/>
          <w:sz w:val="18"/>
          <w:szCs w:val="18"/>
          <w:color w:val="auto"/>
        </w:rPr>
        <w:t>Definitive Proxy Statement</w:t>
      </w:r>
    </w:p>
    <w:p>
      <w:pPr>
        <w:spacing w:after="0" w:line="152" w:lineRule="exact"/>
        <w:rPr>
          <w:sz w:val="24"/>
          <w:szCs w:val="24"/>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18"/>
          <w:szCs w:val="18"/>
          <w:color w:val="auto"/>
        </w:rPr>
        <w:t>Definitive Additional Materials</w:t>
      </w:r>
    </w:p>
    <w:p>
      <w:pPr>
        <w:spacing w:after="0" w:line="152" w:lineRule="exact"/>
        <w:rPr>
          <w:rFonts w:ascii="Arial" w:cs="Arial" w:eastAsia="Arial" w:hAnsi="Arial"/>
          <w:sz w:val="22"/>
          <w:szCs w:val="22"/>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Soliciting Material Pursuant to Section 240.14a-11(c) or Section 240.14a-12</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99695</wp:posOffset>
            </wp:positionV>
            <wp:extent cx="3061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0"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1" w:lineRule="exact"/>
        <w:rPr>
          <w:sz w:val="24"/>
          <w:szCs w:val="24"/>
          <w:color w:val="auto"/>
        </w:rPr>
      </w:pPr>
    </w:p>
    <w:p>
      <w:pPr>
        <w:ind w:left="460" w:hanging="452"/>
        <w:spacing w:after="0"/>
        <w:tabs>
          <w:tab w:leader="none" w:pos="460" w:val="left"/>
        </w:tabs>
        <w:numPr>
          <w:ilvl w:val="0"/>
          <w:numId w:val="4"/>
        </w:numPr>
        <w:rPr>
          <w:rFonts w:ascii="Arial" w:cs="Arial" w:eastAsia="Arial" w:hAnsi="Arial"/>
          <w:sz w:val="22"/>
          <w:szCs w:val="22"/>
          <w:color w:val="auto"/>
        </w:rPr>
      </w:pPr>
      <w:r>
        <w:rPr>
          <w:rFonts w:ascii="Arial" w:cs="Arial" w:eastAsia="Arial" w:hAnsi="Arial"/>
          <w:sz w:val="18"/>
          <w:szCs w:val="18"/>
          <w:color w:val="auto"/>
        </w:rPr>
        <w:t>No fee required</w:t>
      </w:r>
    </w:p>
    <w:p>
      <w:pPr>
        <w:spacing w:after="0" w:line="152" w:lineRule="exact"/>
        <w:rPr>
          <w:sz w:val="24"/>
          <w:szCs w:val="24"/>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14a-6(i)(4) and 0-11.</w:t>
      </w:r>
    </w:p>
    <w:p>
      <w:pPr>
        <w:spacing w:after="0" w:line="182" w:lineRule="exact"/>
        <w:rPr>
          <w:rFonts w:ascii="Arial" w:cs="Arial" w:eastAsia="Arial" w:hAnsi="Arial"/>
          <w:sz w:val="22"/>
          <w:szCs w:val="22"/>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4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183" w:lineRule="exact"/>
        <w:rPr>
          <w:sz w:val="24"/>
          <w:szCs w:val="24"/>
          <w:color w:val="auto"/>
        </w:rPr>
      </w:pPr>
    </w:p>
    <w:p>
      <w:pPr>
        <w:ind w:left="900" w:right="180" w:hanging="446"/>
        <w:spacing w:after="0" w:line="241" w:lineRule="auto"/>
        <w:tabs>
          <w:tab w:leader="none" w:pos="900" w:val="left"/>
        </w:tabs>
        <w:numPr>
          <w:ilvl w:val="0"/>
          <w:numId w:val="6"/>
        </w:numPr>
        <w:rPr>
          <w:rFonts w:ascii="Arial" w:cs="Arial" w:eastAsia="Arial" w:hAnsi="Arial"/>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sz w:val="24"/>
          <w:szCs w:val="24"/>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636905</wp:posOffset>
            </wp:positionV>
            <wp:extent cx="2400935" cy="875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JANUARY 10, 2006</w:t>
      </w:r>
    </w:p>
    <w:p>
      <w:pPr>
        <w:sectPr>
          <w:pgSz w:w="11900" w:h="16838" w:orient="portrait"/>
          <w:cols w:equalWidth="0" w:num="1">
            <w:col w:w="11340"/>
          </w:cols>
          <w:pgMar w:left="240" w:top="462" w:right="319" w:bottom="299"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January 10, 2006, at 7:30 p.m., Central Standard Time,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Friendship Hall, Highway 69 South, Forest City, Iowa, for the following purposes:</w:t>
      </w:r>
    </w:p>
    <w:p>
      <w:pPr>
        <w:spacing w:after="0" w:line="238" w:lineRule="exact"/>
        <w:rPr>
          <w:sz w:val="20"/>
          <w:szCs w:val="20"/>
          <w:color w:val="auto"/>
        </w:rPr>
      </w:pPr>
    </w:p>
    <w:p>
      <w:pPr>
        <w:ind w:left="1020" w:hanging="47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for three-year terms;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39" w:lineRule="exact"/>
        <w:rPr>
          <w:sz w:val="20"/>
          <w:szCs w:val="20"/>
          <w:color w:val="auto"/>
        </w:rPr>
      </w:pPr>
    </w:p>
    <w:p>
      <w:pPr>
        <w:ind w:right="260" w:firstLine="357"/>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November 1, 2005, as the record date for the determination of shareholders entitled to notice of and to vote at this meeting and at any and all adjournments thereof.</w:t>
      </w:r>
    </w:p>
    <w:p>
      <w:pPr>
        <w:spacing w:after="0" w:line="13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135255</wp:posOffset>
            </wp:positionV>
            <wp:extent cx="1543685"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11, 2005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60" w:firstLine="360"/>
        <w:spacing w:after="0" w:line="266" w:lineRule="auto"/>
        <w:rPr>
          <w:sz w:val="20"/>
          <w:szCs w:val="20"/>
          <w:color w:val="auto"/>
        </w:rPr>
      </w:pPr>
      <w:r>
        <w:rPr>
          <w:rFonts w:ascii="Arial" w:cs="Arial" w:eastAsia="Arial" w:hAnsi="Arial"/>
          <w:sz w:val="18"/>
          <w:szCs w:val="18"/>
          <w:b w:val="1"/>
          <w:bCs w:val="1"/>
          <w:color w:val="auto"/>
        </w:rPr>
        <w:t>Whether or not you expect to attend the meeting in person, please date, sign and return the proxy card in the enclosed envelope to appoint your proxy to vote your shares at the Annual Meeting, or you may do so electronically via the Internet or telephone.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619125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172720</wp:posOffset>
            </wp:positionV>
            <wp:extent cx="147066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146050</wp:posOffset>
            </wp:positionV>
            <wp:extent cx="147066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160" w:firstLine="357"/>
        <w:spacing w:after="0" w:line="302" w:lineRule="auto"/>
        <w:rPr>
          <w:sz w:val="20"/>
          <w:szCs w:val="20"/>
          <w:color w:val="auto"/>
        </w:rPr>
      </w:pPr>
      <w:r>
        <w:rPr>
          <w:rFonts w:ascii="Arial" w:cs="Arial" w:eastAsia="Arial" w:hAnsi="Arial"/>
          <w:sz w:val="16"/>
          <w:szCs w:val="16"/>
          <w:color w:val="auto"/>
        </w:rPr>
        <w:t xml:space="preserve">This Proxy Statement is furnished in connection with the solicitation by the Board of Directors of Winnebago Industries, Inc., an Iowa corporation (the </w:t>
      </w:r>
      <w:r>
        <w:rPr>
          <w:rFonts w:ascii="Arial" w:cs="Arial" w:eastAsia="Arial" w:hAnsi="Arial"/>
          <w:sz w:val="16"/>
          <w:szCs w:val="16"/>
          <w:i w:val="1"/>
          <w:iCs w:val="1"/>
          <w:color w:val="auto"/>
        </w:rPr>
        <w:t xml:space="preserve">“Company” </w:t>
      </w:r>
      <w:r>
        <w:rPr>
          <w:rFonts w:ascii="Arial" w:cs="Arial" w:eastAsia="Arial" w:hAnsi="Arial"/>
          <w:sz w:val="16"/>
          <w:szCs w:val="16"/>
          <w:color w:val="auto"/>
        </w:rPr>
        <w:t>), P.O. Box 152, Forest City, Iowa 50436, of proxies to be used at the Annual Meeting of Shareholders of the Company to be held at Friendship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Hall, Highway 69 South, Forest City, Iowa on January 10, 2006, at 7:30 p.m., Central Standard Time, and at any and all adjournments thereof (the </w:t>
      </w:r>
      <w:r>
        <w:rPr>
          <w:rFonts w:ascii="Arial" w:cs="Arial" w:eastAsia="Arial" w:hAnsi="Arial"/>
          <w:sz w:val="16"/>
          <w:szCs w:val="16"/>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Meeting of Shareholders” </w:t>
      </w:r>
      <w:r>
        <w:rPr>
          <w:rFonts w:ascii="Arial" w:cs="Arial" w:eastAsia="Arial" w:hAnsi="Arial"/>
          <w:sz w:val="16"/>
          <w:szCs w:val="16"/>
          <w:color w:val="auto"/>
        </w:rPr>
        <w:t>or the</w:t>
      </w:r>
      <w:r>
        <w:rPr>
          <w:rFonts w:ascii="Arial" w:cs="Arial" w:eastAsia="Arial" w:hAnsi="Arial"/>
          <w:sz w:val="16"/>
          <w:szCs w:val="16"/>
          <w:i w:val="1"/>
          <w:iCs w:val="1"/>
          <w:color w:val="auto"/>
        </w:rPr>
        <w:t xml:space="preserve"> “Meeting” </w:t>
      </w:r>
      <w:r>
        <w:rPr>
          <w:rFonts w:ascii="Arial" w:cs="Arial" w:eastAsia="Arial" w:hAnsi="Arial"/>
          <w:sz w:val="16"/>
          <w:szCs w:val="16"/>
          <w:color w:val="auto"/>
        </w:rPr>
        <w:t>). This Proxy Statement was first mailed to shareholders on or about November 11, 2005.</w:t>
      </w:r>
    </w:p>
    <w:p>
      <w:pPr>
        <w:spacing w:after="0" w:line="10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Only holders of Common Stock of record at the close of business on November 1, 2005, will be entitled to vote at the Annual Meeting of Shareholders. At such date, the Company had outstanding 32,873,574 shares of Common Stock, par value $.50 per share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 Each share of Common Stock entitles the holder to one vote upon each matter to be voted upon at the meeting. A majority of the outstanding shares of Common Stock represented in person or by proxy will constitute a quorum for the Annual Meeting of Shareholders.</w:t>
      </w:r>
    </w:p>
    <w:p>
      <w:pPr>
        <w:spacing w:after="0" w:line="133"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11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If you hold shares in your own name, by submitting a proxy you may either vote for or withhold authority to vote for each nominee for the Board of Directors. If you withhold authority to vote with respect to any nominee, your shares will still be counted for purposes of establishing a quorum but will have no effect on the election of that nominee. If you sign and submit your proxy card without voting instructions, your shares will be voted for each director nominee.</w:t>
      </w:r>
    </w:p>
    <w:p>
      <w:pPr>
        <w:spacing w:after="0" w:line="13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If you hold shares through a broker, follow the voting instructions provided by your broker. If you want to vote in person, a legal proxy must be obtained from your broker and brought to the Meeting. If you do not submit voting instructions to your broker, generally your broker is permitted to vote your shares in the election of directors in its discretion.</w:t>
      </w:r>
    </w:p>
    <w:p>
      <w:pPr>
        <w:spacing w:after="0" w:line="12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Directors must be elected by a plurality of the votes cast at the Meeting. This means that the three nominees receiving the greatest number of votes will be elected as directors. Votes withheld from any nominee have no legal effect on the election of directors due to the fact that such elections are by a plurality of the votes cast.</w:t>
      </w:r>
    </w:p>
    <w:p>
      <w:pPr>
        <w:spacing w:after="0" w:line="127" w:lineRule="exact"/>
        <w:rPr>
          <w:sz w:val="20"/>
          <w:szCs w:val="20"/>
          <w:color w:val="auto"/>
        </w:rPr>
      </w:pPr>
    </w:p>
    <w:p>
      <w:pPr>
        <w:ind w:right="220" w:firstLine="357"/>
        <w:spacing w:after="0" w:line="259" w:lineRule="auto"/>
        <w:rPr>
          <w:sz w:val="20"/>
          <w:szCs w:val="20"/>
          <w:color w:val="auto"/>
        </w:rPr>
      </w:pPr>
      <w:r>
        <w:rPr>
          <w:rFonts w:ascii="Arial" w:cs="Arial" w:eastAsia="Arial" w:hAnsi="Arial"/>
          <w:sz w:val="18"/>
          <w:szCs w:val="18"/>
          <w:color w:val="auto"/>
        </w:rPr>
        <w:t>The Company is not now aware of any matters to be presented at the Annual Meeting of Shareholders other than the election of the three nominees described in this Proxy Statement.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133" w:lineRule="exact"/>
        <w:rPr>
          <w:sz w:val="20"/>
          <w:szCs w:val="20"/>
          <w:color w:val="auto"/>
        </w:rPr>
      </w:pPr>
    </w:p>
    <w:p>
      <w:pPr>
        <w:jc w:val="both"/>
        <w:ind w:right="20" w:firstLine="350"/>
        <w:spacing w:after="0" w:line="264" w:lineRule="auto"/>
        <w:rPr>
          <w:sz w:val="20"/>
          <w:szCs w:val="20"/>
          <w:color w:val="auto"/>
        </w:rPr>
      </w:pPr>
      <w:r>
        <w:rPr>
          <w:rFonts w:ascii="Arial" w:cs="Arial" w:eastAsia="Arial" w:hAnsi="Arial"/>
          <w:sz w:val="18"/>
          <w:szCs w:val="18"/>
          <w:color w:val="auto"/>
        </w:rPr>
        <w:t>A form of proxy is enclosed for use at the Annual Meeting of Shareholders. Before the Meeting, you can appoint a proxy to vote your shares of Common Stock (i) by completing and signing the enclosed proxy card and mailing it in time to be received before the Annual Meeting of Shareholders, (ii) by using the Internet (http://www.eproxy.com/wgo/) or (iii) by calling the toll-free telephone number (1-800-560-1965).</w:t>
      </w:r>
    </w:p>
    <w:p>
      <w:pPr>
        <w:spacing w:after="0" w:line="127" w:lineRule="exact"/>
        <w:rPr>
          <w:sz w:val="20"/>
          <w:szCs w:val="20"/>
          <w:color w:val="auto"/>
        </w:rPr>
      </w:pPr>
    </w:p>
    <w:p>
      <w:pPr>
        <w:ind w:right="140" w:firstLine="357"/>
        <w:spacing w:after="0" w:line="277" w:lineRule="auto"/>
        <w:rPr>
          <w:sz w:val="20"/>
          <w:szCs w:val="20"/>
          <w:color w:val="auto"/>
        </w:rPr>
      </w:pPr>
      <w:r>
        <w:rPr>
          <w:rFonts w:ascii="Arial" w:cs="Arial" w:eastAsia="Arial" w:hAnsi="Arial"/>
          <w:sz w:val="18"/>
          <w:szCs w:val="18"/>
          <w:color w:val="auto"/>
        </w:rPr>
        <w:t>The electronic proxy appointment procedures are designed to confirm your identity and to allow you to give your proxy your voting instructions. If you wish to vote by the Internet or telephone, please follow the enclosed instructions.</w:t>
      </w:r>
    </w:p>
    <w:p>
      <w:pPr>
        <w:sectPr>
          <w:pgSz w:w="11900" w:h="16838" w:orient="portrait"/>
          <w:cols w:equalWidth="0" w:num="1">
            <w:col w:w="11420"/>
          </w:cols>
          <w:pgMar w:left="240" w:top="125" w:right="239" w:bottom="0" w:gutter="0" w:footer="0" w:header="0"/>
        </w:sectPr>
      </w:pPr>
    </w:p>
    <w:bookmarkStart w:id="2" w:name="page3"/>
    <w:bookmarkEnd w:id="2"/>
    <w:p>
      <w:pPr>
        <w:spacing w:after="0" w:line="1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the enclosed proxy card is executed and returned, it may nevertheless be revoked at any time insofar as it has not been exercised. A person may revoke a proxy electronically by entering a new vote via the Internet or by telephone or the enclosed proxy may be revoked by (i) giving written notice to the Secretary, (ii) subsequently granting a later-dated proxy or (iii) attending the Meeting and voting in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person. You may also be represented by another person at the Meeting by executing a proper proxy designating that person. Unless revoked, the shares represented by validly executed proxies will be voted at the Meeting in accordance with the instructions indicated thereon. To revoke a proxy by telephone or the Internet, you must do so by 12:00 p.m. Central Time on January 9, 2006 (following the directions on the enclosed instructions). Attendance at the Annual Meeting of Shareholders will not cause your previously granted proxy to be revoked unless you specifically so request.</w:t>
      </w:r>
    </w:p>
    <w:p>
      <w:pPr>
        <w:spacing w:after="0" w:line="127" w:lineRule="exact"/>
        <w:rPr>
          <w:sz w:val="20"/>
          <w:szCs w:val="20"/>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If no instructions are indicated on a proxy that is signed and mailed to the Company, it will be voted: (i) for the election of the three nominees for director named below (Item 1) and (ii) in the discretion of the named proxies upon such other matters as may properly come before the Meeting.</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02" w:lineRule="exact"/>
        <w:rPr>
          <w:sz w:val="20"/>
          <w:szCs w:val="20"/>
          <w:color w:val="auto"/>
        </w:rPr>
      </w:pPr>
    </w:p>
    <w:p>
      <w:pPr>
        <w:ind w:right="66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Owned</w:t>
            </w:r>
          </w:p>
        </w:tc>
        <w:tc>
          <w:tcPr>
            <w:tcW w:w="480" w:type="dxa"/>
            <w:vAlign w:val="bottom"/>
          </w:tcPr>
          <w:p>
            <w:pPr>
              <w:spacing w:after="0"/>
              <w:rPr>
                <w:sz w:val="12"/>
                <w:szCs w:val="12"/>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4"/>
        </w:trPr>
        <w:tc>
          <w:tcPr>
            <w:tcW w:w="6820" w:type="dxa"/>
            <w:vAlign w:val="bottom"/>
            <w:gridSpan w:val="3"/>
            <w:vMerge w:val="continue"/>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Beneficially at</w:t>
            </w:r>
          </w:p>
        </w:tc>
        <w:tc>
          <w:tcPr>
            <w:tcW w:w="48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682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November 1, 2005</w:t>
            </w:r>
          </w:p>
        </w:tc>
        <w:tc>
          <w:tcPr>
            <w:tcW w:w="48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 Stock (%)</w:t>
            </w:r>
            <w:r>
              <w:rPr>
                <w:rFonts w:ascii="Arial" w:cs="Arial" w:eastAsia="Arial" w:hAnsi="Arial"/>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105"/>
        </w:trPr>
        <w:tc>
          <w:tcPr>
            <w:tcW w:w="20" w:type="dxa"/>
            <w:vAlign w:val="bottom"/>
            <w:tcBorders>
              <w:top w:val="single" w:sz="8" w:color="808080"/>
            </w:tcBorders>
            <w:vMerge w:val="restart"/>
          </w:tcPr>
          <w:p>
            <w:pPr>
              <w:spacing w:after="0"/>
              <w:rPr>
                <w:sz w:val="9"/>
                <w:szCs w:val="9"/>
                <w:color w:val="auto"/>
              </w:rPr>
            </w:pPr>
          </w:p>
        </w:tc>
        <w:tc>
          <w:tcPr>
            <w:tcW w:w="1360" w:type="dxa"/>
            <w:vAlign w:val="bottom"/>
            <w:tcBorders>
              <w:top w:val="single" w:sz="8" w:color="808080"/>
            </w:tcBorders>
          </w:tcPr>
          <w:p>
            <w:pPr>
              <w:spacing w:after="0"/>
              <w:rPr>
                <w:sz w:val="9"/>
                <w:szCs w:val="9"/>
                <w:color w:val="auto"/>
              </w:rPr>
            </w:pPr>
          </w:p>
        </w:tc>
        <w:tc>
          <w:tcPr>
            <w:tcW w:w="5440" w:type="dxa"/>
            <w:vAlign w:val="bottom"/>
          </w:tcPr>
          <w:p>
            <w:pPr>
              <w:spacing w:after="0"/>
              <w:rPr>
                <w:sz w:val="9"/>
                <w:szCs w:val="9"/>
                <w:color w:val="auto"/>
              </w:rPr>
            </w:pPr>
          </w:p>
        </w:tc>
        <w:tc>
          <w:tcPr>
            <w:tcW w:w="1960" w:type="dxa"/>
            <w:vAlign w:val="bottom"/>
            <w:tcBorders>
              <w:top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EARNEST Partners, LLC</w:t>
            </w:r>
          </w:p>
        </w:tc>
        <w:tc>
          <w:tcPr>
            <w:tcW w:w="1960" w:type="dxa"/>
            <w:vAlign w:val="bottom"/>
            <w:shd w:val="clear" w:color="auto" w:fill="D6F3E8"/>
          </w:tcPr>
          <w:p>
            <w:pPr>
              <w:spacing w:after="0"/>
              <w:rPr>
                <w:sz w:val="17"/>
                <w:szCs w:val="17"/>
                <w:color w:val="auto"/>
              </w:rPr>
            </w:pPr>
          </w:p>
        </w:tc>
        <w:tc>
          <w:tcPr>
            <w:tcW w:w="480" w:type="dxa"/>
            <w:vAlign w:val="bottom"/>
            <w:shd w:val="clear" w:color="auto" w:fill="D6F3E8"/>
          </w:tcPr>
          <w:p>
            <w:pPr>
              <w:spacing w:after="0"/>
              <w:rPr>
                <w:sz w:val="17"/>
                <w:szCs w:val="17"/>
                <w:color w:val="auto"/>
              </w:rPr>
            </w:pPr>
          </w:p>
        </w:tc>
        <w:tc>
          <w:tcPr>
            <w:tcW w:w="204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75 Fourteenth Street, Suite 2300</w:t>
            </w:r>
          </w:p>
        </w:tc>
        <w:tc>
          <w:tcPr>
            <w:tcW w:w="196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20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D6F3E8"/>
          </w:tcPr>
          <w:p>
            <w:pPr>
              <w:ind w:left="240"/>
              <w:spacing w:after="0"/>
              <w:rPr>
                <w:sz w:val="20"/>
                <w:szCs w:val="20"/>
                <w:color w:val="auto"/>
              </w:rPr>
            </w:pPr>
            <w:r>
              <w:rPr>
                <w:rFonts w:ascii="Arial" w:cs="Arial" w:eastAsia="Arial" w:hAnsi="Arial"/>
                <w:sz w:val="18"/>
                <w:szCs w:val="18"/>
                <w:color w:val="auto"/>
              </w:rPr>
              <w:t>Atlanta, Georgia 30309</w:t>
            </w:r>
          </w:p>
        </w:tc>
        <w:tc>
          <w:tcPr>
            <w:tcW w:w="19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1"/>
              </w:rPr>
              <w:t>3,423,155</w:t>
            </w:r>
            <w:r>
              <w:rPr>
                <w:rFonts w:ascii="Arial" w:cs="Arial" w:eastAsia="Arial" w:hAnsi="Arial"/>
                <w:sz w:val="15"/>
                <w:szCs w:val="15"/>
                <w:color w:val="auto"/>
                <w:w w:val="91"/>
              </w:rPr>
              <w:t>(2)</w:t>
            </w:r>
          </w:p>
        </w:tc>
        <w:tc>
          <w:tcPr>
            <w:tcW w:w="2520" w:type="dxa"/>
            <w:vAlign w:val="bottom"/>
            <w:gridSpan w:val="2"/>
            <w:shd w:val="clear" w:color="auto" w:fill="D6F3E8"/>
          </w:tcPr>
          <w:p>
            <w:pPr>
              <w:jc w:val="right"/>
              <w:ind w:right="568"/>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rPr>
              <w:t>Royce &amp; Associates, LLC</w:t>
            </w:r>
          </w:p>
        </w:tc>
        <w:tc>
          <w:tcPr>
            <w:tcW w:w="1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1414 Avenue of the Americas</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New York, New York 10019</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3,356,000</w:t>
            </w:r>
            <w:r>
              <w:rPr>
                <w:rFonts w:ascii="Arial" w:cs="Arial" w:eastAsia="Arial" w:hAnsi="Arial"/>
                <w:sz w:val="15"/>
                <w:szCs w:val="15"/>
                <w:color w:val="auto"/>
                <w:w w:val="91"/>
              </w:rPr>
              <w:t>(3)</w:t>
            </w:r>
          </w:p>
        </w:tc>
        <w:tc>
          <w:tcPr>
            <w:tcW w:w="2520" w:type="dxa"/>
            <w:vAlign w:val="bottom"/>
            <w:gridSpan w:val="2"/>
          </w:tcPr>
          <w:p>
            <w:pPr>
              <w:jc w:val="right"/>
              <w:ind w:right="568"/>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shd w:val="clear" w:color="auto" w:fill="D6F3E8"/>
          </w:tcPr>
          <w:p>
            <w:pPr>
              <w:spacing w:after="0" w:line="201" w:lineRule="exact"/>
              <w:rPr>
                <w:sz w:val="20"/>
                <w:szCs w:val="20"/>
                <w:color w:val="auto"/>
              </w:rPr>
            </w:pPr>
            <w:r>
              <w:rPr>
                <w:rFonts w:ascii="Arial" w:cs="Arial" w:eastAsia="Arial" w:hAnsi="Arial"/>
                <w:sz w:val="18"/>
                <w:szCs w:val="18"/>
                <w:color w:val="auto"/>
              </w:rPr>
              <w:t>Hanson Capital Partners, L.L.C.</w:t>
            </w:r>
          </w:p>
        </w:tc>
        <w:tc>
          <w:tcPr>
            <w:tcW w:w="1960" w:type="dxa"/>
            <w:vAlign w:val="bottom"/>
            <w:shd w:val="clear" w:color="auto" w:fill="D6F3E8"/>
          </w:tcPr>
          <w:p>
            <w:pPr>
              <w:spacing w:after="0"/>
              <w:rPr>
                <w:sz w:val="17"/>
                <w:szCs w:val="17"/>
                <w:color w:val="auto"/>
              </w:rPr>
            </w:pPr>
          </w:p>
        </w:tc>
        <w:tc>
          <w:tcPr>
            <w:tcW w:w="480" w:type="dxa"/>
            <w:vAlign w:val="bottom"/>
            <w:shd w:val="clear" w:color="auto" w:fill="D6F3E8"/>
          </w:tcPr>
          <w:p>
            <w:pPr>
              <w:spacing w:after="0"/>
              <w:rPr>
                <w:sz w:val="17"/>
                <w:szCs w:val="17"/>
                <w:color w:val="auto"/>
              </w:rPr>
            </w:pPr>
          </w:p>
        </w:tc>
        <w:tc>
          <w:tcPr>
            <w:tcW w:w="204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c/o Mr. John V. Hanson</w:t>
            </w:r>
          </w:p>
        </w:tc>
        <w:tc>
          <w:tcPr>
            <w:tcW w:w="196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20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7019 SE Harbor Circle</w:t>
            </w:r>
          </w:p>
        </w:tc>
        <w:tc>
          <w:tcPr>
            <w:tcW w:w="196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20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D6F3E8"/>
          </w:tcPr>
          <w:p>
            <w:pPr>
              <w:ind w:left="260"/>
              <w:spacing w:after="0"/>
              <w:rPr>
                <w:sz w:val="20"/>
                <w:szCs w:val="20"/>
                <w:color w:val="auto"/>
              </w:rPr>
            </w:pPr>
            <w:r>
              <w:rPr>
                <w:rFonts w:ascii="Arial" w:cs="Arial" w:eastAsia="Arial" w:hAnsi="Arial"/>
                <w:sz w:val="18"/>
                <w:szCs w:val="18"/>
                <w:color w:val="auto"/>
              </w:rPr>
              <w:t>Stuart, Florida 34996</w:t>
            </w:r>
          </w:p>
        </w:tc>
        <w:tc>
          <w:tcPr>
            <w:tcW w:w="19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1"/>
              </w:rPr>
              <w:t>2,003,012</w:t>
            </w:r>
            <w:r>
              <w:rPr>
                <w:rFonts w:ascii="Arial" w:cs="Arial" w:eastAsia="Arial" w:hAnsi="Arial"/>
                <w:sz w:val="15"/>
                <w:szCs w:val="15"/>
                <w:color w:val="auto"/>
                <w:w w:val="91"/>
              </w:rPr>
              <w:t>(4)</w:t>
            </w:r>
          </w:p>
        </w:tc>
        <w:tc>
          <w:tcPr>
            <w:tcW w:w="2520" w:type="dxa"/>
            <w:vAlign w:val="bottom"/>
            <w:gridSpan w:val="2"/>
            <w:shd w:val="clear" w:color="auto" w:fill="D6F3E8"/>
          </w:tcPr>
          <w:p>
            <w:pPr>
              <w:jc w:val="right"/>
              <w:ind w:right="568"/>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rPr>
              <w:t>Janus Capital Management LLC</w:t>
            </w:r>
          </w:p>
        </w:tc>
        <w:tc>
          <w:tcPr>
            <w:tcW w:w="1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100 Fillmore Street</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260"/>
              <w:spacing w:after="0"/>
              <w:rPr>
                <w:sz w:val="20"/>
                <w:szCs w:val="20"/>
                <w:color w:val="auto"/>
              </w:rPr>
            </w:pPr>
            <w:r>
              <w:rPr>
                <w:rFonts w:ascii="Arial" w:cs="Arial" w:eastAsia="Arial" w:hAnsi="Arial"/>
                <w:sz w:val="18"/>
                <w:szCs w:val="18"/>
                <w:color w:val="auto"/>
              </w:rPr>
              <w:t>Denver, Colorado 80206</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1,649,906</w:t>
            </w:r>
            <w:r>
              <w:rPr>
                <w:rFonts w:ascii="Arial" w:cs="Arial" w:eastAsia="Arial" w:hAnsi="Arial"/>
                <w:sz w:val="15"/>
                <w:szCs w:val="15"/>
                <w:color w:val="auto"/>
                <w:w w:val="91"/>
              </w:rPr>
              <w:t>(5)</w:t>
            </w:r>
          </w:p>
        </w:tc>
        <w:tc>
          <w:tcPr>
            <w:tcW w:w="2520" w:type="dxa"/>
            <w:vAlign w:val="bottom"/>
            <w:gridSpan w:val="2"/>
          </w:tcPr>
          <w:p>
            <w:pPr>
              <w:jc w:val="right"/>
              <w:ind w:right="56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-1879600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-1879600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-1879600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-1879600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32,873,574 outstanding shares of Common Stock on November 1, 2005.</w:t>
      </w:r>
    </w:p>
    <w:p>
      <w:pPr>
        <w:spacing w:after="0" w:line="117" w:lineRule="exact"/>
        <w:rPr>
          <w:rFonts w:ascii="Arial" w:cs="Arial" w:eastAsia="Arial" w:hAnsi="Arial"/>
          <w:sz w:val="18"/>
          <w:szCs w:val="18"/>
          <w:color w:val="auto"/>
        </w:rPr>
      </w:pPr>
    </w:p>
    <w:p>
      <w:pPr>
        <w:ind w:left="540" w:right="80" w:hanging="478"/>
        <w:spacing w:after="0" w:line="25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owned as of August 31, 2005 according to Amendment No. 1 to Schedule 13G filed with the SEC on September 13, 2005. EARNEST Partners, LLC, an investment advisor, is the beneficial owner of all 3,423,155 shares of Common Stock and has sole voting power, shared voting power and sole dispositive power with respect to 1,123,190 shares, 861,865 shares and 3,423,155 shares, respectively. The information contained in this footnote is derived from information contained in the Amendment No. 1 to Schedule 13G filed by EARNEST Partners, LLC with the SEC referred to herein.</w:t>
      </w:r>
    </w:p>
    <w:p>
      <w:pPr>
        <w:spacing w:after="0" w:line="80" w:lineRule="exact"/>
        <w:rPr>
          <w:rFonts w:ascii="Arial" w:cs="Arial" w:eastAsia="Arial" w:hAnsi="Arial"/>
          <w:sz w:val="18"/>
          <w:szCs w:val="18"/>
          <w:color w:val="auto"/>
        </w:rPr>
      </w:pPr>
    </w:p>
    <w:p>
      <w:pPr>
        <w:ind w:left="540" w:right="360" w:hanging="478"/>
        <w:spacing w:after="0" w:line="27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shares owned as of April 30, 2005 according to Amendment No. 2 to Schedule 13G filed with the SEC on May 9, 2005. Royce &amp; Associates, LLC, an investment advisor, is the beneficial owner of all 3,356,000 shares of Common Stock and has sole power to vote or direct the vote and to dispose or direct the disposition of all shares. The information contained in this footnote is derived from information contained in the Amendment No. 2 to Schedule 13G filed by Royce &amp; Associates, LLC with the SEC referred to herein.</w:t>
      </w:r>
    </w:p>
    <w:p>
      <w:pPr>
        <w:spacing w:after="0" w:line="63" w:lineRule="exact"/>
        <w:rPr>
          <w:rFonts w:ascii="Arial" w:cs="Arial" w:eastAsia="Arial" w:hAnsi="Arial"/>
          <w:sz w:val="17"/>
          <w:szCs w:val="17"/>
          <w:color w:val="auto"/>
        </w:rPr>
      </w:pPr>
    </w:p>
    <w:p>
      <w:pPr>
        <w:ind w:left="540" w:right="100" w:hanging="478"/>
        <w:spacing w:after="0" w:line="25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Hanson Capital Partners, L.L.C. (</w:t>
      </w:r>
      <w:r>
        <w:rPr>
          <w:rFonts w:ascii="Arial" w:cs="Arial" w:eastAsia="Arial" w:hAnsi="Arial"/>
          <w:sz w:val="18"/>
          <w:szCs w:val="18"/>
          <w:i w:val="1"/>
          <w:iCs w:val="1"/>
          <w:color w:val="auto"/>
        </w:rPr>
        <w:t>“HCP”</w:t>
      </w:r>
      <w:r>
        <w:rPr>
          <w:rFonts w:ascii="Arial" w:cs="Arial" w:eastAsia="Arial" w:hAnsi="Arial"/>
          <w:sz w:val="18"/>
          <w:szCs w:val="18"/>
          <w:color w:val="auto"/>
        </w:rPr>
        <w:t xml:space="preserve"> ) is a Delaware limited liability company whose members are the Luise V. Hanson Qualified Terminable Interest Property Marital Deduction Trust (the </w:t>
      </w:r>
      <w:r>
        <w:rPr>
          <w:rFonts w:ascii="Arial" w:cs="Arial" w:eastAsia="Arial" w:hAnsi="Arial"/>
          <w:sz w:val="18"/>
          <w:szCs w:val="18"/>
          <w:i w:val="1"/>
          <w:iCs w:val="1"/>
          <w:color w:val="auto"/>
        </w:rPr>
        <w:t>“QTIP Trust”</w:t>
      </w:r>
      <w:r>
        <w:rPr>
          <w:rFonts w:ascii="Arial" w:cs="Arial" w:eastAsia="Arial" w:hAnsi="Arial"/>
          <w:sz w:val="18"/>
          <w:szCs w:val="18"/>
          <w:color w:val="auto"/>
        </w:rPr>
        <w:t xml:space="preserve"> ), which has a 34.8% membership interest in HCP, and the Luise V. Hanson Revocable Trust, dated September 22, 1984 (the </w:t>
      </w:r>
      <w:r>
        <w:rPr>
          <w:rFonts w:ascii="Arial" w:cs="Arial" w:eastAsia="Arial" w:hAnsi="Arial"/>
          <w:sz w:val="18"/>
          <w:szCs w:val="18"/>
          <w:i w:val="1"/>
          <w:iCs w:val="1"/>
          <w:color w:val="auto"/>
        </w:rPr>
        <w:t>“Revocable Trust”</w:t>
      </w:r>
      <w:r>
        <w:rPr>
          <w:rFonts w:ascii="Arial" w:cs="Arial" w:eastAsia="Arial" w:hAnsi="Arial"/>
          <w:sz w:val="18"/>
          <w:szCs w:val="18"/>
          <w:color w:val="auto"/>
        </w:rPr>
        <w:t xml:space="preserve"> ), which has a 64.6% membership interest in HCP. Additionally, John V. Hanson, Mary Joan Boman (the sister of John V. Hanson) and Paul D. Hanson (the brother of John V. Hanson) each have, in their individual capacity, a .2% membership interest in HCP. John V. Hanson (a director of the Company), Mary Joan Boman and Paul D. Hanson (each an </w:t>
      </w:r>
      <w:r>
        <w:rPr>
          <w:rFonts w:ascii="Arial" w:cs="Arial" w:eastAsia="Arial" w:hAnsi="Arial"/>
          <w:sz w:val="18"/>
          <w:szCs w:val="18"/>
          <w:i w:val="1"/>
          <w:iCs w:val="1"/>
          <w:color w:val="auto"/>
        </w:rPr>
        <w:t>“Individual Trustee”</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“Individual Trustees”</w:t>
      </w:r>
      <w:r>
        <w:rPr>
          <w:rFonts w:ascii="Arial" w:cs="Arial" w:eastAsia="Arial" w:hAnsi="Arial"/>
          <w:sz w:val="18"/>
          <w:szCs w:val="18"/>
          <w:color w:val="auto"/>
        </w:rPr>
        <w:t xml:space="preserve"> ) and Bessemer Trust Company, N.A. (the </w:t>
      </w:r>
      <w:r>
        <w:rPr>
          <w:rFonts w:ascii="Arial" w:cs="Arial" w:eastAsia="Arial" w:hAnsi="Arial"/>
          <w:sz w:val="18"/>
          <w:szCs w:val="18"/>
          <w:i w:val="1"/>
          <w:iCs w:val="1"/>
          <w:color w:val="auto"/>
        </w:rPr>
        <w:t>“Corporate Trustee”</w:t>
      </w:r>
      <w:r>
        <w:rPr>
          <w:rFonts w:ascii="Arial" w:cs="Arial" w:eastAsia="Arial" w:hAnsi="Arial"/>
          <w:sz w:val="18"/>
          <w:szCs w:val="18"/>
          <w:color w:val="auto"/>
        </w:rPr>
        <w:t xml:space="preserve"> ) act as co-trustees under the QTIP Trust and the Revocable Trust. By virtue of the Revocable Trust’s 64.6% membership interest in HCP, a majority of the Individual Trustees together with the Corporate Trustee have sole voting power with respect to the 2,003,012 shares of Common Stock of which HCP is the beneficial owner. A majority of the Individual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Trustees together with the Corporate Trustee have sole dispositive power with respect to the 2,003,012 shares of Common Stock of which HCP is the beneficial owner, except that disposition of all or substantially all of those shares requires the unanimous approval of all members of HCP. The information contained in this footnote is derived from information contained in the Amendment No. 51 to Schedule 13D filed by Hanson Capital Partners, L.L.C. with the SEC on November 9, 2004.</w:t>
      </w:r>
    </w:p>
    <w:p>
      <w:pPr>
        <w:spacing w:after="0" w:line="79" w:lineRule="exact"/>
        <w:rPr>
          <w:sz w:val="20"/>
          <w:szCs w:val="20"/>
          <w:color w:val="auto"/>
        </w:rPr>
      </w:pPr>
    </w:p>
    <w:p>
      <w:pPr>
        <w:ind w:left="540" w:right="180" w:hanging="478"/>
        <w:spacing w:after="0" w:line="30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owned as of December 31, 2004 according to Amendment No. 2 to Schedule 13G filed with the SEC on February 14, 2005. Janus Capital Management LLC (</w:t>
      </w:r>
      <w:r>
        <w:rPr>
          <w:rFonts w:ascii="Arial" w:cs="Arial" w:eastAsia="Arial" w:hAnsi="Arial"/>
          <w:sz w:val="16"/>
          <w:szCs w:val="16"/>
          <w:i w:val="1"/>
          <w:iCs w:val="1"/>
          <w:color w:val="auto"/>
        </w:rPr>
        <w:t>“Janus Capital”</w:t>
      </w:r>
      <w:r>
        <w:rPr>
          <w:rFonts w:ascii="Arial" w:cs="Arial" w:eastAsia="Arial" w:hAnsi="Arial"/>
          <w:sz w:val="16"/>
          <w:szCs w:val="16"/>
          <w:color w:val="auto"/>
        </w:rPr>
        <w:t xml:space="preserve"> ) has an indirect 100% ownership stake in Bay Isle Financial LLC (</w:t>
      </w:r>
      <w:r>
        <w:rPr>
          <w:rFonts w:ascii="Arial" w:cs="Arial" w:eastAsia="Arial" w:hAnsi="Arial"/>
          <w:sz w:val="16"/>
          <w:szCs w:val="16"/>
          <w:i w:val="1"/>
          <w:iCs w:val="1"/>
          <w:color w:val="auto"/>
        </w:rPr>
        <w:t>“Bay Isle”</w:t>
      </w:r>
      <w:r>
        <w:rPr>
          <w:rFonts w:ascii="Arial" w:cs="Arial" w:eastAsia="Arial" w:hAnsi="Arial"/>
          <w:sz w:val="16"/>
          <w:szCs w:val="16"/>
          <w:color w:val="auto"/>
        </w:rPr>
        <w:t xml:space="preserve"> ) and an indirect 77.5% ownership stake in Enhanced Investment Technologies LLC (</w:t>
      </w:r>
      <w:r>
        <w:rPr>
          <w:rFonts w:ascii="Arial" w:cs="Arial" w:eastAsia="Arial" w:hAnsi="Arial"/>
          <w:sz w:val="16"/>
          <w:szCs w:val="16"/>
          <w:i w:val="1"/>
          <w:iCs w:val="1"/>
          <w:color w:val="auto"/>
        </w:rPr>
        <w:t>“INTECH”</w:t>
      </w:r>
      <w:r>
        <w:rPr>
          <w:rFonts w:ascii="Arial" w:cs="Arial" w:eastAsia="Arial" w:hAnsi="Arial"/>
          <w:sz w:val="16"/>
          <w:szCs w:val="16"/>
          <w:color w:val="auto"/>
        </w:rPr>
        <w:t xml:space="preserve"> ). Due to the above ownership structure, holdings for Janus Capital, Bay Isle and INTECH are aggregated for purposes of the Schedule 13G filed by Janus Capital. Janus Capital, Bay Isle and INTECH are registered</w:t>
      </w:r>
    </w:p>
    <w:p>
      <w:pPr>
        <w:sectPr>
          <w:pgSz w:w="11900" w:h="16850" w:orient="portrait"/>
          <w:cols w:equalWidth="0" w:num="1">
            <w:col w:w="11420"/>
          </w:cols>
          <w:pgMar w:left="240" w:top="125" w:right="239" w:bottom="0" w:gutter="0" w:footer="0" w:header="0"/>
        </w:sectPr>
      </w:pPr>
    </w:p>
    <w:bookmarkStart w:id="3" w:name="page4"/>
    <w:bookmarkEnd w:id="3"/>
    <w:p>
      <w:pPr>
        <w:ind w:left="540" w:right="140"/>
        <w:spacing w:after="0" w:line="271" w:lineRule="auto"/>
        <w:rPr>
          <w:sz w:val="20"/>
          <w:szCs w:val="20"/>
          <w:color w:val="auto"/>
        </w:rPr>
      </w:pPr>
      <w:r>
        <w:rPr>
          <w:rFonts w:ascii="Arial" w:cs="Arial" w:eastAsia="Arial" w:hAnsi="Arial"/>
          <w:sz w:val="17"/>
          <w:szCs w:val="17"/>
          <w:color w:val="auto"/>
        </w:rPr>
        <w:t xml:space="preserve">investment advisers, each furnishing investment advice to various investment companies registered under Section 8 of the Investment Company Act of 1940 and to individual and institutional clients (collectively referred to herein as </w:t>
      </w:r>
      <w:r>
        <w:rPr>
          <w:rFonts w:ascii="Arial" w:cs="Arial" w:eastAsia="Arial" w:hAnsi="Arial"/>
          <w:sz w:val="17"/>
          <w:szCs w:val="17"/>
          <w:i w:val="1"/>
          <w:iCs w:val="1"/>
          <w:color w:val="auto"/>
        </w:rPr>
        <w:t>“Managed Portfolios”</w:t>
      </w:r>
      <w:r>
        <w:rPr>
          <w:rFonts w:ascii="Arial" w:cs="Arial" w:eastAsia="Arial" w:hAnsi="Arial"/>
          <w:sz w:val="17"/>
          <w:szCs w:val="17"/>
          <w:color w:val="auto"/>
        </w:rPr>
        <w:t xml:space="preserve"> ). As a result of its role as investment adviser or sub-adviser to the Managed Portfolios, Janus Capital may be deemed to be the beneficial owner of the 1,649,906 shares of Common Stock held by such Managed Portfolios. However, Janus Capital does not have the right to receive any dividends from, or the proceeds from the sale of, the securities held in the Managed Portfolios and disclaims any ownership associated with such rights. Janus Fund, an investment company registered under the Investment Company Act of 1940, is the beneficial owner of 1,150,005 of the 1,649,906 shares of Common Stock. The information contained in this footnote is derived from information contained in the Amendment No. 2 to Schedule 13G filed by Janus Capital Management LLC with the SEC referred to herein.</w:t>
      </w:r>
    </w:p>
    <w:p>
      <w:pPr>
        <w:spacing w:after="0" w:line="192" w:lineRule="exact"/>
        <w:rPr>
          <w:sz w:val="20"/>
          <w:szCs w:val="20"/>
          <w:color w:val="auto"/>
        </w:rPr>
      </w:pPr>
    </w:p>
    <w:p>
      <w:pPr>
        <w:ind w:right="62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Common Stock by (i) each director, (ii) each nominee for election as a director, (iii) each executive officer listed in the Summary Compensation Table and (iv) the group named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of Common Stock</w:t>
            </w:r>
          </w:p>
        </w:tc>
        <w:tc>
          <w:tcPr>
            <w:tcW w:w="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r>
      <w:tr>
        <w:trPr>
          <w:trHeight w:val="149"/>
        </w:trPr>
        <w:tc>
          <w:tcPr>
            <w:tcW w:w="48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Owned Beneficially at</w:t>
            </w:r>
          </w:p>
        </w:tc>
        <w:tc>
          <w:tcPr>
            <w:tcW w:w="7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 Stock (%)</w:t>
            </w:r>
          </w:p>
        </w:tc>
      </w:tr>
      <w:tr>
        <w:trPr>
          <w:trHeight w:val="321"/>
        </w:trPr>
        <w:tc>
          <w:tcPr>
            <w:tcW w:w="480" w:type="dxa"/>
            <w:vAlign w:val="bottom"/>
            <w:tcBorders>
              <w:bottom w:val="single" w:sz="8" w:color="808080"/>
            </w:tcBorders>
          </w:tcPr>
          <w:p>
            <w:pPr>
              <w:spacing w:after="0"/>
              <w:rPr>
                <w:sz w:val="20"/>
                <w:szCs w:val="20"/>
                <w:color w:val="auto"/>
              </w:rPr>
            </w:pPr>
            <w:r>
              <w:rPr>
                <w:rFonts w:ascii="Arial" w:cs="Arial" w:eastAsia="Arial" w:hAnsi="Arial"/>
                <w:sz w:val="14"/>
                <w:szCs w:val="14"/>
                <w:b w:val="1"/>
                <w:bCs w:val="1"/>
                <w:color w:val="auto"/>
              </w:rPr>
              <w:t>Name</w:t>
            </w:r>
          </w:p>
        </w:tc>
        <w:tc>
          <w:tcPr>
            <w:tcW w:w="6600" w:type="dxa"/>
            <w:vAlign w:val="bottom"/>
          </w:tcPr>
          <w:p>
            <w:pPr>
              <w:spacing w:after="0"/>
              <w:rPr>
                <w:sz w:val="24"/>
                <w:szCs w:val="24"/>
                <w:color w:val="auto"/>
              </w:rPr>
            </w:pP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9"/>
              </w:rPr>
              <w:t>November 1, 2005</w:t>
            </w:r>
            <w:r>
              <w:rPr>
                <w:rFonts w:ascii="Arial" w:cs="Arial" w:eastAsia="Arial" w:hAnsi="Arial"/>
                <w:sz w:val="23"/>
                <w:szCs w:val="23"/>
                <w:b w:val="1"/>
                <w:bCs w:val="1"/>
                <w:color w:val="auto"/>
                <w:w w:val="89"/>
                <w:vertAlign w:val="superscript"/>
              </w:rPr>
              <w:t>(1)</w:t>
            </w:r>
          </w:p>
        </w:tc>
        <w:tc>
          <w:tcPr>
            <w:tcW w:w="740" w:type="dxa"/>
            <w:vAlign w:val="bottom"/>
          </w:tcPr>
          <w:p>
            <w:pPr>
              <w:spacing w:after="0"/>
              <w:rPr>
                <w:sz w:val="24"/>
                <w:szCs w:val="24"/>
                <w:color w:val="auto"/>
              </w:rPr>
            </w:pPr>
          </w:p>
        </w:tc>
        <w:tc>
          <w:tcPr>
            <w:tcW w:w="1300" w:type="dxa"/>
            <w:vAlign w:val="bottom"/>
            <w:tcBorders>
              <w:bottom w:val="single" w:sz="8" w:color="808080"/>
            </w:tcBorders>
          </w:tcPr>
          <w:p>
            <w:pPr>
              <w:jc w:val="center"/>
              <w:spacing w:after="0"/>
              <w:rPr>
                <w:sz w:val="20"/>
                <w:szCs w:val="20"/>
                <w:color w:val="auto"/>
              </w:rPr>
            </w:pPr>
            <w:r>
              <w:rPr>
                <w:rFonts w:ascii="Arial" w:cs="Arial" w:eastAsia="Arial" w:hAnsi="Arial"/>
                <w:sz w:val="12"/>
                <w:szCs w:val="12"/>
                <w:b w:val="1"/>
                <w:bCs w:val="1"/>
                <w:color w:val="auto"/>
                <w:w w:val="95"/>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shd w:val="clear" w:color="auto" w:fill="D6F3E8"/>
          </w:tcPr>
          <w:p>
            <w:pPr>
              <w:spacing w:after="0"/>
              <w:rPr>
                <w:sz w:val="20"/>
                <w:szCs w:val="20"/>
                <w:color w:val="auto"/>
              </w:rPr>
            </w:pPr>
            <w:r>
              <w:rPr>
                <w:rFonts w:ascii="Arial" w:cs="Arial" w:eastAsia="Arial" w:hAnsi="Arial"/>
                <w:sz w:val="18"/>
                <w:szCs w:val="18"/>
                <w:color w:val="auto"/>
              </w:rPr>
              <w:t>Irvin E. Aal</w:t>
            </w:r>
          </w:p>
        </w:tc>
        <w:tc>
          <w:tcPr>
            <w:tcW w:w="2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25,789</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(3)(4)</w:t>
            </w:r>
          </w:p>
        </w:tc>
        <w:tc>
          <w:tcPr>
            <w:tcW w:w="1760" w:type="dxa"/>
            <w:vAlign w:val="bottom"/>
            <w:shd w:val="clear" w:color="auto" w:fill="D6F3E8"/>
          </w:tcPr>
          <w:p>
            <w:pPr>
              <w:jc w:val="center"/>
              <w:ind w:left="21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20" w:type="dxa"/>
            <w:vAlign w:val="bottom"/>
            <w:shd w:val="clear" w:color="auto" w:fill="D6F3E8"/>
          </w:tcPr>
          <w:p>
            <w:pPr>
              <w:spacing w:after="0"/>
              <w:rPr>
                <w:sz w:val="5"/>
                <w:szCs w:val="5"/>
                <w:color w:val="auto"/>
              </w:rPr>
            </w:pPr>
          </w:p>
        </w:tc>
        <w:tc>
          <w:tcPr>
            <w:tcW w:w="2840" w:type="dxa"/>
            <w:vAlign w:val="bottom"/>
            <w:shd w:val="clear" w:color="auto" w:fill="D6F3E8"/>
          </w:tcPr>
          <w:p>
            <w:pPr>
              <w:spacing w:after="0"/>
              <w:rPr>
                <w:sz w:val="5"/>
                <w:szCs w:val="5"/>
                <w:color w:val="auto"/>
              </w:rPr>
            </w:pPr>
          </w:p>
        </w:tc>
        <w:tc>
          <w:tcPr>
            <w:tcW w:w="1280" w:type="dxa"/>
            <w:vAlign w:val="bottom"/>
            <w:vMerge w:val="continue"/>
            <w:shd w:val="clear" w:color="auto" w:fill="D6F3E8"/>
          </w:tcPr>
          <w:p>
            <w:pPr>
              <w:spacing w:after="0"/>
              <w:rPr>
                <w:sz w:val="5"/>
                <w:szCs w:val="5"/>
                <w:color w:val="auto"/>
              </w:rPr>
            </w:pPr>
          </w:p>
        </w:tc>
        <w:tc>
          <w:tcPr>
            <w:tcW w:w="1760" w:type="dxa"/>
            <w:vAlign w:val="bottom"/>
            <w:shd w:val="clear" w:color="auto" w:fill="D6F3E8"/>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Edwin F. Barker</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92,735</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Raymond M. Beebe</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26,076</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Borders>
              <w:bottom w:val="single" w:sz="8" w:color="D6F3E8"/>
            </w:tcBorders>
            <w:shd w:val="clear" w:color="auto" w:fill="D6F3E8"/>
          </w:tcPr>
          <w:p>
            <w:pPr>
              <w:spacing w:after="0"/>
              <w:rPr>
                <w:sz w:val="4"/>
                <w:szCs w:val="4"/>
                <w:color w:val="auto"/>
              </w:rPr>
            </w:pPr>
          </w:p>
        </w:tc>
        <w:tc>
          <w:tcPr>
            <w:tcW w:w="2840" w:type="dxa"/>
            <w:vAlign w:val="bottom"/>
            <w:tcBorders>
              <w:bottom w:val="single" w:sz="8" w:color="D6F3E8"/>
            </w:tcBorders>
            <w:shd w:val="clear" w:color="auto" w:fill="D6F3E8"/>
          </w:tcPr>
          <w:p>
            <w:pPr>
              <w:spacing w:after="0"/>
              <w:rPr>
                <w:sz w:val="4"/>
                <w:szCs w:val="4"/>
                <w:color w:val="auto"/>
              </w:rPr>
            </w:pPr>
          </w:p>
        </w:tc>
        <w:tc>
          <w:tcPr>
            <w:tcW w:w="1280" w:type="dxa"/>
            <w:vAlign w:val="bottom"/>
            <w:tcBorders>
              <w:bottom w:val="single" w:sz="8" w:color="D6F3E8"/>
            </w:tcBorders>
            <w:vMerge w:val="continue"/>
            <w:shd w:val="clear" w:color="auto" w:fill="D6F3E8"/>
          </w:tcPr>
          <w:p>
            <w:pPr>
              <w:spacing w:after="0"/>
              <w:rPr>
                <w:sz w:val="4"/>
                <w:szCs w:val="4"/>
                <w:color w:val="auto"/>
              </w:rPr>
            </w:pPr>
          </w:p>
        </w:tc>
        <w:tc>
          <w:tcPr>
            <w:tcW w:w="1760" w:type="dxa"/>
            <w:vAlign w:val="bottom"/>
            <w:tcBorders>
              <w:bottom w:val="single" w:sz="8" w:color="D6F3E8"/>
            </w:tcBorders>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Jerry N. Currie</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41,000</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Joseph W. England</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44,761</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(3)(4)</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Borders>
              <w:bottom w:val="single" w:sz="8" w:color="D6F3E8"/>
            </w:tcBorders>
            <w:shd w:val="clear" w:color="auto" w:fill="D6F3E8"/>
          </w:tcPr>
          <w:p>
            <w:pPr>
              <w:spacing w:after="0"/>
              <w:rPr>
                <w:sz w:val="4"/>
                <w:szCs w:val="4"/>
                <w:color w:val="auto"/>
              </w:rPr>
            </w:pPr>
          </w:p>
        </w:tc>
        <w:tc>
          <w:tcPr>
            <w:tcW w:w="2840" w:type="dxa"/>
            <w:vAlign w:val="bottom"/>
            <w:tcBorders>
              <w:bottom w:val="single" w:sz="8" w:color="D6F3E8"/>
            </w:tcBorders>
            <w:shd w:val="clear" w:color="auto" w:fill="D6F3E8"/>
          </w:tcPr>
          <w:p>
            <w:pPr>
              <w:spacing w:after="0"/>
              <w:rPr>
                <w:sz w:val="4"/>
                <w:szCs w:val="4"/>
                <w:color w:val="auto"/>
              </w:rPr>
            </w:pPr>
          </w:p>
        </w:tc>
        <w:tc>
          <w:tcPr>
            <w:tcW w:w="1280" w:type="dxa"/>
            <w:vAlign w:val="bottom"/>
            <w:tcBorders>
              <w:bottom w:val="single" w:sz="8" w:color="D6F3E8"/>
            </w:tcBorders>
            <w:vMerge w:val="continue"/>
            <w:shd w:val="clear" w:color="auto" w:fill="D6F3E8"/>
          </w:tcPr>
          <w:p>
            <w:pPr>
              <w:spacing w:after="0"/>
              <w:rPr>
                <w:sz w:val="4"/>
                <w:szCs w:val="4"/>
                <w:color w:val="auto"/>
              </w:rPr>
            </w:pPr>
          </w:p>
        </w:tc>
        <w:tc>
          <w:tcPr>
            <w:tcW w:w="1760" w:type="dxa"/>
            <w:vAlign w:val="bottom"/>
            <w:tcBorders>
              <w:bottom w:val="single" w:sz="8" w:color="D6F3E8"/>
            </w:tcBorders>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Lawrence A. Erickson</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11,057</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(3)(4)</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John V. Hanson</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48,260</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(3)(6)</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Borders>
              <w:bottom w:val="single" w:sz="8" w:color="D6F3E8"/>
            </w:tcBorders>
            <w:shd w:val="clear" w:color="auto" w:fill="D6F3E8"/>
          </w:tcPr>
          <w:p>
            <w:pPr>
              <w:spacing w:after="0"/>
              <w:rPr>
                <w:sz w:val="4"/>
                <w:szCs w:val="4"/>
                <w:color w:val="auto"/>
              </w:rPr>
            </w:pPr>
          </w:p>
        </w:tc>
        <w:tc>
          <w:tcPr>
            <w:tcW w:w="2840" w:type="dxa"/>
            <w:vAlign w:val="bottom"/>
            <w:tcBorders>
              <w:bottom w:val="single" w:sz="8" w:color="D6F3E8"/>
            </w:tcBorders>
            <w:shd w:val="clear" w:color="auto" w:fill="D6F3E8"/>
          </w:tcPr>
          <w:p>
            <w:pPr>
              <w:spacing w:after="0"/>
              <w:rPr>
                <w:sz w:val="4"/>
                <w:szCs w:val="4"/>
                <w:color w:val="auto"/>
              </w:rPr>
            </w:pPr>
          </w:p>
        </w:tc>
        <w:tc>
          <w:tcPr>
            <w:tcW w:w="1280" w:type="dxa"/>
            <w:vAlign w:val="bottom"/>
            <w:tcBorders>
              <w:bottom w:val="single" w:sz="8" w:color="D6F3E8"/>
            </w:tcBorders>
            <w:vMerge w:val="continue"/>
            <w:shd w:val="clear" w:color="auto" w:fill="D6F3E8"/>
          </w:tcPr>
          <w:p>
            <w:pPr>
              <w:spacing w:after="0"/>
              <w:rPr>
                <w:sz w:val="4"/>
                <w:szCs w:val="4"/>
                <w:color w:val="auto"/>
              </w:rPr>
            </w:pPr>
          </w:p>
        </w:tc>
        <w:tc>
          <w:tcPr>
            <w:tcW w:w="1760" w:type="dxa"/>
            <w:vAlign w:val="bottom"/>
            <w:tcBorders>
              <w:bottom w:val="single" w:sz="8" w:color="D6F3E8"/>
            </w:tcBorders>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John E. Herlitz</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11,057</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(3)(4)</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Bruce D. Hertzke</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351,816</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w w:val="92"/>
              </w:rPr>
              <w:t>1.0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Borders>
              <w:bottom w:val="single" w:sz="8" w:color="D6F3E8"/>
            </w:tcBorders>
            <w:shd w:val="clear" w:color="auto" w:fill="D6F3E8"/>
          </w:tcPr>
          <w:p>
            <w:pPr>
              <w:spacing w:after="0"/>
              <w:rPr>
                <w:sz w:val="4"/>
                <w:szCs w:val="4"/>
                <w:color w:val="auto"/>
              </w:rPr>
            </w:pPr>
          </w:p>
        </w:tc>
        <w:tc>
          <w:tcPr>
            <w:tcW w:w="2840" w:type="dxa"/>
            <w:vAlign w:val="bottom"/>
            <w:tcBorders>
              <w:bottom w:val="single" w:sz="8" w:color="D6F3E8"/>
            </w:tcBorders>
            <w:shd w:val="clear" w:color="auto" w:fill="D6F3E8"/>
          </w:tcPr>
          <w:p>
            <w:pPr>
              <w:spacing w:after="0"/>
              <w:rPr>
                <w:sz w:val="4"/>
                <w:szCs w:val="4"/>
                <w:color w:val="auto"/>
              </w:rPr>
            </w:pPr>
          </w:p>
        </w:tc>
        <w:tc>
          <w:tcPr>
            <w:tcW w:w="1280" w:type="dxa"/>
            <w:vAlign w:val="bottom"/>
            <w:tcBorders>
              <w:bottom w:val="single" w:sz="8" w:color="D6F3E8"/>
            </w:tcBorders>
            <w:vMerge w:val="continue"/>
            <w:shd w:val="clear" w:color="auto" w:fill="D6F3E8"/>
          </w:tcPr>
          <w:p>
            <w:pPr>
              <w:spacing w:after="0"/>
              <w:rPr>
                <w:sz w:val="4"/>
                <w:szCs w:val="4"/>
                <w:color w:val="auto"/>
              </w:rPr>
            </w:pPr>
          </w:p>
        </w:tc>
        <w:tc>
          <w:tcPr>
            <w:tcW w:w="1760" w:type="dxa"/>
            <w:vAlign w:val="bottom"/>
            <w:tcBorders>
              <w:bottom w:val="single" w:sz="8" w:color="D6F3E8"/>
            </w:tcBorders>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Gerald C. Kitch</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59,042</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(3)(4)</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William J. O’Leary</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49,234</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520" w:type="dxa"/>
            <w:vAlign w:val="bottom"/>
            <w:tcBorders>
              <w:bottom w:val="single" w:sz="8" w:color="D6F3E8"/>
            </w:tcBorders>
            <w:shd w:val="clear" w:color="auto" w:fill="D6F3E8"/>
          </w:tcPr>
          <w:p>
            <w:pPr>
              <w:spacing w:after="0"/>
              <w:rPr>
                <w:sz w:val="4"/>
                <w:szCs w:val="4"/>
                <w:color w:val="auto"/>
              </w:rPr>
            </w:pPr>
          </w:p>
        </w:tc>
        <w:tc>
          <w:tcPr>
            <w:tcW w:w="2840" w:type="dxa"/>
            <w:vAlign w:val="bottom"/>
            <w:tcBorders>
              <w:bottom w:val="single" w:sz="8" w:color="D6F3E8"/>
            </w:tcBorders>
            <w:shd w:val="clear" w:color="auto" w:fill="D6F3E8"/>
          </w:tcPr>
          <w:p>
            <w:pPr>
              <w:spacing w:after="0"/>
              <w:rPr>
                <w:sz w:val="4"/>
                <w:szCs w:val="4"/>
                <w:color w:val="auto"/>
              </w:rPr>
            </w:pPr>
          </w:p>
        </w:tc>
        <w:tc>
          <w:tcPr>
            <w:tcW w:w="1280" w:type="dxa"/>
            <w:vAlign w:val="bottom"/>
            <w:tcBorders>
              <w:bottom w:val="single" w:sz="8" w:color="D6F3E8"/>
            </w:tcBorders>
            <w:vMerge w:val="continue"/>
            <w:shd w:val="clear" w:color="auto" w:fill="D6F3E8"/>
          </w:tcPr>
          <w:p>
            <w:pPr>
              <w:spacing w:after="0"/>
              <w:rPr>
                <w:sz w:val="4"/>
                <w:szCs w:val="4"/>
                <w:color w:val="auto"/>
              </w:rPr>
            </w:pPr>
          </w:p>
        </w:tc>
        <w:tc>
          <w:tcPr>
            <w:tcW w:w="1760" w:type="dxa"/>
            <w:vAlign w:val="bottom"/>
            <w:tcBorders>
              <w:bottom w:val="single" w:sz="8" w:color="D6F3E8"/>
            </w:tcBorders>
            <w:shd w:val="clear" w:color="auto" w:fill="D6F3E8"/>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7"/>
                <w:szCs w:val="17"/>
                <w:color w:val="auto"/>
              </w:rPr>
              <w:t>Robert J. Olson</w:t>
            </w:r>
          </w:p>
        </w:tc>
        <w:tc>
          <w:tcPr>
            <w:tcW w:w="2840" w:type="dxa"/>
            <w:vAlign w:val="bottom"/>
          </w:tcPr>
          <w:p>
            <w:pPr>
              <w:jc w:val="right"/>
              <w:spacing w:after="0" w:line="149" w:lineRule="exact"/>
              <w:rPr>
                <w:sz w:val="20"/>
                <w:szCs w:val="20"/>
                <w:color w:val="auto"/>
              </w:rPr>
            </w:pPr>
            <w:r>
              <w:rPr>
                <w:rFonts w:ascii="Arial" w:cs="Arial" w:eastAsia="Arial" w:hAnsi="Arial"/>
                <w:sz w:val="17"/>
                <w:szCs w:val="17"/>
                <w:color w:val="auto"/>
              </w:rPr>
              <w:t>32,916</w:t>
            </w:r>
          </w:p>
        </w:tc>
        <w:tc>
          <w:tcPr>
            <w:tcW w:w="1280" w:type="dxa"/>
            <w:vAlign w:val="bottom"/>
            <w:vMerge w:val="restart"/>
          </w:tcPr>
          <w:p>
            <w:pPr>
              <w:spacing w:after="0"/>
              <w:rPr>
                <w:sz w:val="20"/>
                <w:szCs w:val="20"/>
                <w:color w:val="auto"/>
              </w:rPr>
            </w:pPr>
            <w:r>
              <w:rPr>
                <w:rFonts w:ascii="Arial" w:cs="Arial" w:eastAsia="Arial" w:hAnsi="Arial"/>
                <w:sz w:val="15"/>
                <w:szCs w:val="15"/>
                <w:color w:val="auto"/>
              </w:rPr>
              <w:t>(3)</w:t>
            </w:r>
          </w:p>
        </w:tc>
        <w:tc>
          <w:tcPr>
            <w:tcW w:w="1760" w:type="dxa"/>
            <w:vAlign w:val="bottom"/>
          </w:tcPr>
          <w:p>
            <w:pPr>
              <w:jc w:val="center"/>
              <w:ind w:left="215"/>
              <w:spacing w:after="0" w:line="14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D6F3E8"/>
          </w:tcPr>
          <w:p>
            <w:pPr>
              <w:spacing w:after="0" w:line="149" w:lineRule="exact"/>
              <w:rPr>
                <w:sz w:val="20"/>
                <w:szCs w:val="20"/>
                <w:color w:val="auto"/>
              </w:rPr>
            </w:pPr>
            <w:r>
              <w:rPr>
                <w:rFonts w:ascii="Arial" w:cs="Arial" w:eastAsia="Arial" w:hAnsi="Arial"/>
                <w:sz w:val="17"/>
                <w:szCs w:val="17"/>
                <w:color w:val="auto"/>
              </w:rPr>
              <w:t>Directors and officers as a group (16 persons)</w:t>
            </w:r>
          </w:p>
        </w:tc>
        <w:tc>
          <w:tcPr>
            <w:tcW w:w="2840" w:type="dxa"/>
            <w:vAlign w:val="bottom"/>
            <w:shd w:val="clear" w:color="auto" w:fill="D6F3E8"/>
          </w:tcPr>
          <w:p>
            <w:pPr>
              <w:jc w:val="right"/>
              <w:spacing w:after="0" w:line="149" w:lineRule="exact"/>
              <w:rPr>
                <w:sz w:val="20"/>
                <w:szCs w:val="20"/>
                <w:color w:val="auto"/>
              </w:rPr>
            </w:pPr>
            <w:r>
              <w:rPr>
                <w:rFonts w:ascii="Arial" w:cs="Arial" w:eastAsia="Arial" w:hAnsi="Arial"/>
                <w:sz w:val="17"/>
                <w:szCs w:val="17"/>
                <w:color w:val="auto"/>
              </w:rPr>
              <w:t>873,108</w:t>
            </w:r>
          </w:p>
        </w:tc>
        <w:tc>
          <w:tcPr>
            <w:tcW w:w="1280" w:type="dxa"/>
            <w:vAlign w:val="bottom"/>
            <w:vMerge w:val="restart"/>
            <w:shd w:val="clear" w:color="auto" w:fill="D6F3E8"/>
          </w:tcPr>
          <w:p>
            <w:pPr>
              <w:spacing w:after="0"/>
              <w:rPr>
                <w:sz w:val="20"/>
                <w:szCs w:val="20"/>
                <w:color w:val="auto"/>
              </w:rPr>
            </w:pPr>
            <w:r>
              <w:rPr>
                <w:rFonts w:ascii="Arial" w:cs="Arial" w:eastAsia="Arial" w:hAnsi="Arial"/>
                <w:sz w:val="15"/>
                <w:szCs w:val="15"/>
                <w:color w:val="auto"/>
              </w:rPr>
              <w:t>(3)(4)</w:t>
            </w:r>
          </w:p>
        </w:tc>
        <w:tc>
          <w:tcPr>
            <w:tcW w:w="1760" w:type="dxa"/>
            <w:vAlign w:val="bottom"/>
            <w:shd w:val="clear" w:color="auto" w:fill="D6F3E8"/>
          </w:tcPr>
          <w:p>
            <w:pPr>
              <w:jc w:val="center"/>
              <w:ind w:left="215"/>
              <w:spacing w:after="0" w:line="149" w:lineRule="exact"/>
              <w:rPr>
                <w:sz w:val="20"/>
                <w:szCs w:val="20"/>
                <w:color w:val="auto"/>
              </w:rPr>
            </w:pPr>
            <w:r>
              <w:rPr>
                <w:rFonts w:ascii="Arial" w:cs="Arial" w:eastAsia="Arial" w:hAnsi="Arial"/>
                <w:sz w:val="17"/>
                <w:szCs w:val="17"/>
                <w:color w:val="auto"/>
                <w:w w:val="92"/>
              </w:rPr>
              <w:t>2.6</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520" w:type="dxa"/>
            <w:vAlign w:val="bottom"/>
            <w:shd w:val="clear" w:color="auto" w:fill="D6F3E8"/>
          </w:tcPr>
          <w:p>
            <w:pPr>
              <w:spacing w:after="0"/>
              <w:rPr>
                <w:sz w:val="3"/>
                <w:szCs w:val="3"/>
                <w:color w:val="auto"/>
              </w:rPr>
            </w:pPr>
          </w:p>
        </w:tc>
        <w:tc>
          <w:tcPr>
            <w:tcW w:w="2840" w:type="dxa"/>
            <w:vAlign w:val="bottom"/>
            <w:shd w:val="clear" w:color="auto" w:fill="D6F3E8"/>
          </w:tcPr>
          <w:p>
            <w:pPr>
              <w:spacing w:after="0"/>
              <w:rPr>
                <w:sz w:val="3"/>
                <w:szCs w:val="3"/>
                <w:color w:val="auto"/>
              </w:rPr>
            </w:pPr>
          </w:p>
        </w:tc>
        <w:tc>
          <w:tcPr>
            <w:tcW w:w="1280" w:type="dxa"/>
            <w:vAlign w:val="bottom"/>
            <w:vMerge w:val="continue"/>
            <w:shd w:val="clear" w:color="auto" w:fill="D6F3E8"/>
          </w:tcPr>
          <w:p>
            <w:pPr>
              <w:spacing w:after="0"/>
              <w:rPr>
                <w:sz w:val="3"/>
                <w:szCs w:val="3"/>
                <w:color w:val="auto"/>
              </w:rPr>
            </w:pPr>
          </w:p>
        </w:tc>
        <w:tc>
          <w:tcPr>
            <w:tcW w:w="1760" w:type="dxa"/>
            <w:vAlign w:val="bottom"/>
            <w:shd w:val="clear" w:color="auto" w:fill="D6F3E8"/>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20" w:type="dxa"/>
            <w:vAlign w:val="bottom"/>
            <w:shd w:val="clear" w:color="auto" w:fill="D6F3E8"/>
          </w:tcPr>
          <w:p>
            <w:pPr>
              <w:spacing w:after="0"/>
              <w:rPr>
                <w:sz w:val="2"/>
                <w:szCs w:val="2"/>
                <w:color w:val="auto"/>
              </w:rPr>
            </w:pPr>
          </w:p>
        </w:tc>
        <w:tc>
          <w:tcPr>
            <w:tcW w:w="2840" w:type="dxa"/>
            <w:vAlign w:val="bottom"/>
            <w:shd w:val="clear" w:color="auto" w:fill="D6F3E8"/>
          </w:tcPr>
          <w:p>
            <w:pPr>
              <w:spacing w:after="0"/>
              <w:rPr>
                <w:sz w:val="2"/>
                <w:szCs w:val="2"/>
                <w:color w:val="auto"/>
              </w:rPr>
            </w:pPr>
          </w:p>
        </w:tc>
        <w:tc>
          <w:tcPr>
            <w:tcW w:w="1280" w:type="dxa"/>
            <w:vAlign w:val="bottom"/>
            <w:shd w:val="clear" w:color="auto" w:fill="D6F3E8"/>
          </w:tcPr>
          <w:p>
            <w:pPr>
              <w:spacing w:after="0"/>
              <w:rPr>
                <w:sz w:val="2"/>
                <w:szCs w:val="2"/>
                <w:color w:val="auto"/>
              </w:rPr>
            </w:pPr>
          </w:p>
        </w:tc>
        <w:tc>
          <w:tcPr>
            <w:tcW w:w="1760" w:type="dxa"/>
            <w:vAlign w:val="bottom"/>
            <w:shd w:val="clear" w:color="auto" w:fill="D6F3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ind w:left="540" w:right="220" w:hanging="478"/>
        <w:spacing w:after="0" w:line="28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32,873,574 outstanding shares of Common Stock on November 1, 2005, together with shares representing the 34,706 Winnebago Stock Units held by directors under the Company’s Directors’ Deferred Compensation Plan as of November 1, 2005 and 698,513 shares that directors and officers as a group have the right to acquire within 60 days of November 1, 2005 through the exercise of stock options.</w:t>
      </w:r>
    </w:p>
    <w:p>
      <w:pPr>
        <w:spacing w:after="0" w:line="57" w:lineRule="exact"/>
        <w:rPr>
          <w:rFonts w:ascii="Arial" w:cs="Arial" w:eastAsia="Arial" w:hAnsi="Arial"/>
          <w:sz w:val="17"/>
          <w:szCs w:val="17"/>
          <w:color w:val="auto"/>
        </w:rPr>
      </w:pPr>
    </w:p>
    <w:p>
      <w:pPr>
        <w:ind w:left="540" w:right="300" w:hanging="478"/>
        <w:spacing w:after="0" w:line="26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24,000, 60,795, 18,966, 38,000, 36,000, 10,000, 48,000, 10,000, 314,526, 28,000, 27,766, 22,912 and 698,513 shares, which Messrs. Aal, Barker, Beebe, Currie, England, Erickson, Hanson, Herlitz, Hertzke, Kitch, O’Leary, Olson and the directors and officers as a group, respectively, have the right to acquire within 60 days of November 1, 2005, through the exercise of stock options.</w:t>
      </w:r>
    </w:p>
    <w:p>
      <w:pPr>
        <w:spacing w:after="0" w:line="73" w:lineRule="exact"/>
        <w:rPr>
          <w:rFonts w:ascii="Arial" w:cs="Arial" w:eastAsia="Arial" w:hAnsi="Arial"/>
          <w:sz w:val="18"/>
          <w:szCs w:val="18"/>
          <w:color w:val="auto"/>
        </w:rPr>
      </w:pPr>
    </w:p>
    <w:p>
      <w:pPr>
        <w:ind w:left="540" w:right="220" w:hanging="478"/>
        <w:spacing w:after="0" w:line="31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1,789, 8,761, 1,057, 1,057 and 22,042 Winnebago Stock Units, held by Messrs. Aal, England, Erickson, Herlitz and Kitch, respectively, under the Company’s Directors’ Deferred Compensation Plan as of November 1</w:t>
      </w:r>
      <w:r>
        <w:rPr>
          <w:rFonts w:ascii="Arial" w:cs="Arial" w:eastAsia="Arial" w:hAnsi="Arial"/>
          <w:sz w:val="16"/>
          <w:szCs w:val="16"/>
          <w:b w:val="1"/>
          <w:bCs w:val="1"/>
          <w:color w:val="auto"/>
        </w:rPr>
        <w:t>,</w:t>
      </w:r>
      <w:r>
        <w:rPr>
          <w:rFonts w:ascii="Arial" w:cs="Arial" w:eastAsia="Arial" w:hAnsi="Arial"/>
          <w:sz w:val="16"/>
          <w:szCs w:val="16"/>
          <w:color w:val="auto"/>
        </w:rPr>
        <w:t xml:space="preserve"> 2005. The Winnebago Stock Units are payable in an equal number of shares of Common Stock upon the respective directors’ termination of service as a director or on January 1, 2011 in the case of Mr. Erickson.</w:t>
      </w:r>
    </w:p>
    <w:p>
      <w:pPr>
        <w:spacing w:after="0" w:line="38" w:lineRule="exact"/>
        <w:rPr>
          <w:rFonts w:ascii="Arial" w:cs="Arial" w:eastAsia="Arial" w:hAnsi="Arial"/>
          <w:sz w:val="16"/>
          <w:szCs w:val="16"/>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(4) to the preceding table.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ELECTION OF DIRECTORS</w:t>
      </w:r>
    </w:p>
    <w:p>
      <w:pPr>
        <w:spacing w:after="0" w:line="219"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III directors will expire, and three persons will be elected to serve in that class until the Company’s Annual Meeting of Shareholders in 2009 or until their respective successors are elected. The terms of office of the Class I and Class II directors will expire at the Company’s Annual Meetings of Shareholders in 2007 and 2008, respectively.</w:t>
      </w:r>
    </w:p>
    <w:p>
      <w:pPr>
        <w:spacing w:after="0" w:line="148"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8"/>
          <w:szCs w:val="18"/>
          <w:b w:val="1"/>
          <w:bCs w:val="1"/>
          <w:color w:val="auto"/>
        </w:rPr>
        <w:t>The shares represented by the enclosed proxy will be voted for the election as directors of the nominees for Class III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named below if no direction is made otherwise. All three nominees are currently directors of the Company and were elected by the shareholders at the Company’s 2003 Annual Meeting of Shareholders.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780" w:type="dxa"/>
            <w:vAlign w:val="bottom"/>
          </w:tcPr>
          <w:p>
            <w:pPr>
              <w:spacing w:after="0"/>
              <w:rPr>
                <w:sz w:val="14"/>
                <w:szCs w:val="14"/>
                <w:color w:val="auto"/>
              </w:rPr>
            </w:pPr>
          </w:p>
        </w:tc>
        <w:tc>
          <w:tcPr>
            <w:tcW w:w="58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303"/>
        </w:trPr>
        <w:tc>
          <w:tcPr>
            <w:tcW w:w="2300" w:type="dxa"/>
            <w:vAlign w:val="bottom"/>
            <w:tcBorders>
              <w:bottom w:val="single" w:sz="8" w:color="808080"/>
            </w:tcBorders>
            <w:vMerge w:val="continue"/>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4"/>
              </w:rPr>
              <w:t>and Other Directorships Held</w:t>
            </w:r>
          </w:p>
        </w:tc>
        <w:tc>
          <w:tcPr>
            <w:tcW w:w="800" w:type="dxa"/>
            <w:vAlign w:val="bottom"/>
          </w:tcPr>
          <w:p>
            <w:pPr>
              <w:spacing w:after="0"/>
              <w:rPr>
                <w:sz w:val="24"/>
                <w:szCs w:val="24"/>
                <w:color w:val="auto"/>
              </w:rPr>
            </w:pPr>
          </w:p>
        </w:tc>
        <w:tc>
          <w:tcPr>
            <w:tcW w:w="17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Became a Director</w:t>
            </w:r>
          </w:p>
        </w:tc>
        <w:tc>
          <w:tcPr>
            <w:tcW w:w="0" w:type="dxa"/>
            <w:vAlign w:val="bottom"/>
          </w:tcPr>
          <w:p>
            <w:pPr>
              <w:spacing w:after="0"/>
              <w:rPr>
                <w:sz w:val="1"/>
                <w:szCs w:val="1"/>
                <w:color w:val="auto"/>
              </w:rPr>
            </w:pPr>
          </w:p>
        </w:tc>
      </w:tr>
      <w:tr>
        <w:trPr>
          <w:trHeight w:val="307"/>
        </w:trPr>
        <w:tc>
          <w:tcPr>
            <w:tcW w:w="8920" w:type="dxa"/>
            <w:vAlign w:val="bottom"/>
            <w:gridSpan w:val="3"/>
          </w:tcPr>
          <w:p>
            <w:pPr>
              <w:spacing w:after="0"/>
              <w:rPr>
                <w:sz w:val="20"/>
                <w:szCs w:val="20"/>
                <w:color w:val="auto"/>
              </w:rPr>
            </w:pPr>
            <w:r>
              <w:rPr>
                <w:rFonts w:ascii="Arial" w:cs="Arial" w:eastAsia="Arial" w:hAnsi="Arial"/>
                <w:sz w:val="18"/>
                <w:szCs w:val="18"/>
                <w:b w:val="1"/>
                <w:bCs w:val="1"/>
                <w:color w:val="auto"/>
              </w:rPr>
              <w:t>Class III — Nominees for Directors to be Elected to Serve Until the 2009 Annual Meeting</w:t>
            </w: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auto"/>
              </w:rPr>
              <w:t>John V. Hanson (63)</w:t>
            </w:r>
          </w:p>
        </w:tc>
        <w:tc>
          <w:tcPr>
            <w:tcW w:w="7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Retired; former Deputy Chairman of the Board of Directors of Winnebago</w:t>
            </w:r>
          </w:p>
        </w:tc>
        <w:tc>
          <w:tcPr>
            <w:tcW w:w="2500" w:type="dxa"/>
            <w:vAlign w:val="bottom"/>
            <w:gridSpan w:val="2"/>
          </w:tcPr>
          <w:p>
            <w:pPr>
              <w:jc w:val="center"/>
              <w:ind w:left="739"/>
              <w:spacing w:after="0" w:line="217" w:lineRule="exact"/>
              <w:rPr>
                <w:sz w:val="20"/>
                <w:szCs w:val="20"/>
                <w:color w:val="auto"/>
              </w:rPr>
            </w:pPr>
            <w:r>
              <w:rPr>
                <w:rFonts w:ascii="Arial" w:cs="Arial" w:eastAsia="Arial" w:hAnsi="Arial"/>
                <w:sz w:val="25"/>
                <w:szCs w:val="25"/>
                <w:color w:val="auto"/>
                <w:vertAlign w:val="subscript"/>
              </w:rPr>
              <w:t>1996</w:t>
            </w: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Industries, Inc.</w:t>
            </w: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-508000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-508000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-508000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-508000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-508000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764"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220" cy="943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14"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Bruce D. Hertzke (54)</w:t>
      </w:r>
      <w:r>
        <w:rPr>
          <w:sz w:val="20"/>
          <w:szCs w:val="20"/>
          <w:color w:val="auto"/>
        </w:rPr>
        <w:tab/>
      </w:r>
      <w:r>
        <w:rPr>
          <w:rFonts w:ascii="Arial" w:cs="Arial" w:eastAsia="Arial" w:hAnsi="Arial"/>
          <w:sz w:val="16"/>
          <w:szCs w:val="16"/>
          <w:color w:val="auto"/>
        </w:rPr>
        <w:t>Chairman of the Board and Chief Executive Officer,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7220" cy="943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Gerald C. Kitch (67)</w:t>
      </w:r>
      <w:r>
        <w:rPr>
          <w:sz w:val="20"/>
          <w:szCs w:val="20"/>
          <w:color w:val="auto"/>
        </w:rPr>
        <w:tab/>
      </w:r>
      <w:r>
        <w:rPr>
          <w:rFonts w:ascii="Arial" w:cs="Arial" w:eastAsia="Arial" w:hAnsi="Arial"/>
          <w:sz w:val="16"/>
          <w:szCs w:val="16"/>
          <w:color w:val="auto"/>
        </w:rPr>
        <w:t>Retired; former Executive Vice President, Pentair, Inc., diversified manufacturer</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of tools, equipment and ammunition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7220" cy="943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1997</w:t>
      </w:r>
      <w:r>
        <w:rPr>
          <w:rFonts w:ascii="Arial" w:cs="Arial" w:eastAsia="Arial" w:hAnsi="Arial"/>
          <w:sz w:val="24"/>
          <w:szCs w:val="24"/>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1996</w:t>
      </w:r>
      <w:r>
        <w:rPr>
          <w:rFonts w:ascii="Arial" w:cs="Arial" w:eastAsia="Arial" w:hAnsi="Arial"/>
          <w:sz w:val="24"/>
          <w:szCs w:val="24"/>
          <w:color w:val="auto"/>
          <w:vertAlign w:val="superscript"/>
        </w:rPr>
        <w:t>(2)</w:t>
      </w:r>
    </w:p>
    <w:p>
      <w:pPr>
        <w:spacing w:after="0" w:line="2247" w:lineRule="exact"/>
        <w:rPr>
          <w:sz w:val="20"/>
          <w:szCs w:val="20"/>
          <w:color w:val="auto"/>
        </w:rPr>
      </w:pPr>
    </w:p>
    <w:p>
      <w:pPr>
        <w:sectPr>
          <w:pgSz w:w="11900" w:h="16838" w:orient="portrait"/>
          <w:cols w:equalWidth="0" w:num="2">
            <w:col w:w="9580" w:space="720"/>
            <w:col w:w="1120"/>
          </w:cols>
          <w:pgMar w:left="240" w:top="1440" w:right="239" w:bottom="117" w:gutter="0" w:footer="0" w:header="0"/>
        </w:sect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Name (Age)</w:t>
            </w:r>
            <w:r>
              <w:rPr>
                <w:rFonts w:ascii="Arial" w:cs="Arial" w:eastAsia="Arial" w:hAnsi="Arial"/>
                <w:sz w:val="23"/>
                <w:szCs w:val="23"/>
                <w:b w:val="1"/>
                <w:bCs w:val="1"/>
                <w:color w:val="auto"/>
                <w:vertAlign w:val="superscript"/>
              </w:rPr>
              <w:t>(1)</w:t>
            </w:r>
          </w:p>
        </w:tc>
        <w:tc>
          <w:tcPr>
            <w:tcW w:w="780" w:type="dxa"/>
            <w:vAlign w:val="bottom"/>
          </w:tcPr>
          <w:p>
            <w:pPr>
              <w:spacing w:after="0"/>
              <w:rPr>
                <w:sz w:val="14"/>
                <w:szCs w:val="14"/>
                <w:color w:val="auto"/>
              </w:rPr>
            </w:pPr>
          </w:p>
        </w:tc>
        <w:tc>
          <w:tcPr>
            <w:tcW w:w="58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w:t>
            </w:r>
          </w:p>
        </w:tc>
        <w:tc>
          <w:tcPr>
            <w:tcW w:w="8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303"/>
        </w:trPr>
        <w:tc>
          <w:tcPr>
            <w:tcW w:w="2300" w:type="dxa"/>
            <w:vAlign w:val="bottom"/>
            <w:tcBorders>
              <w:bottom w:val="single" w:sz="8" w:color="808080"/>
            </w:tcBorders>
            <w:vMerge w:val="continue"/>
          </w:tcPr>
          <w:p>
            <w:pPr>
              <w:spacing w:after="0"/>
              <w:rPr>
                <w:sz w:val="24"/>
                <w:szCs w:val="24"/>
                <w:color w:val="auto"/>
              </w:rPr>
            </w:pPr>
          </w:p>
        </w:tc>
        <w:tc>
          <w:tcPr>
            <w:tcW w:w="780" w:type="dxa"/>
            <w:vAlign w:val="bottom"/>
          </w:tcPr>
          <w:p>
            <w:pPr>
              <w:spacing w:after="0"/>
              <w:rPr>
                <w:sz w:val="24"/>
                <w:szCs w:val="24"/>
                <w:color w:val="auto"/>
              </w:rPr>
            </w:pPr>
          </w:p>
        </w:tc>
        <w:tc>
          <w:tcPr>
            <w:tcW w:w="58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4"/>
              </w:rPr>
              <w:t>and Other Directorships Held</w:t>
            </w:r>
          </w:p>
        </w:tc>
        <w:tc>
          <w:tcPr>
            <w:tcW w:w="800" w:type="dxa"/>
            <w:vAlign w:val="bottom"/>
          </w:tcPr>
          <w:p>
            <w:pPr>
              <w:spacing w:after="0"/>
              <w:rPr>
                <w:sz w:val="24"/>
                <w:szCs w:val="24"/>
                <w:color w:val="auto"/>
              </w:rPr>
            </w:pPr>
          </w:p>
        </w:tc>
        <w:tc>
          <w:tcPr>
            <w:tcW w:w="17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92"/>
              </w:rPr>
              <w:t>Became a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40" w:right="239" w:bottom="117"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 Directors Whose Terms Expire at the 2007 Annual Meeting</w:t>
      </w:r>
    </w:p>
    <w:p>
      <w:pPr>
        <w:spacing w:after="0" w:line="27" w:lineRule="exact"/>
        <w:rPr>
          <w:sz w:val="20"/>
          <w:szCs w:val="20"/>
          <w:color w:val="auto"/>
        </w:rPr>
      </w:pPr>
    </w:p>
    <w:p>
      <w:pPr>
        <w:ind w:left="3080" w:right="760" w:hanging="3078"/>
        <w:spacing w:after="0" w:line="295" w:lineRule="auto"/>
        <w:tabs>
          <w:tab w:leader="none" w:pos="3060" w:val="left"/>
        </w:tabs>
        <w:rPr>
          <w:sz w:val="20"/>
          <w:szCs w:val="20"/>
          <w:color w:val="auto"/>
        </w:rPr>
      </w:pPr>
      <w:r>
        <w:rPr>
          <w:rFonts w:ascii="Arial" w:cs="Arial" w:eastAsia="Arial" w:hAnsi="Arial"/>
          <w:sz w:val="18"/>
          <w:szCs w:val="18"/>
          <w:color w:val="auto"/>
        </w:rPr>
        <w:t>Irvin E. Aal (66)</w:t>
      </w:r>
      <w:r>
        <w:rPr>
          <w:sz w:val="20"/>
          <w:szCs w:val="20"/>
          <w:color w:val="auto"/>
        </w:rPr>
        <w:tab/>
      </w:r>
      <w:r>
        <w:rPr>
          <w:rFonts w:ascii="Arial" w:cs="Arial" w:eastAsia="Arial" w:hAnsi="Arial"/>
          <w:sz w:val="16"/>
          <w:szCs w:val="16"/>
          <w:color w:val="auto"/>
        </w:rPr>
        <w:t>Retired; former General Manager of Case Tyler Business Unit of CNH Global and predecessor corporation, manufacturer of banded application business equipment; previously President and Chief Executive Officer of Tyler Industries, privately owned specialized agricultural equipment manufacturing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617220" cy="943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Joseph W. England (65)</w:t>
      </w:r>
      <w:r>
        <w:rPr>
          <w:sz w:val="20"/>
          <w:szCs w:val="20"/>
          <w:color w:val="auto"/>
        </w:rPr>
        <w:tab/>
      </w:r>
      <w:r>
        <w:rPr>
          <w:rFonts w:ascii="Arial" w:cs="Arial" w:eastAsia="Arial" w:hAnsi="Arial"/>
          <w:sz w:val="16"/>
          <w:szCs w:val="16"/>
          <w:color w:val="auto"/>
        </w:rPr>
        <w:t>Retired; former Senior Vice President — Accounting — Control of Deere &amp;</w:t>
      </w:r>
    </w:p>
    <w:p>
      <w:pPr>
        <w:spacing w:after="0" w:line="23" w:lineRule="exact"/>
        <w:rPr>
          <w:sz w:val="20"/>
          <w:szCs w:val="20"/>
          <w:color w:val="auto"/>
        </w:rPr>
      </w:pPr>
    </w:p>
    <w:p>
      <w:pPr>
        <w:ind w:left="3080" w:right="900"/>
        <w:spacing w:after="0" w:line="261" w:lineRule="auto"/>
        <w:rPr>
          <w:sz w:val="20"/>
          <w:szCs w:val="20"/>
          <w:color w:val="auto"/>
        </w:rPr>
      </w:pPr>
      <w:r>
        <w:rPr>
          <w:rFonts w:ascii="Arial" w:cs="Arial" w:eastAsia="Arial" w:hAnsi="Arial"/>
          <w:sz w:val="18"/>
          <w:szCs w:val="18"/>
          <w:color w:val="auto"/>
        </w:rPr>
        <w:t>Company (a mobile power equipment manufacturer). Mr. England is a director of First Midwest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617220" cy="943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2001</w:t>
      </w:r>
    </w:p>
    <w:p>
      <w:pPr>
        <w:spacing w:after="0" w:line="696" w:lineRule="exact"/>
        <w:rPr>
          <w:sz w:val="20"/>
          <w:szCs w:val="20"/>
          <w:color w:val="auto"/>
        </w:rPr>
      </w:pPr>
    </w:p>
    <w:p>
      <w:pPr>
        <w:sectPr>
          <w:pgSz w:w="11900" w:h="16838" w:orient="portrait"/>
          <w:cols w:equalWidth="0" w:num="2">
            <w:col w:w="9660" w:space="720"/>
            <w:col w:w="1040"/>
          </w:cols>
          <w:pgMar w:left="240" w:top="1440" w:right="239" w:bottom="1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Class II — Directors Whose Terms Expire at the 2008 Annual Meeting</w:t>
            </w:r>
          </w:p>
        </w:tc>
        <w:tc>
          <w:tcPr>
            <w:tcW w:w="11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Jerry N. Currie (60)</w:t>
            </w:r>
          </w:p>
        </w:tc>
        <w:tc>
          <w:tcPr>
            <w:tcW w:w="7340" w:type="dxa"/>
            <w:vAlign w:val="bottom"/>
          </w:tcPr>
          <w:p>
            <w:pPr>
              <w:ind w:left="820"/>
              <w:spacing w:after="0"/>
              <w:rPr>
                <w:sz w:val="20"/>
                <w:szCs w:val="20"/>
                <w:color w:val="auto"/>
              </w:rPr>
            </w:pPr>
            <w:r>
              <w:rPr>
                <w:rFonts w:ascii="Arial" w:cs="Arial" w:eastAsia="Arial" w:hAnsi="Arial"/>
                <w:sz w:val="18"/>
                <w:szCs w:val="18"/>
                <w:color w:val="auto"/>
              </w:rPr>
              <w:t>President &amp; Chief Executive Officer of both Curries Company, manufacturer of</w:t>
            </w: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2260" w:type="dxa"/>
            <w:vAlign w:val="bottom"/>
          </w:tcPr>
          <w:p>
            <w:pPr>
              <w:spacing w:after="0"/>
              <w:rPr>
                <w:sz w:val="18"/>
                <w:szCs w:val="18"/>
                <w:color w:val="auto"/>
              </w:rPr>
            </w:pPr>
          </w:p>
        </w:tc>
        <w:tc>
          <w:tcPr>
            <w:tcW w:w="7340" w:type="dxa"/>
            <w:vAlign w:val="bottom"/>
          </w:tcPr>
          <w:p>
            <w:pPr>
              <w:ind w:left="820"/>
              <w:spacing w:after="0"/>
              <w:rPr>
                <w:sz w:val="20"/>
                <w:szCs w:val="20"/>
                <w:color w:val="auto"/>
              </w:rPr>
            </w:pPr>
            <w:r>
              <w:rPr>
                <w:rFonts w:ascii="Arial" w:cs="Arial" w:eastAsia="Arial" w:hAnsi="Arial"/>
                <w:sz w:val="18"/>
                <w:szCs w:val="18"/>
                <w:color w:val="auto"/>
              </w:rPr>
              <w:t>steel doors and frames for nonresidential construction, and Graham</w:t>
            </w:r>
          </w:p>
        </w:tc>
        <w:tc>
          <w:tcPr>
            <w:tcW w:w="11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7340" w:type="dxa"/>
            <w:vAlign w:val="bottom"/>
          </w:tcPr>
          <w:p>
            <w:pPr>
              <w:ind w:left="820"/>
              <w:spacing w:after="0"/>
              <w:rPr>
                <w:sz w:val="20"/>
                <w:szCs w:val="20"/>
                <w:color w:val="auto"/>
              </w:rPr>
            </w:pPr>
            <w:r>
              <w:rPr>
                <w:rFonts w:ascii="Arial" w:cs="Arial" w:eastAsia="Arial" w:hAnsi="Arial"/>
                <w:sz w:val="18"/>
                <w:szCs w:val="18"/>
                <w:color w:val="auto"/>
              </w:rPr>
              <w:t>Manufacturing, manufacturer of wood doors for nonresidential construction</w:t>
            </w: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617220" cy="943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3080" w:right="680" w:hanging="3078"/>
        <w:spacing w:after="0" w:line="258" w:lineRule="auto"/>
        <w:tabs>
          <w:tab w:leader="none" w:pos="3060" w:val="left"/>
        </w:tabs>
        <w:rPr>
          <w:sz w:val="20"/>
          <w:szCs w:val="20"/>
          <w:color w:val="auto"/>
        </w:rPr>
      </w:pPr>
      <w:r>
        <w:rPr>
          <w:rFonts w:ascii="Arial" w:cs="Arial" w:eastAsia="Arial" w:hAnsi="Arial"/>
          <w:sz w:val="18"/>
          <w:szCs w:val="18"/>
          <w:color w:val="auto"/>
        </w:rPr>
        <w:t>Lawrence A. Erickson (56)</w:t>
      </w:r>
      <w:r>
        <w:rPr>
          <w:sz w:val="20"/>
          <w:szCs w:val="20"/>
          <w:color w:val="auto"/>
        </w:rPr>
        <w:tab/>
      </w:r>
      <w:r>
        <w:rPr>
          <w:rFonts w:ascii="Arial" w:cs="Arial" w:eastAsia="Arial" w:hAnsi="Arial"/>
          <w:sz w:val="18"/>
          <w:szCs w:val="18"/>
          <w:color w:val="auto"/>
        </w:rPr>
        <w:t>Retired; former Senior Vice President &amp; Chief Financial Officer of Rockwell 2005 Collins, Inc., provider of communication and aviation electronic solutions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7220" cy="943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ind w:left="3080"/>
        <w:spacing w:after="0"/>
        <w:rPr>
          <w:sz w:val="20"/>
          <w:szCs w:val="20"/>
          <w:color w:val="auto"/>
        </w:rPr>
      </w:pPr>
      <w:r>
        <w:rPr>
          <w:rFonts w:ascii="Arial" w:cs="Arial" w:eastAsia="Arial" w:hAnsi="Arial"/>
          <w:sz w:val="18"/>
          <w:szCs w:val="18"/>
          <w:color w:val="auto"/>
        </w:rPr>
        <w:t>commercial and military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John E. Herlitz (62)</w:t>
            </w:r>
          </w:p>
        </w:tc>
        <w:tc>
          <w:tcPr>
            <w:tcW w:w="7120" w:type="dxa"/>
            <w:vAlign w:val="bottom"/>
          </w:tcPr>
          <w:p>
            <w:pPr>
              <w:ind w:left="820"/>
              <w:spacing w:after="0"/>
              <w:rPr>
                <w:sz w:val="20"/>
                <w:szCs w:val="20"/>
                <w:color w:val="auto"/>
              </w:rPr>
            </w:pPr>
            <w:r>
              <w:rPr>
                <w:rFonts w:ascii="Arial" w:cs="Arial" w:eastAsia="Arial" w:hAnsi="Arial"/>
                <w:sz w:val="18"/>
                <w:szCs w:val="18"/>
                <w:color w:val="auto"/>
              </w:rPr>
              <w:t>Retired; former Senior Vice President — Design of DaimlerChrysler AG,</w:t>
            </w:r>
          </w:p>
        </w:tc>
        <w:tc>
          <w:tcPr>
            <w:tcW w:w="136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30"/>
        </w:trPr>
        <w:tc>
          <w:tcPr>
            <w:tcW w:w="2260" w:type="dxa"/>
            <w:vAlign w:val="bottom"/>
          </w:tcPr>
          <w:p>
            <w:pPr>
              <w:spacing w:after="0"/>
              <w:rPr>
                <w:sz w:val="20"/>
                <w:szCs w:val="20"/>
                <w:color w:val="auto"/>
              </w:rPr>
            </w:pPr>
          </w:p>
        </w:tc>
        <w:tc>
          <w:tcPr>
            <w:tcW w:w="7120" w:type="dxa"/>
            <w:vAlign w:val="bottom"/>
          </w:tcPr>
          <w:p>
            <w:pPr>
              <w:ind w:left="820"/>
              <w:spacing w:after="0"/>
              <w:rPr>
                <w:sz w:val="20"/>
                <w:szCs w:val="20"/>
                <w:color w:val="auto"/>
              </w:rPr>
            </w:pPr>
            <w:r>
              <w:rPr>
                <w:rFonts w:ascii="Arial" w:cs="Arial" w:eastAsia="Arial" w:hAnsi="Arial"/>
                <w:sz w:val="18"/>
                <w:szCs w:val="18"/>
                <w:color w:val="auto"/>
              </w:rPr>
              <w:t>automobile manufacturer</w:t>
            </w:r>
          </w:p>
        </w:tc>
        <w:tc>
          <w:tcPr>
            <w:tcW w:w="1360" w:type="dxa"/>
            <w:vAlign w:val="bottom"/>
          </w:tcPr>
          <w:p>
            <w:pPr>
              <w:spacing w:after="0"/>
              <w:rPr>
                <w:sz w:val="20"/>
                <w:szCs w:val="20"/>
                <w:color w:val="auto"/>
              </w:rPr>
            </w:pPr>
          </w:p>
        </w:tc>
      </w:tr>
    </w:tbl>
    <w:p>
      <w:pPr>
        <w:sectPr>
          <w:pgSz w:w="11900" w:h="16838" w:orient="portrait"/>
          <w:cols w:equalWidth="0" w:num="1">
            <w:col w:w="11420"/>
          </w:cols>
          <w:pgMar w:left="240" w:top="1440" w:right="239" w:bottom="117"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1255395</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617220" cy="943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660" w:right="5080" w:hanging="5598"/>
        <w:spacing w:after="0" w:line="608" w:lineRule="auto"/>
        <w:tabs>
          <w:tab w:leader="none" w:pos="5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Reference is made to “Voting Securities and Principal Holders Thereof” herein. 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Governance Committee recommended, and the Board approved, the nomination of such person.</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9" w:lineRule="exact"/>
        <w:rPr>
          <w:sz w:val="20"/>
          <w:szCs w:val="20"/>
          <w:color w:val="auto"/>
        </w:rPr>
      </w:pPr>
    </w:p>
    <w:p>
      <w:pPr>
        <w:ind w:right="100" w:firstLine="35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BOARD OF DIRECTORS, COMMITTEES OF THE BOARD AND CORPORATE GOVERNANCE</w:t>
      </w:r>
    </w:p>
    <w:p>
      <w:pPr>
        <w:spacing w:after="0" w:line="189" w:lineRule="exact"/>
        <w:rPr>
          <w:sz w:val="20"/>
          <w:szCs w:val="20"/>
          <w:color w:val="auto"/>
        </w:rPr>
      </w:pPr>
    </w:p>
    <w:p>
      <w:pPr>
        <w:ind w:right="860" w:firstLine="357"/>
        <w:spacing w:after="0" w:line="31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website at http://www.winnebagoind.com/html/company/corpgovern.html. The principal responsibilities of each of these committees are described below.</w:t>
      </w:r>
    </w:p>
    <w:p>
      <w:pPr>
        <w:spacing w:after="0" w:line="116"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current members of the Audit Committee are Messrs. England, Aal and Currie, all of whom are independent directors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established by the SEC and the listing standards of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xml:space="preserve"> ). Based on the attributes, education and experience requirements set forth in Section 407 of the Sarbanes-Oxley Act of 2002 and associated regulations, the Board of Directors has determined that Joseph W. England qualifies as an “Audit Committee Financial Expert.” Each year, the committee appoints independent public accountants to examine the books of the Company. It reviews with representatives of the independent public accountants the auditing arrangements and scope of the independent public accountants’ examination of the books, results of those audits, any non-audit services, their fees for all such services and any problems identified by and recommendations of the independent public accountants regarding internal controls. The Audit Committee is also prepared to meet privately at any time at the request of the independent public accountants or members of management to review any special situation arising on any of the above subjects. The Audit Committee also performs the duties set forth in its written charter which was adopted by the Board of Directors. The Audit Committee regularly reviews its written charter and recommends to the Board changes to the charter. Reference is also made to the “Report of the Audit Committee” herein. In fiscal 2005, as required by its charter, the Audit Committee conducted an annual self-evaluation of its performance. The committee met 12 times in fiscal 2005.</w:t>
      </w:r>
    </w:p>
    <w:p>
      <w:pPr>
        <w:spacing w:after="0" w:line="124" w:lineRule="exact"/>
        <w:rPr>
          <w:sz w:val="20"/>
          <w:szCs w:val="20"/>
          <w:color w:val="auto"/>
        </w:rPr>
      </w:pPr>
    </w:p>
    <w:p>
      <w:pPr>
        <w:ind w:right="60" w:firstLine="360"/>
        <w:spacing w:after="0" w:line="256" w:lineRule="auto"/>
        <w:rPr>
          <w:sz w:val="20"/>
          <w:szCs w:val="20"/>
          <w:color w:val="auto"/>
        </w:rPr>
      </w:pPr>
      <w:r>
        <w:rPr>
          <w:rFonts w:ascii="Arial" w:cs="Arial" w:eastAsia="Arial" w:hAnsi="Arial"/>
          <w:sz w:val="18"/>
          <w:szCs w:val="18"/>
          <w:b w:val="1"/>
          <w:bCs w:val="1"/>
          <w:color w:val="auto"/>
        </w:rPr>
        <w:t xml:space="preserve">Human Resources Committee. </w:t>
      </w:r>
      <w:r>
        <w:rPr>
          <w:rFonts w:ascii="Arial" w:cs="Arial" w:eastAsia="Arial" w:hAnsi="Arial"/>
          <w:sz w:val="18"/>
          <w:szCs w:val="18"/>
          <w:color w:val="auto"/>
        </w:rPr>
        <w:t>The current members of the Human Resources Committee are Messrs. Kitch, Aal and Currie, all of whom are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within the meaning of NYSE listing requirements and the Company’s Policy Regarding Nominations of Directors. This committee makes recommendations to the Board of Directors as to the salary of the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xml:space="preserve"> ) and sets the salaries and bonus payments, if any, of all other employee-directors and elected officers. It also has responsibility for administration of the Company’s Incentive Compensation Plan and certain other employee incentive plans. In fiscal 2005, as required by its charter, the Human Resources Committee conducted an annual self-evaluation of its performance. The committee met six times in fiscal 2005.</w:t>
      </w:r>
    </w:p>
    <w:p>
      <w:pPr>
        <w:spacing w:after="0" w:line="147"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b w:val="1"/>
          <w:bCs w:val="1"/>
          <w:color w:val="auto"/>
        </w:rPr>
        <w:t xml:space="preserve">Nominating and Governance Committee. </w:t>
      </w:r>
      <w:r>
        <w:rPr>
          <w:rFonts w:ascii="Arial" w:cs="Arial" w:eastAsia="Arial" w:hAnsi="Arial"/>
          <w:sz w:val="17"/>
          <w:szCs w:val="17"/>
          <w:color w:val="auto"/>
        </w:rPr>
        <w:t>The current members of the Nominating and Governance Committee are Messrs. Currie, England and</w:t>
      </w:r>
      <w:r>
        <w:rPr>
          <w:rFonts w:ascii="Arial" w:cs="Arial" w:eastAsia="Arial" w:hAnsi="Arial"/>
          <w:sz w:val="17"/>
          <w:szCs w:val="17"/>
          <w:b w:val="1"/>
          <w:bCs w:val="1"/>
          <w:color w:val="auto"/>
        </w:rPr>
        <w:t xml:space="preserve"> </w:t>
      </w:r>
      <w:r>
        <w:rPr>
          <w:rFonts w:ascii="Arial" w:cs="Arial" w:eastAsia="Arial" w:hAnsi="Arial"/>
          <w:sz w:val="17"/>
          <w:szCs w:val="17"/>
          <w:color w:val="auto"/>
        </w:rPr>
        <w:t>Kitch, all of whom are independent directors within the meaning of NYSE listing requirements and the Company’s Policy Regarding Nominations of Directors.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the Company’s Policy Regarding Nominations of Directors as discussed below. See also “2007 Shareholder Proposals” for a summary of the procedures that shareholders must follow. In fiscal 2005, as required by its charter, the Nominating and Governance Committee conducted an annual self-evaluation of its performance. The committee met three times in fiscal 2005.</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40" w:firstLine="357"/>
        <w:spacing w:after="0" w:line="291" w:lineRule="auto"/>
        <w:rPr>
          <w:sz w:val="20"/>
          <w:szCs w:val="20"/>
          <w:color w:val="auto"/>
        </w:rPr>
      </w:pPr>
      <w:r>
        <w:rPr>
          <w:rFonts w:ascii="Arial" w:cs="Arial" w:eastAsia="Arial" w:hAnsi="Arial"/>
          <w:sz w:val="16"/>
          <w:szCs w:val="16"/>
          <w:color w:val="auto"/>
        </w:rPr>
        <w:t>The Board of Directors of the Company held six meetings during fiscal 2005. Actions taken by any committee of the Board are reported to the Board of Directors, usually at its next meeting. During fiscal 2005, all of the directors attended more than 75 percent of the aggregate of Board of Directors’ meetings and meetings of committees of the Board on which they served. The Corporate Governance Policy of the Company, discussed below, encourages, but does not require, Board members to attend the Annual Meeting of Shareholders. At the last annual meeting, all of the then-incumbent directors and director nominees were in attendance. Additionally, in fiscal 2005, in accordance with the Company’s Corporate Governance Policy described below, the Board of Directors conducted an annual self-evaluation to determine whether it and its committees are functioning effectively. The Nominating and Governance Committee received comments from all directors and reported to the Board with an assessment of the Board’s performance.</w:t>
      </w:r>
    </w:p>
    <w:p>
      <w:pPr>
        <w:spacing w:after="0" w:line="12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i w:val="1"/>
          <w:iCs w:val="1"/>
          <w:color w:val="auto"/>
        </w:rPr>
        <w:t xml:space="preserve">Executive Sessions of Non-employee Directors — </w:t>
      </w:r>
      <w:r>
        <w:rPr>
          <w:rFonts w:ascii="Arial" w:cs="Arial" w:eastAsia="Arial" w:hAnsi="Arial"/>
          <w:sz w:val="16"/>
          <w:szCs w:val="16"/>
          <w:color w:val="auto"/>
        </w:rPr>
        <w:t>The Non-employee Directors meet privately in executive sessions to consider such matters as they</w:t>
      </w:r>
      <w:r>
        <w:rPr>
          <w:rFonts w:ascii="Arial" w:cs="Arial" w:eastAsia="Arial" w:hAnsi="Arial"/>
          <w:sz w:val="16"/>
          <w:szCs w:val="16"/>
          <w:i w:val="1"/>
          <w:iCs w:val="1"/>
          <w:color w:val="auto"/>
        </w:rPr>
        <w:t xml:space="preserve"> </w:t>
      </w:r>
      <w:r>
        <w:rPr>
          <w:rFonts w:ascii="Arial" w:cs="Arial" w:eastAsia="Arial" w:hAnsi="Arial"/>
          <w:sz w:val="16"/>
          <w:szCs w:val="16"/>
          <w:color w:val="auto"/>
        </w:rPr>
        <w:t>deem appropriate, without management being present, as a routinely scheduled agenda item for every Board meeting. An executive session including only independent directors, as defined by the NYSE listing standards, is held at least once a year. During fiscal 2005, except for Messrs. Erickson and Hanson, all other Non-employee Directors were independent. Director Gerald C. Kitch was chosen as Lead Director to preside at such executive sessions.</w:t>
      </w:r>
    </w:p>
    <w:p>
      <w:pPr>
        <w:sectPr>
          <w:pgSz w:w="11900" w:h="16838" w:orient="portrait"/>
          <w:cols w:equalWidth="0" w:num="1">
            <w:col w:w="11340"/>
          </w:cols>
          <w:pgMar w:left="240" w:top="1440" w:right="319" w:bottom="0" w:gutter="0" w:footer="0" w:header="0"/>
        </w:sectPr>
      </w:pPr>
    </w:p>
    <w:bookmarkStart w:id="6" w:name="page7"/>
    <w:bookmarkEnd w:id="6"/>
    <w:p>
      <w:pPr>
        <w:ind w:right="340" w:firstLine="357"/>
        <w:spacing w:after="0" w:line="264" w:lineRule="auto"/>
        <w:rPr>
          <w:sz w:val="20"/>
          <w:szCs w:val="20"/>
          <w:color w:val="auto"/>
        </w:rPr>
      </w:pPr>
      <w:r>
        <w:rPr>
          <w:rFonts w:ascii="Arial" w:cs="Arial" w:eastAsia="Arial" w:hAnsi="Arial"/>
          <w:sz w:val="18"/>
          <w:szCs w:val="18"/>
          <w:color w:val="auto"/>
        </w:rPr>
        <w:t>The Board has adopted and annually reviews the Corporate Governance Policy which incorporates the corporate governance principles by which the Company operates. A copy of the Company’s Corporate Governance Policy is available on the Company’s website at http://www.winnebagoind.com/html/company/corpgovern.html.</w:t>
      </w:r>
    </w:p>
    <w:p>
      <w:pPr>
        <w:spacing w:after="0" w:line="13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b w:val="1"/>
          <w:bCs w:val="1"/>
          <w:color w:val="auto"/>
        </w:rPr>
        <w:t xml:space="preserve">Policy Regarding Nominations of Directors. </w:t>
      </w:r>
      <w:r>
        <w:rPr>
          <w:rFonts w:ascii="Arial" w:cs="Arial" w:eastAsia="Arial" w:hAnsi="Arial"/>
          <w:sz w:val="17"/>
          <w:szCs w:val="17"/>
          <w:color w:val="auto"/>
        </w:rPr>
        <w:t>The Nominating and Governance Committee will consider director nominations from shareholders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Policy Regarding Nominations of Directors, a copy of which is attached hereto as Appendix A. Briefly, the Nominating and Governance Committee will consider as a candidate any director of the Company who has indicated to the Nominating and Governance Committee that he or she is willing to stand for re-election as well as any other person who is recommended by any shareholder of the Company who provides the required information and certifications within the specified time requirements, as set forth in Section 1 of the Policy Regarding Nominations of Directors. The Nominating and Governance Committee may also undertake its own search process for candidates and may retain the services of professional search firms or other third parties to assist in identifying and evaluating potential nominees.</w:t>
      </w:r>
    </w:p>
    <w:p>
      <w:pPr>
        <w:spacing w:after="0" w:line="149"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138" w:lineRule="exact"/>
        <w:rPr>
          <w:sz w:val="20"/>
          <w:szCs w:val="20"/>
          <w:color w:val="auto"/>
        </w:rPr>
      </w:pPr>
    </w:p>
    <w:p>
      <w:pPr>
        <w:ind w:right="1060" w:firstLine="357"/>
        <w:spacing w:after="0" w:line="277"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pacing w:after="0" w:line="184" w:lineRule="exact"/>
        <w:rPr>
          <w:sz w:val="20"/>
          <w:szCs w:val="20"/>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hanging="47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13" w:lineRule="exact"/>
        <w:rPr>
          <w:rFonts w:ascii="Arial" w:cs="Arial" w:eastAsia="Arial" w:hAnsi="Arial"/>
          <w:sz w:val="16"/>
          <w:szCs w:val="16"/>
          <w:color w:val="auto"/>
        </w:rPr>
      </w:pPr>
    </w:p>
    <w:p>
      <w:pPr>
        <w:ind w:left="1020" w:right="560" w:hanging="47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020" w:right="240" w:hanging="47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“—Corporate Governance — Director Independence” below.</w:t>
      </w:r>
    </w:p>
    <w:p>
      <w:pPr>
        <w:spacing w:after="0" w:line="184" w:lineRule="exact"/>
        <w:rPr>
          <w:sz w:val="20"/>
          <w:szCs w:val="20"/>
          <w:color w:val="auto"/>
        </w:rPr>
      </w:pPr>
    </w:p>
    <w:p>
      <w:pPr>
        <w:ind w:firstLine="357"/>
        <w:spacing w:after="0" w:line="289" w:lineRule="auto"/>
        <w:rPr>
          <w:sz w:val="20"/>
          <w:szCs w:val="20"/>
          <w:color w:val="auto"/>
        </w:rPr>
      </w:pPr>
      <w:r>
        <w:rPr>
          <w:rFonts w:ascii="Arial" w:cs="Arial" w:eastAsia="Arial" w:hAnsi="Arial"/>
          <w:sz w:val="16"/>
          <w:szCs w:val="16"/>
          <w:color w:val="auto"/>
        </w:rPr>
        <w:t>The Nominating and Governance Committee continues to evaluate the Company’s and the Board’s governance practices at least annually. The Nominating and Governance Committee recommended, and the Board approved, an amendment to the Company’s Corporate Governance Policy to state that directors will not be nominated for re-election if they will reach the age of 70 years prior to the date of re-election to the Board versus reaching the age of 70 years prior to the date of completion of their next term of service as was previously mandated. Mr. Kitch abstained from voting on the amendment to the Corporate Governance Policy at the meetings of the Nominating and Governance Committee and the Board of Directors. As a result of this change, Mr. Kitch was eligible for consideration by the Nominating and Governance Committee to be nominated for re-election. 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136" w:lineRule="exact"/>
        <w:rPr>
          <w:sz w:val="20"/>
          <w:szCs w:val="20"/>
          <w:color w:val="auto"/>
        </w:rPr>
      </w:pPr>
    </w:p>
    <w:p>
      <w:pPr>
        <w:ind w:right="80" w:firstLine="360"/>
        <w:spacing w:after="0" w:line="266" w:lineRule="auto"/>
        <w:rPr>
          <w:sz w:val="20"/>
          <w:szCs w:val="20"/>
          <w:color w:val="auto"/>
        </w:rPr>
      </w:pPr>
      <w:r>
        <w:rPr>
          <w:rFonts w:ascii="Arial" w:cs="Arial" w:eastAsia="Arial" w:hAnsi="Arial"/>
          <w:sz w:val="18"/>
          <w:szCs w:val="18"/>
          <w:b w:val="1"/>
          <w:bCs w:val="1"/>
          <w:color w:val="auto"/>
        </w:rPr>
        <w:t xml:space="preserve">Corporate Governance. </w:t>
      </w:r>
      <w:r>
        <w:rPr>
          <w:rFonts w:ascii="Arial" w:cs="Arial" w:eastAsia="Arial" w:hAnsi="Arial"/>
          <w:sz w:val="18"/>
          <w:szCs w:val="18"/>
          <w:i w:val="1"/>
          <w:iCs w:val="1"/>
          <w:color w:val="auto"/>
        </w:rPr>
        <w:t>Corporate Governance Policies and Codes of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 The Board of Directors has adopted a Corporate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a Policy Regarding Nominations of Directors, a Shareholder Communications Policy and written charters for its Audit Committee, Human Resources Committee and Nominating and Governance Committee.</w:t>
      </w:r>
    </w:p>
    <w:p>
      <w:pPr>
        <w:spacing w:after="0" w:line="140" w:lineRule="exact"/>
        <w:rPr>
          <w:sz w:val="20"/>
          <w:szCs w:val="20"/>
          <w:color w:val="auto"/>
        </w:rPr>
      </w:pPr>
    </w:p>
    <w:p>
      <w:pPr>
        <w:ind w:right="240" w:firstLine="357"/>
        <w:spacing w:after="0" w:line="255" w:lineRule="auto"/>
        <w:rPr>
          <w:sz w:val="20"/>
          <w:szCs w:val="20"/>
          <w:color w:val="auto"/>
        </w:rPr>
      </w:pPr>
      <w:r>
        <w:rPr>
          <w:rFonts w:ascii="Arial" w:cs="Arial" w:eastAsia="Arial" w:hAnsi="Arial"/>
          <w:sz w:val="18"/>
          <w:szCs w:val="18"/>
          <w:color w:val="auto"/>
        </w:rPr>
        <w:t>The Board of Directors also has adopted the Company’s Code of Ethics applicable to all of the Company’s directors, officers and employees and the Code of Ethics for CEO and Senior Financial Officers. These policies, charters, codes and other items relating to the governance of the Company are available on the Company’s website at http://www.winnebagoind.com/html/ company/corpgovern.html. These documents are also available in print free of charge to any shareholder who requests them in writing from: Winnebago Industries, Inc., Attn: Vice President-General Counsel and Secretary, 605 West Crystal Lake Road, Forest City, Iowa 50436. Information contained on the Company’s website is not incorporated into this Proxy Statement or other securities filings.</w:t>
      </w:r>
    </w:p>
    <w:p>
      <w:pPr>
        <w:spacing w:after="0" w:line="15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i w:val="1"/>
          <w:iCs w:val="1"/>
          <w:color w:val="auto"/>
        </w:rPr>
        <w:t xml:space="preserve">Director Independence — </w:t>
      </w:r>
      <w:r>
        <w:rPr>
          <w:rFonts w:ascii="Arial" w:cs="Arial" w:eastAsia="Arial" w:hAnsi="Arial"/>
          <w:sz w:val="17"/>
          <w:szCs w:val="17"/>
          <w:color w:val="auto"/>
        </w:rPr>
        <w:t>Under the Company’s Corporate Governance Policy and NYSE rules, the Board must have a majority of directors who meet</w:t>
      </w:r>
      <w:r>
        <w:rPr>
          <w:rFonts w:ascii="Arial" w:cs="Arial" w:eastAsia="Arial" w:hAnsi="Arial"/>
          <w:sz w:val="17"/>
          <w:szCs w:val="17"/>
          <w:i w:val="1"/>
          <w:iCs w:val="1"/>
          <w:color w:val="auto"/>
        </w:rPr>
        <w:t xml:space="preserve"> </w:t>
      </w:r>
      <w:r>
        <w:rPr>
          <w:rFonts w:ascii="Arial" w:cs="Arial" w:eastAsia="Arial" w:hAnsi="Arial"/>
          <w:sz w:val="17"/>
          <w:szCs w:val="17"/>
          <w:color w:val="auto"/>
        </w:rPr>
        <w:t>the standards for independence under the Company’s Policy Regarding Nominations of Directors and applicable NYSE rules, respectively. The Board must determine, based on all of the relevant facts and circumstances, whether each director satisfies the criteria for independence. The Board of Directors has determined, after careful review and upon consideration of the following, that Mr. Kitch (nominee for election as a Class III director), Mr. Aal (Class I director), Mr. England (Class I director), Mr. Currie (Class II director) and Mr. Herlitz (Class II director) are independent as defined by the relevant provisions of applicable law, the NYSE listing standards and the Company’s Policy Regarding Nominations of Directors and that each independent director has no material relationship with the Company, determined in accordance with the standards disclosed below.</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239" w:lineRule="exact"/>
        <w:rPr>
          <w:sz w:val="20"/>
          <w:szCs w:val="20"/>
          <w:color w:val="auto"/>
        </w:rPr>
      </w:pPr>
    </w:p>
    <w:p>
      <w:pPr>
        <w:ind w:left="1020" w:right="240" w:hanging="472"/>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ectPr>
          <w:pgSz w:w="11900" w:h="16838" w:orient="portrait"/>
          <w:cols w:equalWidth="0" w:num="1">
            <w:col w:w="11400"/>
          </w:cols>
          <w:pgMar w:left="240" w:top="125" w:right="25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right="24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020" w:right="420" w:hanging="47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020" w:right="160" w:hanging="472"/>
        <w:spacing w:after="0" w:line="27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is not and no member of his or her immediate family is a current partner of a firm that is the Company’s internal or external auditor; (ii) is not a current employee of the Company’s internal or external auditor; (iii) does not have an immediate family member who is a current employee of the Company’s internal or external auditor and who participates in that firm’s audit, assurance or tax compliance (but not tax planning) practice; and (iv) within the last three years was not and no member of his or her immediate family was (and no longer is), a partner or employee of the Company’s internal or external auditor and personally worked on the Company’s audit within that time.</w:t>
      </w:r>
    </w:p>
    <w:p>
      <w:pPr>
        <w:spacing w:after="0" w:line="37" w:lineRule="exact"/>
        <w:rPr>
          <w:rFonts w:ascii="Arial" w:cs="Arial" w:eastAsia="Arial" w:hAnsi="Arial"/>
          <w:sz w:val="17"/>
          <w:szCs w:val="17"/>
          <w:color w:val="auto"/>
        </w:rPr>
      </w:pPr>
    </w:p>
    <w:p>
      <w:pPr>
        <w:ind w:left="1020" w:right="580" w:hanging="472"/>
        <w:spacing w:after="0" w:line="286"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jc w:val="both"/>
        <w:ind w:left="1020" w:right="460" w:hanging="472"/>
        <w:spacing w:after="0" w:line="31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1020" w:hanging="472"/>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free of any relationships with the Company that may impair, or appear to impair his or her ability to make independent judgments; and</w:t>
      </w:r>
    </w:p>
    <w:p>
      <w:pPr>
        <w:spacing w:after="0" w:line="101" w:lineRule="exact"/>
        <w:rPr>
          <w:rFonts w:ascii="Arial" w:cs="Arial" w:eastAsia="Arial" w:hAnsi="Arial"/>
          <w:sz w:val="17"/>
          <w:szCs w:val="17"/>
          <w:color w:val="auto"/>
        </w:rPr>
      </w:pPr>
    </w:p>
    <w:p>
      <w:pPr>
        <w:jc w:val="both"/>
        <w:ind w:left="1020" w:right="240" w:hanging="472"/>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policy may be modified temporarily if, due to unforeseen circumstances, strict adherence would be detrimental to the Board’s performance.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pacing w:after="0" w:line="252" w:lineRule="exact"/>
        <w:rPr>
          <w:sz w:val="20"/>
          <w:szCs w:val="20"/>
          <w:color w:val="auto"/>
        </w:rPr>
      </w:pPr>
    </w:p>
    <w:p>
      <w:pPr>
        <w:ind w:left="1020" w:right="60" w:hanging="472"/>
        <w:spacing w:after="0" w:line="26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pacing w:after="0" w:line="46" w:lineRule="exact"/>
        <w:rPr>
          <w:rFonts w:ascii="Arial" w:cs="Arial" w:eastAsia="Arial" w:hAnsi="Arial"/>
          <w:sz w:val="18"/>
          <w:szCs w:val="18"/>
          <w:color w:val="auto"/>
        </w:rPr>
      </w:pPr>
    </w:p>
    <w:p>
      <w:pPr>
        <w:ind w:left="1020" w:hanging="47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23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146"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Mr. Erickson is not considered independent under the NYSE listing standards and the Company’s Policy Regarding Nominations of Directors solely because his son, Thad Erickson, is employed by the Company’s independent accountants as an audit manager. Thad Erickson has not personally worked on any audits of the Company or any other work involving the Company.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Shareholder Communications with Directors — </w:t>
      </w:r>
      <w:r>
        <w:rPr>
          <w:rFonts w:ascii="Arial" w:cs="Arial" w:eastAsia="Arial" w:hAnsi="Arial"/>
          <w:sz w:val="18"/>
          <w:szCs w:val="18"/>
          <w:color w:val="auto"/>
        </w:rPr>
        <w:t>The Nominating and Governance Committee has adopted a policy for shareholders to send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Board. Shareholders who desire to communicate with the Company’s directors or a particular director may write to: Winnebago Industries, Inc., Attn: Vice President-General Counsel and Secretary, 605 West Crystal Lake Road, Forest City, Iowa 50436. Communications received from shareholders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14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color w:val="auto"/>
        </w:rPr>
        <w:t xml:space="preserve">Director Compensation. </w:t>
      </w:r>
      <w:r>
        <w:rPr>
          <w:rFonts w:ascii="Arial" w:cs="Arial" w:eastAsia="Arial" w:hAnsi="Arial"/>
          <w:sz w:val="17"/>
          <w:szCs w:val="17"/>
          <w:color w:val="auto"/>
        </w:rPr>
        <w:t xml:space="preserve">Employee directors receive no additional compensation for serving on the Board or its Committees. In fiscal 2005, Non-employee Directors received an annual retainer of $25,000 (paid in monthly installments), a $1,000 per day attendance fee for Board and Committee meetings and a $500 fee for participation in any Board meetings held telephonically. Committee Chairmen received a $2,000 per day attendance fee. In addition, each Non-employee Director under the Incentive Compensation Plan (as those terms are defined below) and its predecessor, the Winnebago Industries, Inc. 1997 Stock Option Plan (the </w:t>
      </w:r>
      <w:r>
        <w:rPr>
          <w:rFonts w:ascii="Arial" w:cs="Arial" w:eastAsia="Arial" w:hAnsi="Arial"/>
          <w:sz w:val="17"/>
          <w:szCs w:val="17"/>
          <w:i w:val="1"/>
          <w:iCs w:val="1"/>
          <w:color w:val="auto"/>
        </w:rPr>
        <w:t>“1997 Stock Option Plan”</w:t>
      </w:r>
      <w:r>
        <w:rPr>
          <w:rFonts w:ascii="Arial" w:cs="Arial" w:eastAsia="Arial" w:hAnsi="Arial"/>
          <w:sz w:val="17"/>
          <w:szCs w:val="17"/>
          <w:color w:val="auto"/>
        </w:rPr>
        <w:t xml:space="preserve"> ), received an annual stock option grant of 4,000 shares. Directors were also reimbursed for customary and usual travel expenses. Effective September 1, 2005, Non-employee Directors will continue to receive an annual retainer of $25,000 (paid in monthly installments) and a $500 fee for participation in any Board meetings held telephonically. The following modifications were made to the Non-employee Director compensation program: (i) the Audit Committee Chairman will receive an annual retainer of $5,000 (paid in monthly installments) while the Chairmen of other Board Committees will receive an annual retainer of $4,000 (paid in monthly installments), which annual retainers eliminate the $2,000 per day attendance fee for Committee Chairmen (therefore, each Non-employee Director will continue and Committee Chairmen will begin to receive a $1,000 per day attendance fee for Board and Committee meetings) and (ii) the stock option grant of 10,000 shares to new directors was replaced with an annual stock option grant of 4,000 shares to each director.</w:t>
      </w:r>
    </w:p>
    <w:p>
      <w:pPr>
        <w:spacing w:after="0" w:line="14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Effective April 1, 1997, the Board of Directors adopted the Winnebago Industries, Inc. Directors’ Deferred Compensation Plan (the </w:t>
      </w:r>
      <w:r>
        <w:rPr>
          <w:rFonts w:ascii="Arial" w:cs="Arial" w:eastAsia="Arial" w:hAnsi="Arial"/>
          <w:sz w:val="16"/>
          <w:szCs w:val="16"/>
          <w:i w:val="1"/>
          <w:iCs w:val="1"/>
          <w:color w:val="auto"/>
        </w:rPr>
        <w:t>“Directors’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 The purpose of the Directors’ Deferred Compensation Plan is to enable Non-employee Directors (the</w:t>
      </w:r>
      <w:r>
        <w:rPr>
          <w:rFonts w:ascii="Arial" w:cs="Arial" w:eastAsia="Arial" w:hAnsi="Arial"/>
          <w:sz w:val="16"/>
          <w:szCs w:val="16"/>
          <w:i w:val="1"/>
          <w:iCs w:val="1"/>
          <w:color w:val="auto"/>
        </w:rPr>
        <w:t xml:space="preserve"> “Participants” </w:t>
      </w:r>
      <w:r>
        <w:rPr>
          <w:rFonts w:ascii="Arial" w:cs="Arial" w:eastAsia="Arial" w:hAnsi="Arial"/>
          <w:sz w:val="16"/>
          <w:szCs w:val="16"/>
          <w:color w:val="auto"/>
        </w:rPr>
        <w:t>) to receive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retainers as members of the Board of Directors and Committees of the Board (the </w:t>
      </w:r>
      <w:r>
        <w:rPr>
          <w:rFonts w:ascii="Arial" w:cs="Arial" w:eastAsia="Arial" w:hAnsi="Arial"/>
          <w:sz w:val="16"/>
          <w:szCs w:val="16"/>
          <w:i w:val="1"/>
          <w:iCs w:val="1"/>
          <w:color w:val="auto"/>
        </w:rPr>
        <w:t>“Deferred Compensation”</w:t>
      </w:r>
      <w:r>
        <w:rPr>
          <w:rFonts w:ascii="Arial" w:cs="Arial" w:eastAsia="Arial" w:hAnsi="Arial"/>
          <w:sz w:val="16"/>
          <w:szCs w:val="16"/>
          <w:color w:val="auto"/>
        </w:rPr>
        <w:t xml:space="preserve"> ) in a form other than as direct payments. A Participant may elect to apply 100% of his or her Deferred Compensation to either, but not both, of the following forms: “Money Credits” or</w:t>
      </w:r>
    </w:p>
    <w:p>
      <w:pPr>
        <w:sectPr>
          <w:pgSz w:w="11900" w:h="16838" w:orient="portrait"/>
          <w:cols w:equalWidth="0" w:num="1">
            <w:col w:w="11420"/>
          </w:cols>
          <w:pgMar w:left="240" w:top="544" w:right="239" w:bottom="0" w:gutter="0" w:footer="0" w:header="0"/>
        </w:sectPr>
      </w:pPr>
    </w:p>
    <w:bookmarkStart w:id="8" w:name="page9"/>
    <w:bookmarkEnd w:id="8"/>
    <w:p>
      <w:pPr>
        <w:spacing w:after="0" w:line="4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in the form of Winnebago Common Stock from the Company equal to 25% of the Deferred Compensation so invested.</w:t>
      </w:r>
    </w:p>
    <w:p>
      <w:pPr>
        <w:spacing w:after="0" w:line="173" w:lineRule="exact"/>
        <w:rPr>
          <w:sz w:val="20"/>
          <w:szCs w:val="20"/>
          <w:color w:val="auto"/>
        </w:rPr>
      </w:pPr>
    </w:p>
    <w:p>
      <w:pPr>
        <w:ind w:right="120" w:firstLine="348"/>
        <w:spacing w:after="0" w:line="239" w:lineRule="auto"/>
        <w:rPr>
          <w:sz w:val="20"/>
          <w:szCs w:val="20"/>
          <w:color w:val="auto"/>
        </w:rPr>
      </w:pPr>
      <w:r>
        <w:rPr>
          <w:rFonts w:ascii="Arial" w:cs="Arial" w:eastAsia="Arial" w:hAnsi="Arial"/>
          <w:sz w:val="18"/>
          <w:szCs w:val="18"/>
          <w:color w:val="auto"/>
        </w:rPr>
        <w:t>The matching contribution to a Participant’s Winnebago Stock Unit account will vest on a graduated basis at the rate of 33</w:t>
      </w:r>
      <w:r>
        <w:rPr>
          <w:rFonts w:ascii="Arial" w:cs="Arial" w:eastAsia="Arial" w:hAnsi="Arial"/>
          <w:sz w:val="22"/>
          <w:szCs w:val="22"/>
          <w:color w:val="auto"/>
          <w:vertAlign w:val="superscript"/>
        </w:rPr>
        <w:t>1</w:t>
      </w:r>
      <w:r>
        <w:rPr>
          <w:rFonts w:ascii="Arial" w:cs="Arial" w:eastAsia="Arial" w:hAnsi="Arial"/>
          <w:sz w:val="13"/>
          <w:szCs w:val="13"/>
          <w:color w:val="auto"/>
        </w:rPr>
        <w:t>/3</w:t>
      </w:r>
      <w:r>
        <w:rPr>
          <w:rFonts w:ascii="Arial" w:cs="Arial" w:eastAsia="Arial" w:hAnsi="Arial"/>
          <w:sz w:val="18"/>
          <w:szCs w:val="18"/>
          <w:color w:val="auto"/>
        </w:rPr>
        <w:t>% for each of the first three complete 12 month periods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 will be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fully vested and nonforfeitable. Notwithstanding the above, the Participant’s Winnebago Stock Unit account will become fully vested upon his or her attainment of age 69½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the caption “VOTING SECURITIES AND PRINCIPAL HOLDERS THEREOF.”</w:t>
      </w:r>
    </w:p>
    <w:p>
      <w:pPr>
        <w:spacing w:after="0" w:line="11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61"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185" w:lineRule="exact"/>
        <w:rPr>
          <w:sz w:val="20"/>
          <w:szCs w:val="20"/>
          <w:color w:val="auto"/>
        </w:rPr>
      </w:pPr>
    </w:p>
    <w:p>
      <w:pPr>
        <w:ind w:firstLine="357"/>
        <w:spacing w:after="0" w:line="269" w:lineRule="auto"/>
        <w:rPr>
          <w:sz w:val="20"/>
          <w:szCs w:val="20"/>
          <w:color w:val="auto"/>
        </w:rPr>
      </w:pPr>
      <w:r>
        <w:rPr>
          <w:rFonts w:ascii="Arial" w:cs="Arial" w:eastAsia="Arial" w:hAnsi="Arial"/>
          <w:sz w:val="17"/>
          <w:szCs w:val="17"/>
          <w:color w:val="auto"/>
        </w:rPr>
        <w:t xml:space="preserve">The Winnebago Industries, Inc. 2004 Incentive Compensation Plan (the </w:t>
      </w:r>
      <w:r>
        <w:rPr>
          <w:rFonts w:ascii="Arial" w:cs="Arial" w:eastAsia="Arial" w:hAnsi="Arial"/>
          <w:sz w:val="17"/>
          <w:szCs w:val="17"/>
          <w:i w:val="1"/>
          <w:iCs w:val="1"/>
          <w:color w:val="auto"/>
        </w:rPr>
        <w:t>“Incentive Compensation Plan”</w:t>
      </w:r>
      <w:r>
        <w:rPr>
          <w:rFonts w:ascii="Arial" w:cs="Arial" w:eastAsia="Arial" w:hAnsi="Arial"/>
          <w:sz w:val="17"/>
          <w:szCs w:val="17"/>
          <w:color w:val="auto"/>
        </w:rPr>
        <w:t xml:space="preserve"> ) provides that directors who are not employees of the Company or a subsidiary (the </w:t>
      </w:r>
      <w:r>
        <w:rPr>
          <w:rFonts w:ascii="Arial" w:cs="Arial" w:eastAsia="Arial" w:hAnsi="Arial"/>
          <w:sz w:val="17"/>
          <w:szCs w:val="17"/>
          <w:i w:val="1"/>
          <w:iCs w:val="1"/>
          <w:color w:val="auto"/>
        </w:rPr>
        <w:t>“Non-employee Directors”</w:t>
      </w:r>
      <w:r>
        <w:rPr>
          <w:rFonts w:ascii="Arial" w:cs="Arial" w:eastAsia="Arial" w:hAnsi="Arial"/>
          <w:sz w:val="17"/>
          <w:szCs w:val="17"/>
          <w:color w:val="auto"/>
        </w:rPr>
        <w:t xml:space="preserve"> ) may receive “Stock Awards,” “Performance Awards” or “Non-qualified Stock Options” each as defined under the Incentive Compensation Plan (collectively, </w:t>
      </w:r>
      <w:r>
        <w:rPr>
          <w:rFonts w:ascii="Arial" w:cs="Arial" w:eastAsia="Arial" w:hAnsi="Arial"/>
          <w:sz w:val="17"/>
          <w:szCs w:val="17"/>
          <w:i w:val="1"/>
          <w:iCs w:val="1"/>
          <w:color w:val="auto"/>
        </w:rPr>
        <w:t>“Director Awards”</w:t>
      </w:r>
      <w:r>
        <w:rPr>
          <w:rFonts w:ascii="Arial" w:cs="Arial" w:eastAsia="Arial" w:hAnsi="Arial"/>
          <w:sz w:val="17"/>
          <w:szCs w:val="17"/>
          <w:color w:val="auto"/>
        </w:rPr>
        <w:t xml:space="preserve"> )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the Incentive Compensation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right="80" w:firstLine="357"/>
        <w:spacing w:after="0" w:line="264" w:lineRule="auto"/>
        <w:rPr>
          <w:sz w:val="20"/>
          <w:szCs w:val="20"/>
          <w:color w:val="auto"/>
        </w:rPr>
      </w:pPr>
      <w:r>
        <w:rPr>
          <w:rFonts w:ascii="Arial" w:cs="Arial" w:eastAsia="Arial" w:hAnsi="Arial"/>
          <w:sz w:val="18"/>
          <w:szCs w:val="18"/>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27, 2005 and (ii) each of the four other most highly compensated executive officers of the Company serving at August 27, 2005.</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ectPr>
          <w:pgSz w:w="11900" w:h="16884" w:orient="portrait"/>
          <w:cols w:equalWidth="0" w:num="1">
            <w:col w:w="11400"/>
          </w:cols>
          <w:pgMar w:left="240" w:top="125" w:right="259" w:bottom="0" w:gutter="0" w:footer="0" w:header="0"/>
        </w:sectPr>
      </w:pPr>
    </w:p>
    <w:p>
      <w:pPr>
        <w:spacing w:after="0" w:line="204" w:lineRule="exact"/>
        <w:rPr>
          <w:sz w:val="20"/>
          <w:szCs w:val="20"/>
          <w:color w:val="auto"/>
        </w:rPr>
      </w:pPr>
    </w:p>
    <w:p>
      <w:pPr>
        <w:ind w:left="3620"/>
        <w:spacing w:after="0"/>
        <w:rPr>
          <w:sz w:val="20"/>
          <w:szCs w:val="20"/>
          <w:color w:val="auto"/>
        </w:rPr>
      </w:pPr>
      <w:r>
        <w:rPr>
          <w:rFonts w:ascii="Arial" w:cs="Arial" w:eastAsia="Arial" w:hAnsi="Arial"/>
          <w:sz w:val="12"/>
          <w:szCs w:val="12"/>
          <w:b w:val="1"/>
          <w:bCs w:val="1"/>
          <w:color w:val="auto"/>
        </w:rPr>
        <w:t>Annual Compensation</w:t>
      </w:r>
      <w:r>
        <w:rPr>
          <w:rFonts w:ascii="Arial" w:cs="Arial" w:eastAsia="Arial" w:hAnsi="Arial"/>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55880</wp:posOffset>
            </wp:positionV>
            <wp:extent cx="219964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9964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Long Term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73025</wp:posOffset>
            </wp:positionV>
            <wp:extent cx="311721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7215" cy="29845"/>
                    </a:xfrm>
                    <a:prstGeom prst="rect">
                      <a:avLst/>
                    </a:prstGeom>
                    <a:noFill/>
                  </pic:spPr>
                </pic:pic>
              </a:graphicData>
            </a:graphic>
          </wp:anchor>
        </w:drawing>
      </w:r>
    </w:p>
    <w:p>
      <w:pPr>
        <w:spacing w:after="0" w:line="224" w:lineRule="exact"/>
        <w:rPr>
          <w:sz w:val="20"/>
          <w:szCs w:val="20"/>
          <w:color w:val="auto"/>
        </w:rPr>
      </w:pPr>
    </w:p>
    <w:p>
      <w:pPr>
        <w:spacing w:after="0"/>
        <w:tabs>
          <w:tab w:leader="none" w:pos="1980" w:val="left"/>
        </w:tabs>
        <w:rPr>
          <w:sz w:val="20"/>
          <w:szCs w:val="20"/>
          <w:color w:val="auto"/>
        </w:rPr>
      </w:pPr>
      <w:r>
        <w:rPr>
          <w:rFonts w:ascii="Arial" w:cs="Arial" w:eastAsia="Arial" w:hAnsi="Arial"/>
          <w:sz w:val="12"/>
          <w:szCs w:val="12"/>
          <w:b w:val="1"/>
          <w:bCs w:val="1"/>
          <w:color w:val="auto"/>
        </w:rPr>
        <w:t>Awards</w:t>
      </w:r>
      <w:r>
        <w:rPr>
          <w:sz w:val="20"/>
          <w:szCs w:val="20"/>
          <w:color w:val="auto"/>
        </w:rPr>
        <w:tab/>
      </w:r>
      <w:r>
        <w:rPr>
          <w:rFonts w:ascii="Arial" w:cs="Arial" w:eastAsia="Arial" w:hAnsi="Arial"/>
          <w:sz w:val="12"/>
          <w:szCs w:val="12"/>
          <w:b w:val="1"/>
          <w:bCs w:val="1"/>
          <w:color w:val="auto"/>
        </w:rPr>
        <w:t>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87630</wp:posOffset>
            </wp:positionV>
            <wp:extent cx="234505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45055" cy="29845"/>
                    </a:xfrm>
                    <a:prstGeom prst="rect">
                      <a:avLst/>
                    </a:prstGeom>
                    <a:noFill/>
                  </pic:spPr>
                </pic:pic>
              </a:graphicData>
            </a:graphic>
          </wp:anchor>
        </w:drawing>
      </w:r>
    </w:p>
    <w:p>
      <w:pPr>
        <w:spacing w:after="0" w:line="200" w:lineRule="exact"/>
        <w:rPr>
          <w:sz w:val="20"/>
          <w:szCs w:val="20"/>
          <w:color w:val="auto"/>
        </w:rPr>
      </w:pPr>
    </w:p>
    <w:p>
      <w:pPr>
        <w:sectPr>
          <w:pgSz w:w="11900" w:h="16884" w:orient="portrait"/>
          <w:cols w:equalWidth="0" w:num="2">
            <w:col w:w="6660" w:space="720"/>
            <w:col w:w="4020"/>
          </w:cols>
          <w:pgMar w:left="240" w:top="125" w:right="259" w:bottom="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Fiscal</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LTIP</w:t>
            </w:r>
          </w:p>
        </w:tc>
        <w:tc>
          <w:tcPr>
            <w:tcW w:w="320" w:type="dxa"/>
            <w:vAlign w:val="bottom"/>
          </w:tcPr>
          <w:p>
            <w:pPr>
              <w:spacing w:after="0"/>
              <w:rPr>
                <w:sz w:val="16"/>
                <w:szCs w:val="16"/>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9"/>
        </w:trPr>
        <w:tc>
          <w:tcPr>
            <w:tcW w:w="2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2"/>
                <w:szCs w:val="12"/>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3"/>
                <w:szCs w:val="23"/>
                <w:b w:val="1"/>
                <w:bCs w:val="1"/>
                <w:color w:val="auto"/>
                <w:vertAlign w:val="superscript"/>
              </w:rPr>
              <w:t>(2)</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23"/>
                <w:szCs w:val="23"/>
                <w:b w:val="1"/>
                <w:bCs w:val="1"/>
                <w:color w:val="auto"/>
                <w:w w:val="95"/>
                <w:vertAlign w:val="superscript"/>
              </w:rPr>
              <w:t>(4)(5)</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307"/>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320" w:type="dxa"/>
            <w:vAlign w:val="bottom"/>
            <w:gridSpan w:val="2"/>
          </w:tcPr>
          <w:p>
            <w:pPr>
              <w:jc w:val="center"/>
              <w:ind w:left="254"/>
              <w:spacing w:after="0" w:line="280"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Payouts ($)</w:t>
            </w:r>
            <w:r>
              <w:rPr>
                <w:rFonts w:ascii="Arial" w:cs="Arial" w:eastAsia="Arial" w:hAnsi="Arial"/>
                <w:sz w:val="23"/>
                <w:szCs w:val="23"/>
                <w:b w:val="1"/>
                <w:bCs w:val="1"/>
                <w:color w:val="auto"/>
                <w:w w:val="97"/>
                <w:vertAlign w:val="superscript"/>
              </w:rPr>
              <w:t>(6)</w:t>
            </w:r>
          </w:p>
        </w:tc>
        <w:tc>
          <w:tcPr>
            <w:tcW w:w="12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top w:val="single" w:sz="8" w:color="808080"/>
            </w:tcBorders>
            <w:vMerge w:val="restart"/>
          </w:tcPr>
          <w:p>
            <w:pPr>
              <w:spacing w:after="0"/>
              <w:rPr>
                <w:sz w:val="9"/>
                <w:szCs w:val="9"/>
                <w:color w:val="auto"/>
              </w:rPr>
            </w:pPr>
          </w:p>
        </w:tc>
        <w:tc>
          <w:tcPr>
            <w:tcW w:w="220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00" w:type="dxa"/>
            <w:vAlign w:val="bottom"/>
            <w:shd w:val="clear" w:color="auto" w:fill="D6F3E8"/>
          </w:tcPr>
          <w:p>
            <w:pPr>
              <w:spacing w:after="0" w:line="130" w:lineRule="exact"/>
              <w:rPr>
                <w:sz w:val="20"/>
                <w:szCs w:val="20"/>
                <w:color w:val="auto"/>
              </w:rPr>
            </w:pPr>
            <w:r>
              <w:rPr>
                <w:rFonts w:ascii="Arial" w:cs="Arial" w:eastAsia="Arial" w:hAnsi="Arial"/>
                <w:sz w:val="14"/>
                <w:szCs w:val="14"/>
                <w:color w:val="auto"/>
              </w:rPr>
              <w:t>Bruce D. Hertzke</w:t>
            </w:r>
          </w:p>
        </w:tc>
        <w:tc>
          <w:tcPr>
            <w:tcW w:w="1220" w:type="dxa"/>
            <w:vAlign w:val="bottom"/>
            <w:gridSpan w:val="3"/>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2005</w:t>
            </w:r>
          </w:p>
        </w:tc>
        <w:tc>
          <w:tcPr>
            <w:tcW w:w="1340" w:type="dxa"/>
            <w:vAlign w:val="bottom"/>
            <w:gridSpan w:val="2"/>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497,583</w:t>
            </w:r>
          </w:p>
        </w:tc>
        <w:tc>
          <w:tcPr>
            <w:tcW w:w="1340" w:type="dxa"/>
            <w:vAlign w:val="bottom"/>
            <w:gridSpan w:val="2"/>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440,646</w:t>
            </w:r>
          </w:p>
        </w:tc>
        <w:tc>
          <w:tcPr>
            <w:tcW w:w="320" w:type="dxa"/>
            <w:vAlign w:val="bottom"/>
            <w:shd w:val="clear" w:color="auto" w:fill="D6F3E8"/>
          </w:tcPr>
          <w:p>
            <w:pPr>
              <w:spacing w:after="0"/>
              <w:rPr>
                <w:sz w:val="11"/>
                <w:szCs w:val="11"/>
                <w:color w:val="auto"/>
              </w:rPr>
            </w:pPr>
          </w:p>
        </w:tc>
        <w:tc>
          <w:tcPr>
            <w:tcW w:w="1000" w:type="dxa"/>
            <w:vAlign w:val="bottom"/>
            <w:shd w:val="clear" w:color="auto" w:fill="D6F3E8"/>
          </w:tcPr>
          <w:p>
            <w:pPr>
              <w:jc w:val="right"/>
              <w:spacing w:after="0" w:line="130"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D6F3E8"/>
          </w:tcPr>
          <w:p>
            <w:pPr>
              <w:jc w:val="right"/>
              <w:spacing w:after="0" w:line="130" w:lineRule="exact"/>
              <w:rPr>
                <w:sz w:val="20"/>
                <w:szCs w:val="20"/>
                <w:color w:val="auto"/>
              </w:rPr>
            </w:pPr>
            <w:r>
              <w:rPr>
                <w:rFonts w:ascii="Arial" w:cs="Arial" w:eastAsia="Arial" w:hAnsi="Arial"/>
                <w:sz w:val="14"/>
                <w:szCs w:val="14"/>
                <w:color w:val="auto"/>
              </w:rPr>
              <w:t>70,000</w:t>
            </w:r>
          </w:p>
        </w:tc>
        <w:tc>
          <w:tcPr>
            <w:tcW w:w="1340" w:type="dxa"/>
            <w:vAlign w:val="bottom"/>
            <w:gridSpan w:val="2"/>
            <w:shd w:val="clear" w:color="auto" w:fill="D6F3E8"/>
          </w:tcPr>
          <w:p>
            <w:pPr>
              <w:jc w:val="right"/>
              <w:spacing w:after="0" w:line="130" w:lineRule="exact"/>
              <w:rPr>
                <w:sz w:val="20"/>
                <w:szCs w:val="20"/>
                <w:color w:val="auto"/>
              </w:rPr>
            </w:pPr>
            <w:r>
              <w:rPr>
                <w:rFonts w:ascii="Arial" w:cs="Arial" w:eastAsia="Arial" w:hAnsi="Arial"/>
                <w:sz w:val="14"/>
                <w:szCs w:val="14"/>
                <w:color w:val="auto"/>
              </w:rPr>
              <w:t>199,674</w:t>
            </w:r>
          </w:p>
        </w:tc>
        <w:tc>
          <w:tcPr>
            <w:tcW w:w="320" w:type="dxa"/>
            <w:vAlign w:val="bottom"/>
            <w:shd w:val="clear" w:color="auto" w:fill="D6F3E8"/>
          </w:tcPr>
          <w:p>
            <w:pPr>
              <w:spacing w:after="0"/>
              <w:rPr>
                <w:sz w:val="11"/>
                <w:szCs w:val="11"/>
                <w:color w:val="auto"/>
              </w:rPr>
            </w:pPr>
          </w:p>
        </w:tc>
        <w:tc>
          <w:tcPr>
            <w:tcW w:w="940" w:type="dxa"/>
            <w:vAlign w:val="bottom"/>
            <w:gridSpan w:val="2"/>
            <w:shd w:val="clear" w:color="auto" w:fill="D6F3E8"/>
          </w:tcPr>
          <w:p>
            <w:pPr>
              <w:ind w:left="4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D6F3E8"/>
          </w:tcPr>
          <w:p>
            <w:pPr>
              <w:ind w:left="120"/>
              <w:spacing w:after="0" w:line="149" w:lineRule="exact"/>
              <w:rPr>
                <w:sz w:val="20"/>
                <w:szCs w:val="20"/>
                <w:color w:val="auto"/>
              </w:rPr>
            </w:pPr>
            <w:r>
              <w:rPr>
                <w:rFonts w:ascii="Arial" w:cs="Arial" w:eastAsia="Arial" w:hAnsi="Arial"/>
                <w:sz w:val="14"/>
                <w:szCs w:val="14"/>
                <w:color w:val="auto"/>
              </w:rPr>
              <w:t>Chairman and Chief</w:t>
            </w:r>
          </w:p>
        </w:tc>
        <w:tc>
          <w:tcPr>
            <w:tcW w:w="1220" w:type="dxa"/>
            <w:vAlign w:val="bottom"/>
            <w:gridSpan w:val="3"/>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2004</w:t>
            </w:r>
          </w:p>
        </w:tc>
        <w:tc>
          <w:tcPr>
            <w:tcW w:w="1340" w:type="dxa"/>
            <w:vAlign w:val="bottom"/>
            <w:gridSpan w:val="2"/>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481,072</w:t>
            </w:r>
          </w:p>
        </w:tc>
        <w:tc>
          <w:tcPr>
            <w:tcW w:w="1340" w:type="dxa"/>
            <w:vAlign w:val="bottom"/>
            <w:gridSpan w:val="2"/>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1,197,401</w:t>
            </w:r>
          </w:p>
        </w:tc>
        <w:tc>
          <w:tcPr>
            <w:tcW w:w="320" w:type="dxa"/>
            <w:vAlign w:val="bottom"/>
            <w:shd w:val="clear" w:color="auto" w:fill="D6F3E8"/>
          </w:tcPr>
          <w:p>
            <w:pPr>
              <w:spacing w:after="0"/>
              <w:rPr>
                <w:sz w:val="12"/>
                <w:szCs w:val="12"/>
                <w:color w:val="auto"/>
              </w:rPr>
            </w:pPr>
          </w:p>
        </w:tc>
        <w:tc>
          <w:tcPr>
            <w:tcW w:w="10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D6F3E8"/>
          </w:tcPr>
          <w:p>
            <w:pPr>
              <w:jc w:val="right"/>
              <w:spacing w:after="0" w:line="149" w:lineRule="exact"/>
              <w:rPr>
                <w:sz w:val="20"/>
                <w:szCs w:val="20"/>
                <w:color w:val="auto"/>
              </w:rPr>
            </w:pPr>
            <w:r>
              <w:rPr>
                <w:rFonts w:ascii="Arial" w:cs="Arial" w:eastAsia="Arial" w:hAnsi="Arial"/>
                <w:sz w:val="14"/>
                <w:szCs w:val="14"/>
                <w:color w:val="auto"/>
              </w:rPr>
              <w:t>60,000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368,630</w:t>
            </w:r>
          </w:p>
        </w:tc>
        <w:tc>
          <w:tcPr>
            <w:tcW w:w="320" w:type="dxa"/>
            <w:vAlign w:val="bottom"/>
            <w:shd w:val="clear" w:color="auto" w:fill="D6F3E8"/>
          </w:tcPr>
          <w:p>
            <w:pPr>
              <w:spacing w:after="0"/>
              <w:rPr>
                <w:sz w:val="12"/>
                <w:szCs w:val="12"/>
                <w:color w:val="auto"/>
              </w:rPr>
            </w:pPr>
          </w:p>
        </w:tc>
        <w:tc>
          <w:tcPr>
            <w:tcW w:w="940" w:type="dxa"/>
            <w:vAlign w:val="bottom"/>
            <w:gridSpan w:val="2"/>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D6F3E8"/>
          </w:tcPr>
          <w:p>
            <w:pPr>
              <w:ind w:left="120"/>
              <w:spacing w:after="0"/>
              <w:rPr>
                <w:sz w:val="20"/>
                <w:szCs w:val="20"/>
                <w:color w:val="auto"/>
              </w:rPr>
            </w:pPr>
            <w:r>
              <w:rPr>
                <w:rFonts w:ascii="Arial" w:cs="Arial" w:eastAsia="Arial" w:hAnsi="Arial"/>
                <w:sz w:val="14"/>
                <w:szCs w:val="14"/>
                <w:color w:val="auto"/>
              </w:rPr>
              <w:t>Executive Officer</w:t>
            </w:r>
          </w:p>
        </w:tc>
        <w:tc>
          <w:tcPr>
            <w:tcW w:w="1220" w:type="dxa"/>
            <w:vAlign w:val="bottom"/>
            <w:gridSpan w:val="3"/>
            <w:shd w:val="clear" w:color="auto" w:fill="D6F3E8"/>
          </w:tcPr>
          <w:p>
            <w:pPr>
              <w:jc w:val="right"/>
              <w:ind w:right="8"/>
              <w:spacing w:after="0"/>
              <w:rPr>
                <w:sz w:val="20"/>
                <w:szCs w:val="20"/>
                <w:color w:val="auto"/>
              </w:rPr>
            </w:pPr>
            <w:r>
              <w:rPr>
                <w:rFonts w:ascii="Arial" w:cs="Arial" w:eastAsia="Arial" w:hAnsi="Arial"/>
                <w:sz w:val="14"/>
                <w:szCs w:val="14"/>
                <w:color w:val="auto"/>
              </w:rPr>
              <w:t>2003</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4"/>
                <w:szCs w:val="14"/>
                <w:color w:val="auto"/>
              </w:rPr>
              <w:t>459,457</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4"/>
                <w:szCs w:val="14"/>
                <w:color w:val="auto"/>
              </w:rPr>
              <w:t>321,682</w:t>
            </w:r>
          </w:p>
        </w:tc>
        <w:tc>
          <w:tcPr>
            <w:tcW w:w="132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100,000</w:t>
            </w:r>
          </w:p>
        </w:tc>
        <w:tc>
          <w:tcPr>
            <w:tcW w:w="1340" w:type="dxa"/>
            <w:vAlign w:val="bottom"/>
            <w:gridSpan w:val="3"/>
            <w:shd w:val="clear" w:color="auto" w:fill="D6F3E8"/>
          </w:tcPr>
          <w:p>
            <w:pPr>
              <w:jc w:val="right"/>
              <w:spacing w:after="0"/>
              <w:rPr>
                <w:sz w:val="20"/>
                <w:szCs w:val="20"/>
                <w:color w:val="auto"/>
              </w:rPr>
            </w:pPr>
            <w:r>
              <w:rPr>
                <w:rFonts w:ascii="Arial" w:cs="Arial" w:eastAsia="Arial" w:hAnsi="Arial"/>
                <w:sz w:val="14"/>
                <w:szCs w:val="14"/>
                <w:color w:val="auto"/>
              </w:rPr>
              <w:t>60,000</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539,698</w:t>
            </w:r>
          </w:p>
        </w:tc>
        <w:tc>
          <w:tcPr>
            <w:tcW w:w="320" w:type="dxa"/>
            <w:vAlign w:val="bottom"/>
            <w:shd w:val="clear" w:color="auto" w:fill="D6F3E8"/>
          </w:tcPr>
          <w:p>
            <w:pPr>
              <w:spacing w:after="0"/>
              <w:rPr>
                <w:sz w:val="14"/>
                <w:szCs w:val="14"/>
                <w:color w:val="auto"/>
              </w:rPr>
            </w:pPr>
          </w:p>
        </w:tc>
        <w:tc>
          <w:tcPr>
            <w:tcW w:w="940" w:type="dxa"/>
            <w:vAlign w:val="bottom"/>
            <w:gridSpan w:val="2"/>
            <w:shd w:val="clear" w:color="auto" w:fill="D6F3E8"/>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tcPr>
          <w:p>
            <w:pPr>
              <w:spacing w:after="0" w:line="130" w:lineRule="exact"/>
              <w:rPr>
                <w:sz w:val="20"/>
                <w:szCs w:val="20"/>
                <w:color w:val="auto"/>
              </w:rPr>
            </w:pPr>
            <w:r>
              <w:rPr>
                <w:rFonts w:ascii="Arial" w:cs="Arial" w:eastAsia="Arial" w:hAnsi="Arial"/>
                <w:sz w:val="14"/>
                <w:szCs w:val="14"/>
                <w:color w:val="auto"/>
              </w:rPr>
              <w:t>Edwin F. Barker</w:t>
            </w:r>
          </w:p>
        </w:tc>
        <w:tc>
          <w:tcPr>
            <w:tcW w:w="1220" w:type="dxa"/>
            <w:vAlign w:val="bottom"/>
            <w:gridSpan w:val="3"/>
          </w:tcPr>
          <w:p>
            <w:pPr>
              <w:jc w:val="right"/>
              <w:ind w:right="8"/>
              <w:spacing w:after="0" w:line="130" w:lineRule="exact"/>
              <w:rPr>
                <w:sz w:val="20"/>
                <w:szCs w:val="20"/>
                <w:color w:val="auto"/>
              </w:rPr>
            </w:pPr>
            <w:r>
              <w:rPr>
                <w:rFonts w:ascii="Arial" w:cs="Arial" w:eastAsia="Arial" w:hAnsi="Arial"/>
                <w:sz w:val="14"/>
                <w:szCs w:val="14"/>
                <w:color w:val="auto"/>
              </w:rPr>
              <w:t>2005</w:t>
            </w:r>
          </w:p>
        </w:tc>
        <w:tc>
          <w:tcPr>
            <w:tcW w:w="134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289,670</w:t>
            </w:r>
          </w:p>
        </w:tc>
        <w:tc>
          <w:tcPr>
            <w:tcW w:w="1340" w:type="dxa"/>
            <w:vAlign w:val="bottom"/>
            <w:gridSpan w:val="2"/>
          </w:tcPr>
          <w:p>
            <w:pPr>
              <w:jc w:val="right"/>
              <w:ind w:right="8"/>
              <w:spacing w:after="0" w:line="130" w:lineRule="exact"/>
              <w:rPr>
                <w:sz w:val="20"/>
                <w:szCs w:val="20"/>
                <w:color w:val="auto"/>
              </w:rPr>
            </w:pPr>
            <w:r>
              <w:rPr>
                <w:rFonts w:ascii="Arial" w:cs="Arial" w:eastAsia="Arial" w:hAnsi="Arial"/>
                <w:sz w:val="14"/>
                <w:szCs w:val="14"/>
                <w:color w:val="auto"/>
              </w:rPr>
              <w:t>156,070</w:t>
            </w:r>
          </w:p>
        </w:tc>
        <w:tc>
          <w:tcPr>
            <w:tcW w:w="32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3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45,000</w:t>
            </w:r>
          </w:p>
        </w:tc>
        <w:tc>
          <w:tcPr>
            <w:tcW w:w="13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106,040</w:t>
            </w:r>
          </w:p>
        </w:tc>
        <w:tc>
          <w:tcPr>
            <w:tcW w:w="320" w:type="dxa"/>
            <w:vAlign w:val="bottom"/>
          </w:tcPr>
          <w:p>
            <w:pPr>
              <w:spacing w:after="0"/>
              <w:rPr>
                <w:sz w:val="11"/>
                <w:szCs w:val="11"/>
                <w:color w:val="auto"/>
              </w:rPr>
            </w:pPr>
          </w:p>
        </w:tc>
        <w:tc>
          <w:tcPr>
            <w:tcW w:w="940" w:type="dxa"/>
            <w:vAlign w:val="bottom"/>
            <w:gridSpan w:val="2"/>
          </w:tcPr>
          <w:p>
            <w:pPr>
              <w:ind w:left="4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120"/>
              <w:spacing w:after="0" w:line="149" w:lineRule="exact"/>
              <w:rPr>
                <w:sz w:val="20"/>
                <w:szCs w:val="20"/>
                <w:color w:val="auto"/>
              </w:rPr>
            </w:pPr>
            <w:r>
              <w:rPr>
                <w:rFonts w:ascii="Arial" w:cs="Arial" w:eastAsia="Arial" w:hAnsi="Arial"/>
                <w:sz w:val="14"/>
                <w:szCs w:val="14"/>
                <w:color w:val="auto"/>
              </w:rPr>
              <w:t>President and Chief</w:t>
            </w:r>
          </w:p>
        </w:tc>
        <w:tc>
          <w:tcPr>
            <w:tcW w:w="1220" w:type="dxa"/>
            <w:vAlign w:val="bottom"/>
            <w:gridSpan w:val="3"/>
          </w:tcPr>
          <w:p>
            <w:pPr>
              <w:jc w:val="right"/>
              <w:ind w:right="8"/>
              <w:spacing w:after="0" w:line="149" w:lineRule="exact"/>
              <w:rPr>
                <w:sz w:val="20"/>
                <w:szCs w:val="20"/>
                <w:color w:val="auto"/>
              </w:rPr>
            </w:pPr>
            <w:r>
              <w:rPr>
                <w:rFonts w:ascii="Arial" w:cs="Arial" w:eastAsia="Arial" w:hAnsi="Arial"/>
                <w:sz w:val="14"/>
                <w:szCs w:val="14"/>
                <w:color w:val="auto"/>
              </w:rPr>
              <w:t>2004</w:t>
            </w:r>
          </w:p>
        </w:tc>
        <w:tc>
          <w:tcPr>
            <w:tcW w:w="1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255,480</w:t>
            </w:r>
          </w:p>
        </w:tc>
        <w:tc>
          <w:tcPr>
            <w:tcW w:w="13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372,971</w:t>
            </w: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30,000</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173,473</w:t>
            </w:r>
          </w:p>
        </w:tc>
        <w:tc>
          <w:tcPr>
            <w:tcW w:w="3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tcPr>
          <w:p>
            <w:pPr>
              <w:ind w:left="120"/>
              <w:spacing w:after="0"/>
              <w:rPr>
                <w:sz w:val="20"/>
                <w:szCs w:val="20"/>
                <w:color w:val="auto"/>
              </w:rPr>
            </w:pPr>
            <w:r>
              <w:rPr>
                <w:rFonts w:ascii="Arial" w:cs="Arial" w:eastAsia="Arial" w:hAnsi="Arial"/>
                <w:sz w:val="14"/>
                <w:szCs w:val="14"/>
                <w:color w:val="auto"/>
              </w:rPr>
              <w:t>Financial Officer</w:t>
            </w:r>
          </w:p>
        </w:tc>
        <w:tc>
          <w:tcPr>
            <w:tcW w:w="1220" w:type="dxa"/>
            <w:vAlign w:val="bottom"/>
            <w:gridSpan w:val="3"/>
          </w:tcPr>
          <w:p>
            <w:pPr>
              <w:jc w:val="right"/>
              <w:ind w:right="8"/>
              <w:spacing w:after="0"/>
              <w:rPr>
                <w:sz w:val="20"/>
                <w:szCs w:val="20"/>
                <w:color w:val="auto"/>
              </w:rPr>
            </w:pPr>
            <w:r>
              <w:rPr>
                <w:rFonts w:ascii="Arial" w:cs="Arial" w:eastAsia="Arial" w:hAnsi="Arial"/>
                <w:sz w:val="14"/>
                <w:szCs w:val="14"/>
                <w:color w:val="auto"/>
              </w:rPr>
              <w:t>2003</w:t>
            </w:r>
          </w:p>
        </w:tc>
        <w:tc>
          <w:tcPr>
            <w:tcW w:w="1340" w:type="dxa"/>
            <w:vAlign w:val="bottom"/>
            <w:gridSpan w:val="2"/>
          </w:tcPr>
          <w:p>
            <w:pPr>
              <w:jc w:val="right"/>
              <w:ind w:right="8"/>
              <w:spacing w:after="0"/>
              <w:rPr>
                <w:sz w:val="20"/>
                <w:szCs w:val="20"/>
                <w:color w:val="auto"/>
              </w:rPr>
            </w:pPr>
            <w:r>
              <w:rPr>
                <w:rFonts w:ascii="Arial" w:cs="Arial" w:eastAsia="Arial" w:hAnsi="Arial"/>
                <w:sz w:val="14"/>
                <w:szCs w:val="14"/>
                <w:color w:val="auto"/>
              </w:rPr>
              <w:t>235,346</w:t>
            </w:r>
          </w:p>
        </w:tc>
        <w:tc>
          <w:tcPr>
            <w:tcW w:w="1340" w:type="dxa"/>
            <w:vAlign w:val="bottom"/>
            <w:gridSpan w:val="2"/>
          </w:tcPr>
          <w:p>
            <w:pPr>
              <w:jc w:val="right"/>
              <w:ind w:right="8"/>
              <w:spacing w:after="0"/>
              <w:rPr>
                <w:sz w:val="20"/>
                <w:szCs w:val="20"/>
                <w:color w:val="auto"/>
              </w:rPr>
            </w:pPr>
            <w:r>
              <w:rPr>
                <w:rFonts w:ascii="Arial" w:cs="Arial" w:eastAsia="Arial" w:hAnsi="Arial"/>
                <w:sz w:val="14"/>
                <w:szCs w:val="14"/>
                <w:color w:val="auto"/>
              </w:rPr>
              <w:t>112,744</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14,400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253,975</w:t>
            </w:r>
          </w:p>
        </w:tc>
        <w:tc>
          <w:tcPr>
            <w:tcW w:w="3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00" w:type="dxa"/>
            <w:vAlign w:val="bottom"/>
            <w:shd w:val="clear" w:color="auto" w:fill="D6F3E8"/>
          </w:tcPr>
          <w:p>
            <w:pPr>
              <w:spacing w:after="0" w:line="130" w:lineRule="exact"/>
              <w:rPr>
                <w:sz w:val="20"/>
                <w:szCs w:val="20"/>
                <w:color w:val="auto"/>
              </w:rPr>
            </w:pPr>
            <w:r>
              <w:rPr>
                <w:rFonts w:ascii="Arial" w:cs="Arial" w:eastAsia="Arial" w:hAnsi="Arial"/>
                <w:sz w:val="14"/>
                <w:szCs w:val="14"/>
                <w:color w:val="auto"/>
              </w:rPr>
              <w:t>Raymond M. Beebe</w:t>
            </w:r>
          </w:p>
        </w:tc>
        <w:tc>
          <w:tcPr>
            <w:tcW w:w="1220" w:type="dxa"/>
            <w:vAlign w:val="bottom"/>
            <w:gridSpan w:val="3"/>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2005</w:t>
            </w:r>
          </w:p>
        </w:tc>
        <w:tc>
          <w:tcPr>
            <w:tcW w:w="1340" w:type="dxa"/>
            <w:vAlign w:val="bottom"/>
            <w:gridSpan w:val="2"/>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232,911</w:t>
            </w:r>
          </w:p>
        </w:tc>
        <w:tc>
          <w:tcPr>
            <w:tcW w:w="1340" w:type="dxa"/>
            <w:vAlign w:val="bottom"/>
            <w:gridSpan w:val="2"/>
            <w:shd w:val="clear" w:color="auto" w:fill="D6F3E8"/>
          </w:tcPr>
          <w:p>
            <w:pPr>
              <w:jc w:val="right"/>
              <w:ind w:right="8"/>
              <w:spacing w:after="0" w:line="130" w:lineRule="exact"/>
              <w:rPr>
                <w:sz w:val="20"/>
                <w:szCs w:val="20"/>
                <w:color w:val="auto"/>
              </w:rPr>
            </w:pPr>
            <w:r>
              <w:rPr>
                <w:rFonts w:ascii="Arial" w:cs="Arial" w:eastAsia="Arial" w:hAnsi="Arial"/>
                <w:sz w:val="14"/>
                <w:szCs w:val="14"/>
                <w:color w:val="auto"/>
              </w:rPr>
              <w:t>132,463</w:t>
            </w:r>
          </w:p>
        </w:tc>
        <w:tc>
          <w:tcPr>
            <w:tcW w:w="320" w:type="dxa"/>
            <w:vAlign w:val="bottom"/>
            <w:shd w:val="clear" w:color="auto" w:fill="D6F3E8"/>
          </w:tcPr>
          <w:p>
            <w:pPr>
              <w:spacing w:after="0"/>
              <w:rPr>
                <w:sz w:val="11"/>
                <w:szCs w:val="11"/>
                <w:color w:val="auto"/>
              </w:rPr>
            </w:pPr>
          </w:p>
        </w:tc>
        <w:tc>
          <w:tcPr>
            <w:tcW w:w="1000" w:type="dxa"/>
            <w:vAlign w:val="bottom"/>
            <w:shd w:val="clear" w:color="auto" w:fill="D6F3E8"/>
          </w:tcPr>
          <w:p>
            <w:pPr>
              <w:jc w:val="right"/>
              <w:spacing w:after="0" w:line="130"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D6F3E8"/>
          </w:tcPr>
          <w:p>
            <w:pPr>
              <w:jc w:val="right"/>
              <w:spacing w:after="0" w:line="130" w:lineRule="exact"/>
              <w:rPr>
                <w:sz w:val="20"/>
                <w:szCs w:val="20"/>
                <w:color w:val="auto"/>
              </w:rPr>
            </w:pPr>
            <w:r>
              <w:rPr>
                <w:rFonts w:ascii="Arial" w:cs="Arial" w:eastAsia="Arial" w:hAnsi="Arial"/>
                <w:sz w:val="14"/>
                <w:szCs w:val="14"/>
                <w:color w:val="auto"/>
              </w:rPr>
              <w:t>12,500</w:t>
            </w:r>
          </w:p>
        </w:tc>
        <w:tc>
          <w:tcPr>
            <w:tcW w:w="1340" w:type="dxa"/>
            <w:vAlign w:val="bottom"/>
            <w:gridSpan w:val="2"/>
            <w:shd w:val="clear" w:color="auto" w:fill="D6F3E8"/>
          </w:tcPr>
          <w:p>
            <w:pPr>
              <w:jc w:val="right"/>
              <w:spacing w:after="0" w:line="130" w:lineRule="exact"/>
              <w:rPr>
                <w:sz w:val="20"/>
                <w:szCs w:val="20"/>
                <w:color w:val="auto"/>
              </w:rPr>
            </w:pPr>
            <w:r>
              <w:rPr>
                <w:rFonts w:ascii="Arial" w:cs="Arial" w:eastAsia="Arial" w:hAnsi="Arial"/>
                <w:sz w:val="14"/>
                <w:szCs w:val="14"/>
                <w:color w:val="auto"/>
              </w:rPr>
              <w:t>93,464</w:t>
            </w:r>
          </w:p>
        </w:tc>
        <w:tc>
          <w:tcPr>
            <w:tcW w:w="320" w:type="dxa"/>
            <w:vAlign w:val="bottom"/>
            <w:shd w:val="clear" w:color="auto" w:fill="D6F3E8"/>
          </w:tcPr>
          <w:p>
            <w:pPr>
              <w:spacing w:after="0"/>
              <w:rPr>
                <w:sz w:val="11"/>
                <w:szCs w:val="11"/>
                <w:color w:val="auto"/>
              </w:rPr>
            </w:pPr>
          </w:p>
        </w:tc>
        <w:tc>
          <w:tcPr>
            <w:tcW w:w="940" w:type="dxa"/>
            <w:vAlign w:val="bottom"/>
            <w:gridSpan w:val="2"/>
            <w:shd w:val="clear" w:color="auto" w:fill="D6F3E8"/>
          </w:tcPr>
          <w:p>
            <w:pPr>
              <w:ind w:left="4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D6F3E8"/>
          </w:tcPr>
          <w:p>
            <w:pPr>
              <w:ind w:left="120"/>
              <w:spacing w:after="0" w:line="149" w:lineRule="exact"/>
              <w:rPr>
                <w:sz w:val="20"/>
                <w:szCs w:val="20"/>
                <w:color w:val="auto"/>
              </w:rPr>
            </w:pPr>
            <w:r>
              <w:rPr>
                <w:rFonts w:ascii="Arial" w:cs="Arial" w:eastAsia="Arial" w:hAnsi="Arial"/>
                <w:sz w:val="14"/>
                <w:szCs w:val="14"/>
                <w:color w:val="auto"/>
              </w:rPr>
              <w:t>Vice President, General</w:t>
            </w:r>
          </w:p>
        </w:tc>
        <w:tc>
          <w:tcPr>
            <w:tcW w:w="1220" w:type="dxa"/>
            <w:vAlign w:val="bottom"/>
            <w:gridSpan w:val="3"/>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2004</w:t>
            </w:r>
          </w:p>
        </w:tc>
        <w:tc>
          <w:tcPr>
            <w:tcW w:w="1340" w:type="dxa"/>
            <w:vAlign w:val="bottom"/>
            <w:gridSpan w:val="2"/>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225,183</w:t>
            </w:r>
          </w:p>
        </w:tc>
        <w:tc>
          <w:tcPr>
            <w:tcW w:w="1340" w:type="dxa"/>
            <w:vAlign w:val="bottom"/>
            <w:gridSpan w:val="2"/>
            <w:shd w:val="clear" w:color="auto" w:fill="D6F3E8"/>
          </w:tcPr>
          <w:p>
            <w:pPr>
              <w:jc w:val="right"/>
              <w:ind w:right="8"/>
              <w:spacing w:after="0" w:line="149" w:lineRule="exact"/>
              <w:rPr>
                <w:sz w:val="20"/>
                <w:szCs w:val="20"/>
                <w:color w:val="auto"/>
              </w:rPr>
            </w:pPr>
            <w:r>
              <w:rPr>
                <w:rFonts w:ascii="Arial" w:cs="Arial" w:eastAsia="Arial" w:hAnsi="Arial"/>
                <w:sz w:val="14"/>
                <w:szCs w:val="14"/>
                <w:color w:val="auto"/>
              </w:rPr>
              <w:t>334,293</w:t>
            </w:r>
          </w:p>
        </w:tc>
        <w:tc>
          <w:tcPr>
            <w:tcW w:w="320" w:type="dxa"/>
            <w:vAlign w:val="bottom"/>
            <w:shd w:val="clear" w:color="auto" w:fill="D6F3E8"/>
          </w:tcPr>
          <w:p>
            <w:pPr>
              <w:spacing w:after="0"/>
              <w:rPr>
                <w:sz w:val="12"/>
                <w:szCs w:val="12"/>
                <w:color w:val="auto"/>
              </w:rPr>
            </w:pPr>
          </w:p>
        </w:tc>
        <w:tc>
          <w:tcPr>
            <w:tcW w:w="1000" w:type="dxa"/>
            <w:vAlign w:val="bottom"/>
            <w:shd w:val="clear" w:color="auto" w:fill="D6F3E8"/>
          </w:tcPr>
          <w:p>
            <w:pPr>
              <w:jc w:val="right"/>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D6F3E8"/>
          </w:tcPr>
          <w:p>
            <w:pPr>
              <w:jc w:val="right"/>
              <w:spacing w:after="0" w:line="149" w:lineRule="exact"/>
              <w:rPr>
                <w:sz w:val="20"/>
                <w:szCs w:val="20"/>
                <w:color w:val="auto"/>
              </w:rPr>
            </w:pPr>
            <w:r>
              <w:rPr>
                <w:rFonts w:ascii="Arial" w:cs="Arial" w:eastAsia="Arial" w:hAnsi="Arial"/>
                <w:sz w:val="14"/>
                <w:szCs w:val="14"/>
                <w:color w:val="auto"/>
              </w:rPr>
              <w:t>15,000</w:t>
            </w:r>
          </w:p>
        </w:tc>
        <w:tc>
          <w:tcPr>
            <w:tcW w:w="1340" w:type="dxa"/>
            <w:vAlign w:val="bottom"/>
            <w:gridSpan w:val="2"/>
            <w:shd w:val="clear" w:color="auto" w:fill="D6F3E8"/>
          </w:tcPr>
          <w:p>
            <w:pPr>
              <w:jc w:val="right"/>
              <w:spacing w:after="0" w:line="149" w:lineRule="exact"/>
              <w:rPr>
                <w:sz w:val="20"/>
                <w:szCs w:val="20"/>
                <w:color w:val="auto"/>
              </w:rPr>
            </w:pPr>
            <w:r>
              <w:rPr>
                <w:rFonts w:ascii="Arial" w:cs="Arial" w:eastAsia="Arial" w:hAnsi="Arial"/>
                <w:sz w:val="14"/>
                <w:szCs w:val="14"/>
                <w:color w:val="auto"/>
              </w:rPr>
              <w:t>173,473</w:t>
            </w:r>
          </w:p>
        </w:tc>
        <w:tc>
          <w:tcPr>
            <w:tcW w:w="320" w:type="dxa"/>
            <w:vAlign w:val="bottom"/>
            <w:shd w:val="clear" w:color="auto" w:fill="D6F3E8"/>
          </w:tcPr>
          <w:p>
            <w:pPr>
              <w:spacing w:after="0"/>
              <w:rPr>
                <w:sz w:val="12"/>
                <w:szCs w:val="12"/>
                <w:color w:val="auto"/>
              </w:rPr>
            </w:pPr>
          </w:p>
        </w:tc>
        <w:tc>
          <w:tcPr>
            <w:tcW w:w="940" w:type="dxa"/>
            <w:vAlign w:val="bottom"/>
            <w:gridSpan w:val="2"/>
            <w:shd w:val="clear" w:color="auto" w:fill="D6F3E8"/>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00" w:type="dxa"/>
            <w:vAlign w:val="bottom"/>
            <w:shd w:val="clear" w:color="auto" w:fill="D6F3E8"/>
          </w:tcPr>
          <w:p>
            <w:pPr>
              <w:ind w:left="120"/>
              <w:spacing w:after="0"/>
              <w:rPr>
                <w:sz w:val="20"/>
                <w:szCs w:val="20"/>
                <w:color w:val="auto"/>
              </w:rPr>
            </w:pPr>
            <w:r>
              <w:rPr>
                <w:rFonts w:ascii="Arial" w:cs="Arial" w:eastAsia="Arial" w:hAnsi="Arial"/>
                <w:sz w:val="14"/>
                <w:szCs w:val="14"/>
                <w:color w:val="auto"/>
              </w:rPr>
              <w:t>Counsel and Secretary</w:t>
            </w:r>
          </w:p>
        </w:tc>
        <w:tc>
          <w:tcPr>
            <w:tcW w:w="1220" w:type="dxa"/>
            <w:vAlign w:val="bottom"/>
            <w:gridSpan w:val="3"/>
            <w:shd w:val="clear" w:color="auto" w:fill="D6F3E8"/>
          </w:tcPr>
          <w:p>
            <w:pPr>
              <w:jc w:val="right"/>
              <w:ind w:right="8"/>
              <w:spacing w:after="0"/>
              <w:rPr>
                <w:sz w:val="20"/>
                <w:szCs w:val="20"/>
                <w:color w:val="auto"/>
              </w:rPr>
            </w:pPr>
            <w:r>
              <w:rPr>
                <w:rFonts w:ascii="Arial" w:cs="Arial" w:eastAsia="Arial" w:hAnsi="Arial"/>
                <w:sz w:val="14"/>
                <w:szCs w:val="14"/>
                <w:color w:val="auto"/>
              </w:rPr>
              <w:t>2003</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4"/>
                <w:szCs w:val="14"/>
                <w:color w:val="auto"/>
              </w:rPr>
              <w:t>215,423</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4"/>
                <w:szCs w:val="14"/>
                <w:color w:val="auto"/>
              </w:rPr>
              <w:t>103,439</w:t>
            </w:r>
          </w:p>
        </w:tc>
        <w:tc>
          <w:tcPr>
            <w:tcW w:w="320" w:type="dxa"/>
            <w:vAlign w:val="bottom"/>
            <w:shd w:val="clear" w:color="auto" w:fill="D6F3E8"/>
          </w:tcPr>
          <w:p>
            <w:pPr>
              <w:spacing w:after="0"/>
              <w:rPr>
                <w:sz w:val="14"/>
                <w:szCs w:val="14"/>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D6F3E8"/>
          </w:tcPr>
          <w:p>
            <w:pPr>
              <w:jc w:val="right"/>
              <w:spacing w:after="0"/>
              <w:rPr>
                <w:sz w:val="20"/>
                <w:szCs w:val="20"/>
                <w:color w:val="auto"/>
              </w:rPr>
            </w:pPr>
            <w:r>
              <w:rPr>
                <w:rFonts w:ascii="Arial" w:cs="Arial" w:eastAsia="Arial" w:hAnsi="Arial"/>
                <w:sz w:val="14"/>
                <w:szCs w:val="14"/>
                <w:color w:val="auto"/>
              </w:rPr>
              <w:t>14,400</w:t>
            </w:r>
          </w:p>
        </w:tc>
        <w:tc>
          <w:tcPr>
            <w:tcW w:w="1340" w:type="dxa"/>
            <w:vAlign w:val="bottom"/>
            <w:gridSpan w:val="2"/>
            <w:shd w:val="clear" w:color="auto" w:fill="D6F3E8"/>
          </w:tcPr>
          <w:p>
            <w:pPr>
              <w:jc w:val="right"/>
              <w:spacing w:after="0"/>
              <w:rPr>
                <w:sz w:val="20"/>
                <w:szCs w:val="20"/>
                <w:color w:val="auto"/>
              </w:rPr>
            </w:pPr>
            <w:r>
              <w:rPr>
                <w:rFonts w:ascii="Arial" w:cs="Arial" w:eastAsia="Arial" w:hAnsi="Arial"/>
                <w:sz w:val="14"/>
                <w:szCs w:val="14"/>
                <w:color w:val="auto"/>
              </w:rPr>
              <w:t>253,975</w:t>
            </w:r>
          </w:p>
        </w:tc>
        <w:tc>
          <w:tcPr>
            <w:tcW w:w="320" w:type="dxa"/>
            <w:vAlign w:val="bottom"/>
            <w:shd w:val="clear" w:color="auto" w:fill="D6F3E8"/>
          </w:tcPr>
          <w:p>
            <w:pPr>
              <w:spacing w:after="0"/>
              <w:rPr>
                <w:sz w:val="14"/>
                <w:szCs w:val="14"/>
                <w:color w:val="auto"/>
              </w:rPr>
            </w:pPr>
          </w:p>
        </w:tc>
        <w:tc>
          <w:tcPr>
            <w:tcW w:w="940" w:type="dxa"/>
            <w:vAlign w:val="bottom"/>
            <w:gridSpan w:val="2"/>
            <w:shd w:val="clear" w:color="auto" w:fill="D6F3E8"/>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-944880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-944880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-944880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-944880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-944880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-944880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-944880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-944880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-944880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-944880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-944880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-944880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-944880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-944880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-944880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-944880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00"/>
          </w:cols>
          <w:pgMar w:left="240" w:top="125" w:right="259" w:bottom="0" w:gutter="0" w:footer="0" w:header="0"/>
          <w:type w:val="continuous"/>
        </w:sectPr>
      </w:pPr>
    </w:p>
    <w:bookmarkStart w:id="9" w:name="page10"/>
    <w:bookmarkEnd w:id="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color w:val="auto"/>
              </w:rPr>
              <w:t>William J. O’Leary</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2005</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218,931</w:t>
            </w:r>
          </w:p>
        </w:tc>
        <w:tc>
          <w:tcPr>
            <w:tcW w:w="1500" w:type="dxa"/>
            <w:vAlign w:val="bottom"/>
          </w:tcPr>
          <w:p>
            <w:pPr>
              <w:jc w:val="right"/>
              <w:ind w:right="528"/>
              <w:spacing w:after="0"/>
              <w:rPr>
                <w:sz w:val="20"/>
                <w:szCs w:val="20"/>
                <w:color w:val="auto"/>
              </w:rPr>
            </w:pPr>
            <w:r>
              <w:rPr>
                <w:rFonts w:ascii="Arial" w:cs="Arial" w:eastAsia="Arial" w:hAnsi="Arial"/>
                <w:sz w:val="14"/>
                <w:szCs w:val="14"/>
                <w:color w:val="auto"/>
              </w:rPr>
              <w:t>111,608</w:t>
            </w:r>
          </w:p>
        </w:tc>
        <w:tc>
          <w:tcPr>
            <w:tcW w:w="1200" w:type="dxa"/>
            <w:vAlign w:val="bottom"/>
          </w:tcPr>
          <w:p>
            <w:pPr>
              <w:ind w:left="6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12,500</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84,968</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r>
      <w:tr>
        <w:trPr>
          <w:trHeight w:val="149"/>
        </w:trPr>
        <w:tc>
          <w:tcPr>
            <w:tcW w:w="2220" w:type="dxa"/>
            <w:vAlign w:val="bottom"/>
          </w:tcPr>
          <w:p>
            <w:pPr>
              <w:ind w:left="140"/>
              <w:spacing w:after="0" w:line="149" w:lineRule="exact"/>
              <w:rPr>
                <w:sz w:val="20"/>
                <w:szCs w:val="20"/>
                <w:color w:val="auto"/>
              </w:rPr>
            </w:pPr>
            <w:r>
              <w:rPr>
                <w:rFonts w:ascii="Arial" w:cs="Arial" w:eastAsia="Arial" w:hAnsi="Arial"/>
                <w:sz w:val="14"/>
                <w:szCs w:val="14"/>
                <w:color w:val="auto"/>
              </w:rPr>
              <w:t>Vice President,</w:t>
            </w:r>
          </w:p>
        </w:tc>
        <w:tc>
          <w:tcPr>
            <w:tcW w:w="158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2004</w:t>
            </w:r>
          </w:p>
        </w:tc>
        <w:tc>
          <w:tcPr>
            <w:tcW w:w="1340" w:type="dxa"/>
            <w:vAlign w:val="bottom"/>
          </w:tcPr>
          <w:p>
            <w:pPr>
              <w:jc w:val="right"/>
              <w:ind w:right="368"/>
              <w:spacing w:after="0" w:line="149" w:lineRule="exact"/>
              <w:rPr>
                <w:sz w:val="20"/>
                <w:szCs w:val="20"/>
                <w:color w:val="auto"/>
              </w:rPr>
            </w:pPr>
            <w:r>
              <w:rPr>
                <w:rFonts w:ascii="Arial" w:cs="Arial" w:eastAsia="Arial" w:hAnsi="Arial"/>
                <w:sz w:val="14"/>
                <w:szCs w:val="14"/>
                <w:color w:val="auto"/>
              </w:rPr>
              <w:t>208,077</w:t>
            </w:r>
          </w:p>
        </w:tc>
        <w:tc>
          <w:tcPr>
            <w:tcW w:w="150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296,647</w:t>
            </w:r>
          </w:p>
        </w:tc>
        <w:tc>
          <w:tcPr>
            <w:tcW w:w="12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15,000</w:t>
            </w:r>
          </w:p>
        </w:tc>
        <w:tc>
          <w:tcPr>
            <w:tcW w:w="13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148,210</w:t>
            </w:r>
          </w:p>
        </w:tc>
        <w:tc>
          <w:tcPr>
            <w:tcW w:w="9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r>
      <w:tr>
        <w:trPr>
          <w:trHeight w:val="167"/>
        </w:trPr>
        <w:tc>
          <w:tcPr>
            <w:tcW w:w="222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1580" w:type="dxa"/>
            <w:vAlign w:val="bottom"/>
          </w:tcPr>
          <w:p>
            <w:pPr>
              <w:jc w:val="right"/>
              <w:ind w:right="368"/>
              <w:spacing w:after="0"/>
              <w:rPr>
                <w:sz w:val="20"/>
                <w:szCs w:val="20"/>
                <w:color w:val="auto"/>
              </w:rPr>
            </w:pPr>
            <w:r>
              <w:rPr>
                <w:rFonts w:ascii="Arial" w:cs="Arial" w:eastAsia="Arial" w:hAnsi="Arial"/>
                <w:sz w:val="14"/>
                <w:szCs w:val="14"/>
                <w:color w:val="auto"/>
              </w:rPr>
              <w:t>2003</w:t>
            </w:r>
          </w:p>
        </w:tc>
        <w:tc>
          <w:tcPr>
            <w:tcW w:w="1340" w:type="dxa"/>
            <w:vAlign w:val="bottom"/>
          </w:tcPr>
          <w:p>
            <w:pPr>
              <w:jc w:val="right"/>
              <w:ind w:right="368"/>
              <w:spacing w:after="0"/>
              <w:rPr>
                <w:sz w:val="20"/>
                <w:szCs w:val="20"/>
                <w:color w:val="auto"/>
              </w:rPr>
            </w:pPr>
            <w:r>
              <w:rPr>
                <w:rFonts w:ascii="Arial" w:cs="Arial" w:eastAsia="Arial" w:hAnsi="Arial"/>
                <w:sz w:val="14"/>
                <w:szCs w:val="14"/>
                <w:color w:val="auto"/>
              </w:rPr>
              <w:t>192,154</w:t>
            </w:r>
          </w:p>
        </w:tc>
        <w:tc>
          <w:tcPr>
            <w:tcW w:w="1500" w:type="dxa"/>
            <w:vAlign w:val="bottom"/>
          </w:tcPr>
          <w:p>
            <w:pPr>
              <w:jc w:val="right"/>
              <w:ind w:right="528"/>
              <w:spacing w:after="0"/>
              <w:rPr>
                <w:sz w:val="20"/>
                <w:szCs w:val="20"/>
                <w:color w:val="auto"/>
              </w:rPr>
            </w:pPr>
            <w:r>
              <w:rPr>
                <w:rFonts w:ascii="Arial" w:cs="Arial" w:eastAsia="Arial" w:hAnsi="Arial"/>
                <w:sz w:val="14"/>
                <w:szCs w:val="14"/>
                <w:color w:val="auto"/>
              </w:rPr>
              <w:t>92,160</w:t>
            </w:r>
          </w:p>
        </w:tc>
        <w:tc>
          <w:tcPr>
            <w:tcW w:w="1200" w:type="dxa"/>
            <w:vAlign w:val="bottom"/>
          </w:tcPr>
          <w:p>
            <w:pPr>
              <w:ind w:left="6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14,400</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r>
      <w:tr>
        <w:trPr>
          <w:trHeight w:val="130"/>
        </w:trPr>
        <w:tc>
          <w:tcPr>
            <w:tcW w:w="2220" w:type="dxa"/>
            <w:vAlign w:val="bottom"/>
            <w:shd w:val="clear" w:color="auto" w:fill="D6F3E8"/>
          </w:tcPr>
          <w:p>
            <w:pPr>
              <w:spacing w:after="0" w:line="130" w:lineRule="exact"/>
              <w:rPr>
                <w:sz w:val="20"/>
                <w:szCs w:val="20"/>
                <w:color w:val="auto"/>
              </w:rPr>
            </w:pPr>
            <w:r>
              <w:rPr>
                <w:rFonts w:ascii="Arial" w:cs="Arial" w:eastAsia="Arial" w:hAnsi="Arial"/>
                <w:sz w:val="14"/>
                <w:szCs w:val="14"/>
                <w:color w:val="auto"/>
              </w:rPr>
              <w:t>Robert J. Olson</w:t>
            </w:r>
          </w:p>
        </w:tc>
        <w:tc>
          <w:tcPr>
            <w:tcW w:w="1580" w:type="dxa"/>
            <w:vAlign w:val="bottom"/>
            <w:shd w:val="clear" w:color="auto" w:fill="D6F3E8"/>
          </w:tcPr>
          <w:p>
            <w:pPr>
              <w:jc w:val="right"/>
              <w:ind w:right="368"/>
              <w:spacing w:after="0" w:line="130" w:lineRule="exact"/>
              <w:rPr>
                <w:sz w:val="20"/>
                <w:szCs w:val="20"/>
                <w:color w:val="auto"/>
              </w:rPr>
            </w:pPr>
            <w:r>
              <w:rPr>
                <w:rFonts w:ascii="Arial" w:cs="Arial" w:eastAsia="Arial" w:hAnsi="Arial"/>
                <w:sz w:val="14"/>
                <w:szCs w:val="14"/>
                <w:color w:val="auto"/>
              </w:rPr>
              <w:t>2005</w:t>
            </w:r>
          </w:p>
        </w:tc>
        <w:tc>
          <w:tcPr>
            <w:tcW w:w="1340" w:type="dxa"/>
            <w:vAlign w:val="bottom"/>
            <w:shd w:val="clear" w:color="auto" w:fill="D6F3E8"/>
          </w:tcPr>
          <w:p>
            <w:pPr>
              <w:jc w:val="right"/>
              <w:ind w:right="368"/>
              <w:spacing w:after="0" w:line="130" w:lineRule="exact"/>
              <w:rPr>
                <w:sz w:val="20"/>
                <w:szCs w:val="20"/>
                <w:color w:val="auto"/>
              </w:rPr>
            </w:pPr>
            <w:r>
              <w:rPr>
                <w:rFonts w:ascii="Arial" w:cs="Arial" w:eastAsia="Arial" w:hAnsi="Arial"/>
                <w:sz w:val="14"/>
                <w:szCs w:val="14"/>
                <w:color w:val="auto"/>
              </w:rPr>
              <w:t>232,911</w:t>
            </w:r>
          </w:p>
        </w:tc>
        <w:tc>
          <w:tcPr>
            <w:tcW w:w="1500" w:type="dxa"/>
            <w:vAlign w:val="bottom"/>
            <w:shd w:val="clear" w:color="auto" w:fill="D6F3E8"/>
          </w:tcPr>
          <w:p>
            <w:pPr>
              <w:jc w:val="right"/>
              <w:ind w:right="528"/>
              <w:spacing w:after="0" w:line="130" w:lineRule="exact"/>
              <w:rPr>
                <w:sz w:val="20"/>
                <w:szCs w:val="20"/>
                <w:color w:val="auto"/>
              </w:rPr>
            </w:pPr>
            <w:r>
              <w:rPr>
                <w:rFonts w:ascii="Arial" w:cs="Arial" w:eastAsia="Arial" w:hAnsi="Arial"/>
                <w:sz w:val="14"/>
                <w:szCs w:val="14"/>
                <w:color w:val="auto"/>
              </w:rPr>
              <w:t>117,832</w:t>
            </w:r>
          </w:p>
        </w:tc>
        <w:tc>
          <w:tcPr>
            <w:tcW w:w="1200" w:type="dxa"/>
            <w:vAlign w:val="bottom"/>
            <w:shd w:val="clear" w:color="auto" w:fill="D6F3E8"/>
          </w:tcPr>
          <w:p>
            <w:pPr>
              <w:ind w:left="600"/>
              <w:spacing w:after="0" w:line="130" w:lineRule="exact"/>
              <w:rPr>
                <w:sz w:val="20"/>
                <w:szCs w:val="20"/>
                <w:color w:val="auto"/>
              </w:rPr>
            </w:pPr>
            <w:r>
              <w:rPr>
                <w:rFonts w:ascii="Arial" w:cs="Arial" w:eastAsia="Arial" w:hAnsi="Arial"/>
                <w:sz w:val="14"/>
                <w:szCs w:val="14"/>
                <w:color w:val="auto"/>
              </w:rPr>
              <w:t>—</w:t>
            </w:r>
          </w:p>
        </w:tc>
        <w:tc>
          <w:tcPr>
            <w:tcW w:w="1300" w:type="dxa"/>
            <w:vAlign w:val="bottom"/>
            <w:shd w:val="clear" w:color="auto" w:fill="D6F3E8"/>
          </w:tcPr>
          <w:p>
            <w:pPr>
              <w:jc w:val="right"/>
              <w:ind w:right="348"/>
              <w:spacing w:after="0" w:line="130" w:lineRule="exact"/>
              <w:rPr>
                <w:sz w:val="20"/>
                <w:szCs w:val="20"/>
                <w:color w:val="auto"/>
              </w:rPr>
            </w:pPr>
            <w:r>
              <w:rPr>
                <w:rFonts w:ascii="Arial" w:cs="Arial" w:eastAsia="Arial" w:hAnsi="Arial"/>
                <w:sz w:val="14"/>
                <w:szCs w:val="14"/>
                <w:color w:val="auto"/>
              </w:rPr>
              <w:t>12,500</w:t>
            </w:r>
          </w:p>
        </w:tc>
        <w:tc>
          <w:tcPr>
            <w:tcW w:w="1320" w:type="dxa"/>
            <w:vAlign w:val="bottom"/>
            <w:shd w:val="clear" w:color="auto" w:fill="D6F3E8"/>
          </w:tcPr>
          <w:p>
            <w:pPr>
              <w:jc w:val="right"/>
              <w:ind w:right="328"/>
              <w:spacing w:after="0" w:line="130" w:lineRule="exact"/>
              <w:rPr>
                <w:sz w:val="20"/>
                <w:szCs w:val="20"/>
                <w:color w:val="auto"/>
              </w:rPr>
            </w:pPr>
            <w:r>
              <w:rPr>
                <w:rFonts w:ascii="Arial" w:cs="Arial" w:eastAsia="Arial" w:hAnsi="Arial"/>
                <w:sz w:val="14"/>
                <w:szCs w:val="14"/>
                <w:color w:val="auto"/>
              </w:rPr>
              <w:t>93,464</w:t>
            </w:r>
          </w:p>
        </w:tc>
        <w:tc>
          <w:tcPr>
            <w:tcW w:w="920" w:type="dxa"/>
            <w:vAlign w:val="bottom"/>
            <w:shd w:val="clear" w:color="auto" w:fill="D6F3E8"/>
          </w:tcPr>
          <w:p>
            <w:pPr>
              <w:ind w:left="420"/>
              <w:spacing w:after="0" w:line="130" w:lineRule="exact"/>
              <w:rPr>
                <w:sz w:val="20"/>
                <w:szCs w:val="20"/>
                <w:color w:val="auto"/>
              </w:rPr>
            </w:pPr>
            <w:r>
              <w:rPr>
                <w:rFonts w:ascii="Arial" w:cs="Arial" w:eastAsia="Arial" w:hAnsi="Arial"/>
                <w:sz w:val="14"/>
                <w:szCs w:val="14"/>
                <w:color w:val="auto"/>
              </w:rPr>
              <w:t>—</w:t>
            </w:r>
          </w:p>
        </w:tc>
      </w:tr>
      <w:tr>
        <w:trPr>
          <w:trHeight w:val="149"/>
        </w:trPr>
        <w:tc>
          <w:tcPr>
            <w:tcW w:w="2220" w:type="dxa"/>
            <w:vAlign w:val="bottom"/>
            <w:shd w:val="clear" w:color="auto" w:fill="D6F3E8"/>
          </w:tcPr>
          <w:p>
            <w:pPr>
              <w:ind w:left="140"/>
              <w:spacing w:after="0" w:line="149" w:lineRule="exact"/>
              <w:rPr>
                <w:sz w:val="20"/>
                <w:szCs w:val="20"/>
                <w:color w:val="auto"/>
              </w:rPr>
            </w:pPr>
            <w:r>
              <w:rPr>
                <w:rFonts w:ascii="Arial" w:cs="Arial" w:eastAsia="Arial" w:hAnsi="Arial"/>
                <w:sz w:val="14"/>
                <w:szCs w:val="14"/>
                <w:color w:val="auto"/>
              </w:rPr>
              <w:t>Vice President,</w:t>
            </w:r>
          </w:p>
        </w:tc>
        <w:tc>
          <w:tcPr>
            <w:tcW w:w="1580" w:type="dxa"/>
            <w:vAlign w:val="bottom"/>
            <w:shd w:val="clear" w:color="auto" w:fill="D6F3E8"/>
          </w:tcPr>
          <w:p>
            <w:pPr>
              <w:jc w:val="right"/>
              <w:ind w:right="368"/>
              <w:spacing w:after="0" w:line="149" w:lineRule="exact"/>
              <w:rPr>
                <w:sz w:val="20"/>
                <w:szCs w:val="20"/>
                <w:color w:val="auto"/>
              </w:rPr>
            </w:pPr>
            <w:r>
              <w:rPr>
                <w:rFonts w:ascii="Arial" w:cs="Arial" w:eastAsia="Arial" w:hAnsi="Arial"/>
                <w:sz w:val="14"/>
                <w:szCs w:val="14"/>
                <w:color w:val="auto"/>
              </w:rPr>
              <w:t>2004</w:t>
            </w:r>
          </w:p>
        </w:tc>
        <w:tc>
          <w:tcPr>
            <w:tcW w:w="1340" w:type="dxa"/>
            <w:vAlign w:val="bottom"/>
            <w:shd w:val="clear" w:color="auto" w:fill="D6F3E8"/>
          </w:tcPr>
          <w:p>
            <w:pPr>
              <w:jc w:val="right"/>
              <w:ind w:right="368"/>
              <w:spacing w:after="0" w:line="149" w:lineRule="exact"/>
              <w:rPr>
                <w:sz w:val="20"/>
                <w:szCs w:val="20"/>
                <w:color w:val="auto"/>
              </w:rPr>
            </w:pPr>
            <w:r>
              <w:rPr>
                <w:rFonts w:ascii="Arial" w:cs="Arial" w:eastAsia="Arial" w:hAnsi="Arial"/>
                <w:sz w:val="14"/>
                <w:szCs w:val="14"/>
                <w:color w:val="auto"/>
              </w:rPr>
              <w:t>225,183</w:t>
            </w:r>
          </w:p>
        </w:tc>
        <w:tc>
          <w:tcPr>
            <w:tcW w:w="1500" w:type="dxa"/>
            <w:vAlign w:val="bottom"/>
            <w:shd w:val="clear" w:color="auto" w:fill="D6F3E8"/>
          </w:tcPr>
          <w:p>
            <w:pPr>
              <w:jc w:val="right"/>
              <w:ind w:right="528"/>
              <w:spacing w:after="0" w:line="149" w:lineRule="exact"/>
              <w:rPr>
                <w:sz w:val="20"/>
                <w:szCs w:val="20"/>
                <w:color w:val="auto"/>
              </w:rPr>
            </w:pPr>
            <w:r>
              <w:rPr>
                <w:rFonts w:ascii="Arial" w:cs="Arial" w:eastAsia="Arial" w:hAnsi="Arial"/>
                <w:sz w:val="14"/>
                <w:szCs w:val="14"/>
                <w:color w:val="auto"/>
              </w:rPr>
              <w:t>320,175</w:t>
            </w:r>
          </w:p>
        </w:tc>
        <w:tc>
          <w:tcPr>
            <w:tcW w:w="1200" w:type="dxa"/>
            <w:vAlign w:val="bottom"/>
            <w:shd w:val="clear" w:color="auto" w:fill="D6F3E8"/>
          </w:tcPr>
          <w:p>
            <w:pPr>
              <w:ind w:left="60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D6F3E8"/>
          </w:tcPr>
          <w:p>
            <w:pPr>
              <w:jc w:val="right"/>
              <w:ind w:right="348"/>
              <w:spacing w:after="0" w:line="149" w:lineRule="exact"/>
              <w:rPr>
                <w:sz w:val="20"/>
                <w:szCs w:val="20"/>
                <w:color w:val="auto"/>
              </w:rPr>
            </w:pPr>
            <w:r>
              <w:rPr>
                <w:rFonts w:ascii="Arial" w:cs="Arial" w:eastAsia="Arial" w:hAnsi="Arial"/>
                <w:sz w:val="14"/>
                <w:szCs w:val="14"/>
                <w:color w:val="auto"/>
              </w:rPr>
              <w:t>15,000</w:t>
            </w:r>
          </w:p>
        </w:tc>
        <w:tc>
          <w:tcPr>
            <w:tcW w:w="1320" w:type="dxa"/>
            <w:vAlign w:val="bottom"/>
            <w:shd w:val="clear" w:color="auto" w:fill="D6F3E8"/>
          </w:tcPr>
          <w:p>
            <w:pPr>
              <w:jc w:val="right"/>
              <w:ind w:right="328"/>
              <w:spacing w:after="0" w:line="149" w:lineRule="exact"/>
              <w:rPr>
                <w:sz w:val="20"/>
                <w:szCs w:val="20"/>
                <w:color w:val="auto"/>
              </w:rPr>
            </w:pPr>
            <w:r>
              <w:rPr>
                <w:rFonts w:ascii="Arial" w:cs="Arial" w:eastAsia="Arial" w:hAnsi="Arial"/>
                <w:sz w:val="14"/>
                <w:szCs w:val="14"/>
                <w:color w:val="auto"/>
              </w:rPr>
              <w:t>173,473</w:t>
            </w:r>
          </w:p>
        </w:tc>
        <w:tc>
          <w:tcPr>
            <w:tcW w:w="920" w:type="dxa"/>
            <w:vAlign w:val="bottom"/>
            <w:shd w:val="clear" w:color="auto" w:fill="D6F3E8"/>
          </w:tcPr>
          <w:p>
            <w:pPr>
              <w:ind w:left="420"/>
              <w:spacing w:after="0" w:line="149" w:lineRule="exact"/>
              <w:rPr>
                <w:sz w:val="20"/>
                <w:szCs w:val="20"/>
                <w:color w:val="auto"/>
              </w:rPr>
            </w:pPr>
            <w:r>
              <w:rPr>
                <w:rFonts w:ascii="Arial" w:cs="Arial" w:eastAsia="Arial" w:hAnsi="Arial"/>
                <w:sz w:val="14"/>
                <w:szCs w:val="14"/>
                <w:color w:val="auto"/>
              </w:rPr>
              <w:t>—</w:t>
            </w:r>
          </w:p>
        </w:tc>
      </w:tr>
      <w:tr>
        <w:trPr>
          <w:trHeight w:val="167"/>
        </w:trPr>
        <w:tc>
          <w:tcPr>
            <w:tcW w:w="2220" w:type="dxa"/>
            <w:vAlign w:val="bottom"/>
            <w:shd w:val="clear" w:color="auto" w:fill="D6F3E8"/>
          </w:tcPr>
          <w:p>
            <w:pPr>
              <w:ind w:left="140"/>
              <w:spacing w:after="0"/>
              <w:rPr>
                <w:sz w:val="20"/>
                <w:szCs w:val="20"/>
                <w:color w:val="auto"/>
              </w:rPr>
            </w:pPr>
            <w:r>
              <w:rPr>
                <w:rFonts w:ascii="Arial" w:cs="Arial" w:eastAsia="Arial" w:hAnsi="Arial"/>
                <w:sz w:val="14"/>
                <w:szCs w:val="14"/>
                <w:color w:val="auto"/>
              </w:rPr>
              <w:t>Manufacturing</w:t>
            </w:r>
          </w:p>
        </w:tc>
        <w:tc>
          <w:tcPr>
            <w:tcW w:w="1580" w:type="dxa"/>
            <w:vAlign w:val="bottom"/>
            <w:shd w:val="clear" w:color="auto" w:fill="D6F3E8"/>
          </w:tcPr>
          <w:p>
            <w:pPr>
              <w:jc w:val="right"/>
              <w:ind w:right="368"/>
              <w:spacing w:after="0"/>
              <w:rPr>
                <w:sz w:val="20"/>
                <w:szCs w:val="20"/>
                <w:color w:val="auto"/>
              </w:rPr>
            </w:pPr>
            <w:r>
              <w:rPr>
                <w:rFonts w:ascii="Arial" w:cs="Arial" w:eastAsia="Arial" w:hAnsi="Arial"/>
                <w:sz w:val="14"/>
                <w:szCs w:val="14"/>
                <w:color w:val="auto"/>
              </w:rPr>
              <w:t>2003</w:t>
            </w:r>
          </w:p>
        </w:tc>
        <w:tc>
          <w:tcPr>
            <w:tcW w:w="1340" w:type="dxa"/>
            <w:vAlign w:val="bottom"/>
            <w:shd w:val="clear" w:color="auto" w:fill="D6F3E8"/>
          </w:tcPr>
          <w:p>
            <w:pPr>
              <w:jc w:val="right"/>
              <w:ind w:right="368"/>
              <w:spacing w:after="0"/>
              <w:rPr>
                <w:sz w:val="20"/>
                <w:szCs w:val="20"/>
                <w:color w:val="auto"/>
              </w:rPr>
            </w:pPr>
            <w:r>
              <w:rPr>
                <w:rFonts w:ascii="Arial" w:cs="Arial" w:eastAsia="Arial" w:hAnsi="Arial"/>
                <w:sz w:val="14"/>
                <w:szCs w:val="14"/>
                <w:color w:val="auto"/>
              </w:rPr>
              <w:t>215,423</w:t>
            </w:r>
          </w:p>
        </w:tc>
        <w:tc>
          <w:tcPr>
            <w:tcW w:w="1500" w:type="dxa"/>
            <w:vAlign w:val="bottom"/>
            <w:shd w:val="clear" w:color="auto" w:fill="D6F3E8"/>
          </w:tcPr>
          <w:p>
            <w:pPr>
              <w:jc w:val="right"/>
              <w:ind w:right="528"/>
              <w:spacing w:after="0"/>
              <w:rPr>
                <w:sz w:val="20"/>
                <w:szCs w:val="20"/>
                <w:color w:val="auto"/>
              </w:rPr>
            </w:pPr>
            <w:r>
              <w:rPr>
                <w:rFonts w:ascii="Arial" w:cs="Arial" w:eastAsia="Arial" w:hAnsi="Arial"/>
                <w:sz w:val="14"/>
                <w:szCs w:val="14"/>
                <w:color w:val="auto"/>
              </w:rPr>
              <w:t>103,439</w:t>
            </w:r>
          </w:p>
        </w:tc>
        <w:tc>
          <w:tcPr>
            <w:tcW w:w="1200" w:type="dxa"/>
            <w:vAlign w:val="bottom"/>
            <w:shd w:val="clear" w:color="auto" w:fill="D6F3E8"/>
          </w:tcPr>
          <w:p>
            <w:pPr>
              <w:ind w:left="6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D6F3E8"/>
          </w:tcPr>
          <w:p>
            <w:pPr>
              <w:jc w:val="right"/>
              <w:ind w:right="348"/>
              <w:spacing w:after="0"/>
              <w:rPr>
                <w:sz w:val="20"/>
                <w:szCs w:val="20"/>
                <w:color w:val="auto"/>
              </w:rPr>
            </w:pPr>
            <w:r>
              <w:rPr>
                <w:rFonts w:ascii="Arial" w:cs="Arial" w:eastAsia="Arial" w:hAnsi="Arial"/>
                <w:sz w:val="14"/>
                <w:szCs w:val="14"/>
                <w:color w:val="auto"/>
              </w:rPr>
              <w:t>14,400</w:t>
            </w:r>
          </w:p>
        </w:tc>
        <w:tc>
          <w:tcPr>
            <w:tcW w:w="1320" w:type="dxa"/>
            <w:vAlign w:val="bottom"/>
            <w:shd w:val="clear" w:color="auto" w:fill="D6F3E8"/>
          </w:tcPr>
          <w:p>
            <w:pPr>
              <w:jc w:val="right"/>
              <w:ind w:right="328"/>
              <w:spacing w:after="0"/>
              <w:rPr>
                <w:sz w:val="20"/>
                <w:szCs w:val="20"/>
                <w:color w:val="auto"/>
              </w:rPr>
            </w:pPr>
            <w:r>
              <w:rPr>
                <w:rFonts w:ascii="Arial" w:cs="Arial" w:eastAsia="Arial" w:hAnsi="Arial"/>
                <w:sz w:val="14"/>
                <w:szCs w:val="14"/>
                <w:color w:val="auto"/>
              </w:rPr>
              <w:t>253,975</w:t>
            </w:r>
          </w:p>
        </w:tc>
        <w:tc>
          <w:tcPr>
            <w:tcW w:w="920" w:type="dxa"/>
            <w:vAlign w:val="bottom"/>
            <w:shd w:val="clear" w:color="auto" w:fill="D6F3E8"/>
          </w:tcPr>
          <w:p>
            <w:pPr>
              <w:ind w:left="4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78"/>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executive officer received personal benefits in excess of the lesser of 10% of cash compensation or $50,000.</w:t>
      </w:r>
    </w:p>
    <w:p>
      <w:pPr>
        <w:spacing w:after="0" w:line="117" w:lineRule="exact"/>
        <w:rPr>
          <w:rFonts w:ascii="Arial" w:cs="Arial" w:eastAsia="Arial" w:hAnsi="Arial"/>
          <w:sz w:val="18"/>
          <w:szCs w:val="18"/>
          <w:color w:val="auto"/>
        </w:rPr>
      </w:pPr>
    </w:p>
    <w:p>
      <w:pPr>
        <w:ind w:left="540" w:right="160" w:hanging="478"/>
        <w:spacing w:after="0" w:line="26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73" w:lineRule="exact"/>
        <w:rPr>
          <w:rFonts w:ascii="Arial" w:cs="Arial" w:eastAsia="Arial" w:hAnsi="Arial"/>
          <w:sz w:val="18"/>
          <w:szCs w:val="18"/>
          <w:color w:val="auto"/>
        </w:rPr>
      </w:pPr>
    </w:p>
    <w:p>
      <w:pPr>
        <w:ind w:left="540" w:right="140" w:hanging="478"/>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Awards consisted of restricted Common Stock and are valued at the aggregate market value of the Common Stock as of the respective determination dates. All awards of the restricted Common Stock vested immediately.</w:t>
      </w:r>
    </w:p>
    <w:p>
      <w:pPr>
        <w:spacing w:after="0" w:line="62" w:lineRule="exact"/>
        <w:rPr>
          <w:rFonts w:ascii="Arial" w:cs="Arial" w:eastAsia="Arial" w:hAnsi="Arial"/>
          <w:sz w:val="18"/>
          <w:szCs w:val="18"/>
          <w:color w:val="auto"/>
        </w:rPr>
      </w:pPr>
    </w:p>
    <w:p>
      <w:pPr>
        <w:ind w:left="540" w:right="20" w:hanging="478"/>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numbers in the table above represent options for the purchase of shares of the Company’s Common Stock granted to the named persons under the Company’s 2004 Incentive Compensation Plan.</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Option figures for fiscal years 2003 and 2004 are adjusted to reflect the 2 for 1 split of the Company’s Common Stock effective March 5, 2004.</w:t>
      </w:r>
    </w:p>
    <w:p>
      <w:pPr>
        <w:spacing w:after="0" w:line="128" w:lineRule="exact"/>
        <w:rPr>
          <w:rFonts w:ascii="Arial" w:cs="Arial" w:eastAsia="Arial" w:hAnsi="Arial"/>
          <w:sz w:val="17"/>
          <w:szCs w:val="17"/>
          <w:color w:val="auto"/>
        </w:rPr>
      </w:pPr>
    </w:p>
    <w:p>
      <w:pPr>
        <w:ind w:left="540" w:right="120" w:hanging="478"/>
        <w:spacing w:after="0" w:line="279"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Awards consisted of cash and are valued at the aggregate market value of the Common Stock as of the respective determination dates. The awards in fiscal 2005 were made pursuant to the Officers’ Long-Term Incentive Plan, three-year fiscal period 2003, 2004 and 2005, the awards in fiscal 2004 were made pursuant to the Officers’ Long-Term Incentive Plan, three-year fiscal period 2002, 2003 and 2004, and the awards in fiscal 2003 were made pursuant to the Officers’ Long-Term Incentive Plan, fiscal three-year period 2001, 2002 and 2003.</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 OPTIONS GRANTED IN FISCAL 2005</w:t>
      </w:r>
    </w:p>
    <w:p>
      <w:pPr>
        <w:spacing w:after="0" w:line="2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following table provides information on options to purchase shares of the Company’s Common Stock granted in fiscal 2005 to the executive officers named in the Summary Compensation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3"/>
          </w:tcPr>
          <w:p>
            <w:pPr>
              <w:ind w:left="680"/>
              <w:spacing w:after="0"/>
              <w:rPr>
                <w:sz w:val="20"/>
                <w:szCs w:val="20"/>
                <w:color w:val="auto"/>
              </w:rPr>
            </w:pPr>
            <w:r>
              <w:rPr>
                <w:rFonts w:ascii="Arial" w:cs="Arial" w:eastAsia="Arial" w:hAnsi="Arial"/>
                <w:sz w:val="14"/>
                <w:szCs w:val="14"/>
                <w:b w:val="1"/>
                <w:bCs w:val="1"/>
                <w:color w:val="auto"/>
              </w:rPr>
              <w:t>Individual Grants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Realizable Value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at Assumed Annual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Rates of Stock</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Options</w:t>
            </w:r>
          </w:p>
        </w:tc>
        <w:tc>
          <w:tcPr>
            <w:tcW w:w="2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Price Appreciation</w:t>
            </w:r>
          </w:p>
        </w:tc>
        <w:tc>
          <w:tcPr>
            <w:tcW w:w="0" w:type="dxa"/>
            <w:vAlign w:val="bottom"/>
          </w:tcPr>
          <w:p>
            <w:pPr>
              <w:spacing w:after="0"/>
              <w:rPr>
                <w:sz w:val="1"/>
                <w:szCs w:val="1"/>
                <w:color w:val="auto"/>
              </w:rPr>
            </w:pPr>
          </w:p>
        </w:tc>
      </w:tr>
      <w:tr>
        <w:trPr>
          <w:trHeight w:val="153"/>
        </w:trPr>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Granted to</w:t>
            </w:r>
          </w:p>
        </w:tc>
        <w:tc>
          <w:tcPr>
            <w:tcW w:w="2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For Option Term</w:t>
            </w:r>
          </w:p>
        </w:tc>
        <w:tc>
          <w:tcPr>
            <w:tcW w:w="0" w:type="dxa"/>
            <w:vAlign w:val="bottom"/>
          </w:tcPr>
          <w:p>
            <w:pPr>
              <w:spacing w:after="0"/>
              <w:rPr>
                <w:sz w:val="1"/>
                <w:szCs w:val="1"/>
                <w:color w:val="auto"/>
              </w:rPr>
            </w:pPr>
          </w:p>
        </w:tc>
      </w:tr>
      <w:tr>
        <w:trPr>
          <w:trHeight w:val="73"/>
        </w:trPr>
        <w:tc>
          <w:tcPr>
            <w:tcW w:w="3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vMerge w:val="restart"/>
          </w:tcPr>
          <w:p>
            <w:pPr>
              <w:ind w:left="360"/>
              <w:spacing w:after="0" w:line="149" w:lineRule="exact"/>
              <w:rPr>
                <w:sz w:val="20"/>
                <w:szCs w:val="20"/>
                <w:color w:val="auto"/>
              </w:rPr>
            </w:pPr>
            <w:r>
              <w:rPr>
                <w:rFonts w:ascii="Arial" w:cs="Arial" w:eastAsia="Arial" w:hAnsi="Arial"/>
                <w:sz w:val="14"/>
                <w:szCs w:val="14"/>
                <w:b w:val="1"/>
                <w:bCs w:val="1"/>
                <w:color w:val="auto"/>
              </w:rPr>
              <w:t>Options</w:t>
            </w:r>
          </w:p>
        </w:tc>
        <w:tc>
          <w:tcPr>
            <w:tcW w:w="220" w:type="dxa"/>
            <w:vAlign w:val="bottom"/>
            <w:vMerge w:val="restart"/>
          </w:tcPr>
          <w:p>
            <w:pPr>
              <w:spacing w:after="0"/>
              <w:rPr>
                <w:sz w:val="6"/>
                <w:szCs w:val="6"/>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200" w:type="dxa"/>
            <w:vAlign w:val="bottom"/>
            <w:vMerge w:val="restart"/>
          </w:tcPr>
          <w:p>
            <w:pPr>
              <w:spacing w:after="0"/>
              <w:rPr>
                <w:sz w:val="6"/>
                <w:szCs w:val="6"/>
                <w:color w:val="auto"/>
              </w:rPr>
            </w:pPr>
          </w:p>
        </w:tc>
        <w:tc>
          <w:tcPr>
            <w:tcW w:w="12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200" w:type="dxa"/>
            <w:vAlign w:val="bottom"/>
            <w:vMerge w:val="restart"/>
          </w:tcPr>
          <w:p>
            <w:pPr>
              <w:spacing w:after="0"/>
              <w:rPr>
                <w:sz w:val="6"/>
                <w:szCs w:val="6"/>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 ($)</w:t>
            </w: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86"/>
        </w:trPr>
        <w:tc>
          <w:tcPr>
            <w:tcW w:w="3660" w:type="dxa"/>
            <w:vAlign w:val="bottom"/>
            <w:gridSpan w:val="2"/>
            <w:vMerge w:val="continue"/>
          </w:tcPr>
          <w:p>
            <w:pPr>
              <w:spacing w:after="0"/>
              <w:rPr>
                <w:sz w:val="16"/>
                <w:szCs w:val="16"/>
                <w:color w:val="auto"/>
              </w:rPr>
            </w:pPr>
          </w:p>
        </w:tc>
        <w:tc>
          <w:tcPr>
            <w:tcW w:w="1220" w:type="dxa"/>
            <w:vAlign w:val="bottom"/>
          </w:tcPr>
          <w:p>
            <w:pPr>
              <w:ind w:left="340"/>
              <w:spacing w:after="0"/>
              <w:rPr>
                <w:sz w:val="20"/>
                <w:szCs w:val="20"/>
                <w:color w:val="auto"/>
              </w:rPr>
            </w:pPr>
            <w:r>
              <w:rPr>
                <w:rFonts w:ascii="Arial" w:cs="Arial" w:eastAsia="Arial" w:hAnsi="Arial"/>
                <w:sz w:val="14"/>
                <w:szCs w:val="14"/>
                <w:b w:val="1"/>
                <w:bCs w:val="1"/>
                <w:color w:val="auto"/>
              </w:rPr>
              <w:t>Granted</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2005</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Share ($)</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3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-741045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-741045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-269240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-269240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0"/>
        </w:trPr>
        <w:tc>
          <w:tcPr>
            <w:tcW w:w="2760" w:type="dxa"/>
            <w:vAlign w:val="bottom"/>
            <w:shd w:val="clear" w:color="auto" w:fill="D6F3E8"/>
          </w:tcPr>
          <w:p>
            <w:pPr>
              <w:spacing w:after="0" w:line="120" w:lineRule="exact"/>
              <w:rPr>
                <w:sz w:val="20"/>
                <w:szCs w:val="20"/>
                <w:color w:val="auto"/>
              </w:rPr>
            </w:pPr>
            <w:r>
              <w:rPr>
                <w:rFonts w:ascii="Arial" w:cs="Arial" w:eastAsia="Arial" w:hAnsi="Arial"/>
                <w:sz w:val="13"/>
                <w:szCs w:val="13"/>
                <w:color w:val="auto"/>
              </w:rPr>
              <w:t>Bruce D. Hertzke</w:t>
            </w:r>
          </w:p>
        </w:tc>
        <w:tc>
          <w:tcPr>
            <w:tcW w:w="2440" w:type="dxa"/>
            <w:vAlign w:val="bottom"/>
            <w:shd w:val="clear" w:color="auto" w:fill="D6F3E8"/>
          </w:tcPr>
          <w:p>
            <w:pPr>
              <w:jc w:val="right"/>
              <w:ind w:right="612"/>
              <w:spacing w:after="0" w:line="120" w:lineRule="exact"/>
              <w:rPr>
                <w:sz w:val="20"/>
                <w:szCs w:val="20"/>
                <w:color w:val="auto"/>
              </w:rPr>
            </w:pPr>
            <w:r>
              <w:rPr>
                <w:rFonts w:ascii="Arial" w:cs="Arial" w:eastAsia="Arial" w:hAnsi="Arial"/>
                <w:sz w:val="13"/>
                <w:szCs w:val="13"/>
                <w:color w:val="auto"/>
              </w:rPr>
              <w:t>70,000</w:t>
            </w:r>
          </w:p>
        </w:tc>
        <w:tc>
          <w:tcPr>
            <w:tcW w:w="1360" w:type="dxa"/>
            <w:vAlign w:val="bottom"/>
            <w:shd w:val="clear" w:color="auto" w:fill="D6F3E8"/>
          </w:tcPr>
          <w:p>
            <w:pPr>
              <w:jc w:val="right"/>
              <w:ind w:right="512"/>
              <w:spacing w:after="0" w:line="120" w:lineRule="exact"/>
              <w:rPr>
                <w:sz w:val="20"/>
                <w:szCs w:val="20"/>
                <w:color w:val="auto"/>
              </w:rPr>
            </w:pPr>
            <w:r>
              <w:rPr>
                <w:rFonts w:ascii="Arial" w:cs="Arial" w:eastAsia="Arial" w:hAnsi="Arial"/>
                <w:sz w:val="13"/>
                <w:szCs w:val="13"/>
                <w:color w:val="auto"/>
              </w:rPr>
              <w:t>19.3</w:t>
            </w:r>
          </w:p>
        </w:tc>
        <w:tc>
          <w:tcPr>
            <w:tcW w:w="880" w:type="dxa"/>
            <w:vAlign w:val="bottom"/>
            <w:shd w:val="clear" w:color="auto" w:fill="D6F3E8"/>
          </w:tcPr>
          <w:p>
            <w:pPr>
              <w:jc w:val="right"/>
              <w:spacing w:after="0" w:line="120" w:lineRule="exact"/>
              <w:rPr>
                <w:sz w:val="20"/>
                <w:szCs w:val="20"/>
                <w:color w:val="auto"/>
              </w:rPr>
            </w:pPr>
            <w:r>
              <w:rPr>
                <w:rFonts w:ascii="Arial" w:cs="Arial" w:eastAsia="Arial" w:hAnsi="Arial"/>
                <w:sz w:val="13"/>
                <w:szCs w:val="13"/>
                <w:color w:val="auto"/>
              </w:rPr>
              <w:t>31.475</w:t>
            </w:r>
          </w:p>
        </w:tc>
        <w:tc>
          <w:tcPr>
            <w:tcW w:w="440" w:type="dxa"/>
            <w:vAlign w:val="bottom"/>
            <w:vMerge w:val="restart"/>
            <w:shd w:val="clear" w:color="auto" w:fill="D6F3E8"/>
          </w:tcPr>
          <w:p>
            <w:pPr>
              <w:jc w:val="right"/>
              <w:ind w:right="185"/>
              <w:spacing w:after="0"/>
              <w:rPr>
                <w:sz w:val="20"/>
                <w:szCs w:val="20"/>
                <w:color w:val="auto"/>
              </w:rPr>
            </w:pPr>
            <w:r>
              <w:rPr>
                <w:rFonts w:ascii="Arial" w:cs="Arial" w:eastAsia="Arial" w:hAnsi="Arial"/>
                <w:sz w:val="15"/>
                <w:szCs w:val="15"/>
                <w:color w:val="auto"/>
                <w:w w:val="87"/>
              </w:rPr>
              <w:t>(3)</w:t>
            </w:r>
          </w:p>
        </w:tc>
        <w:tc>
          <w:tcPr>
            <w:tcW w:w="1320" w:type="dxa"/>
            <w:vAlign w:val="bottom"/>
            <w:shd w:val="clear" w:color="auto" w:fill="D6F3E8"/>
          </w:tcPr>
          <w:p>
            <w:pPr>
              <w:jc w:val="right"/>
              <w:ind w:right="219"/>
              <w:spacing w:after="0" w:line="120" w:lineRule="exact"/>
              <w:rPr>
                <w:sz w:val="20"/>
                <w:szCs w:val="20"/>
                <w:color w:val="auto"/>
              </w:rPr>
            </w:pPr>
            <w:r>
              <w:rPr>
                <w:rFonts w:ascii="Arial" w:cs="Arial" w:eastAsia="Arial" w:hAnsi="Arial"/>
                <w:sz w:val="13"/>
                <w:szCs w:val="13"/>
                <w:color w:val="auto"/>
              </w:rPr>
              <w:t>10/13/2014</w:t>
            </w:r>
          </w:p>
        </w:tc>
        <w:tc>
          <w:tcPr>
            <w:tcW w:w="1180" w:type="dxa"/>
            <w:vAlign w:val="bottom"/>
            <w:shd w:val="clear" w:color="auto" w:fill="D6F3E8"/>
          </w:tcPr>
          <w:p>
            <w:pPr>
              <w:jc w:val="right"/>
              <w:ind w:right="199"/>
              <w:spacing w:after="0" w:line="120" w:lineRule="exact"/>
              <w:rPr>
                <w:sz w:val="20"/>
                <w:szCs w:val="20"/>
                <w:color w:val="auto"/>
              </w:rPr>
            </w:pPr>
            <w:r>
              <w:rPr>
                <w:rFonts w:ascii="Arial" w:cs="Arial" w:eastAsia="Arial" w:hAnsi="Arial"/>
                <w:sz w:val="13"/>
                <w:szCs w:val="13"/>
                <w:color w:val="auto"/>
              </w:rPr>
              <w:t>1,385,580</w:t>
            </w:r>
          </w:p>
        </w:tc>
        <w:tc>
          <w:tcPr>
            <w:tcW w:w="1000" w:type="dxa"/>
            <w:vAlign w:val="bottom"/>
            <w:shd w:val="clear" w:color="auto" w:fill="D6F3E8"/>
          </w:tcPr>
          <w:p>
            <w:pPr>
              <w:jc w:val="right"/>
              <w:ind w:right="39"/>
              <w:spacing w:after="0" w:line="120" w:lineRule="exact"/>
              <w:rPr>
                <w:sz w:val="20"/>
                <w:szCs w:val="20"/>
                <w:color w:val="auto"/>
              </w:rPr>
            </w:pPr>
            <w:r>
              <w:rPr>
                <w:rFonts w:ascii="Arial" w:cs="Arial" w:eastAsia="Arial" w:hAnsi="Arial"/>
                <w:sz w:val="13"/>
                <w:szCs w:val="13"/>
                <w:color w:val="auto"/>
              </w:rPr>
              <w:t>3,511,410</w:t>
            </w:r>
          </w:p>
        </w:tc>
        <w:tc>
          <w:tcPr>
            <w:tcW w:w="0" w:type="dxa"/>
            <w:vAlign w:val="bottom"/>
          </w:tcPr>
          <w:p>
            <w:pPr>
              <w:spacing w:after="0"/>
              <w:rPr>
                <w:sz w:val="1"/>
                <w:szCs w:val="1"/>
                <w:color w:val="auto"/>
              </w:rPr>
            </w:pPr>
          </w:p>
        </w:tc>
      </w:tr>
      <w:tr>
        <w:trPr>
          <w:trHeight w:val="201"/>
        </w:trPr>
        <w:tc>
          <w:tcPr>
            <w:tcW w:w="2760" w:type="dxa"/>
            <w:vAlign w:val="bottom"/>
            <w:shd w:val="clear" w:color="auto" w:fill="D6F3E8"/>
          </w:tcPr>
          <w:p>
            <w:pPr>
              <w:spacing w:after="0"/>
              <w:rPr>
                <w:sz w:val="17"/>
                <w:szCs w:val="17"/>
                <w:color w:val="auto"/>
              </w:rPr>
            </w:pPr>
          </w:p>
        </w:tc>
        <w:tc>
          <w:tcPr>
            <w:tcW w:w="2440" w:type="dxa"/>
            <w:vAlign w:val="bottom"/>
            <w:shd w:val="clear" w:color="auto" w:fill="D6F3E8"/>
          </w:tcPr>
          <w:p>
            <w:pPr>
              <w:jc w:val="right"/>
              <w:ind w:right="432"/>
              <w:spacing w:after="0"/>
              <w:rPr>
                <w:sz w:val="20"/>
                <w:szCs w:val="20"/>
                <w:color w:val="auto"/>
              </w:rPr>
            </w:pPr>
            <w:r>
              <w:rPr>
                <w:rFonts w:ascii="Arial" w:cs="Arial" w:eastAsia="Arial" w:hAnsi="Arial"/>
                <w:sz w:val="15"/>
                <w:szCs w:val="15"/>
                <w:color w:val="auto"/>
              </w:rPr>
              <w:t>(1)</w:t>
            </w:r>
          </w:p>
        </w:tc>
        <w:tc>
          <w:tcPr>
            <w:tcW w:w="1360" w:type="dxa"/>
            <w:vAlign w:val="bottom"/>
            <w:shd w:val="clear" w:color="auto" w:fill="D6F3E8"/>
          </w:tcPr>
          <w:p>
            <w:pPr>
              <w:jc w:val="right"/>
              <w:ind w:right="352"/>
              <w:spacing w:after="0"/>
              <w:rPr>
                <w:sz w:val="20"/>
                <w:szCs w:val="20"/>
                <w:color w:val="auto"/>
              </w:rPr>
            </w:pPr>
            <w:r>
              <w:rPr>
                <w:rFonts w:ascii="Arial" w:cs="Arial" w:eastAsia="Arial" w:hAnsi="Arial"/>
                <w:sz w:val="15"/>
                <w:szCs w:val="15"/>
                <w:color w:val="auto"/>
              </w:rPr>
              <w:t>(2)</w:t>
            </w:r>
          </w:p>
        </w:tc>
        <w:tc>
          <w:tcPr>
            <w:tcW w:w="880" w:type="dxa"/>
            <w:vAlign w:val="bottom"/>
            <w:shd w:val="clear" w:color="auto" w:fill="D6F3E8"/>
          </w:tcPr>
          <w:p>
            <w:pPr>
              <w:spacing w:after="0"/>
              <w:rPr>
                <w:sz w:val="17"/>
                <w:szCs w:val="17"/>
                <w:color w:val="auto"/>
              </w:rPr>
            </w:pPr>
          </w:p>
        </w:tc>
        <w:tc>
          <w:tcPr>
            <w:tcW w:w="440" w:type="dxa"/>
            <w:vAlign w:val="bottom"/>
            <w:vMerge w:val="continue"/>
            <w:shd w:val="clear" w:color="auto" w:fill="D6F3E8"/>
          </w:tcPr>
          <w:p>
            <w:pPr>
              <w:spacing w:after="0"/>
              <w:rPr>
                <w:sz w:val="17"/>
                <w:szCs w:val="17"/>
                <w:color w:val="auto"/>
              </w:rPr>
            </w:pPr>
          </w:p>
        </w:tc>
        <w:tc>
          <w:tcPr>
            <w:tcW w:w="1320" w:type="dxa"/>
            <w:vAlign w:val="bottom"/>
            <w:shd w:val="clear" w:color="auto" w:fill="D6F3E8"/>
          </w:tcPr>
          <w:p>
            <w:pPr>
              <w:spacing w:after="0"/>
              <w:rPr>
                <w:sz w:val="17"/>
                <w:szCs w:val="17"/>
                <w:color w:val="auto"/>
              </w:rPr>
            </w:pPr>
          </w:p>
        </w:tc>
        <w:tc>
          <w:tcPr>
            <w:tcW w:w="118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760" w:type="dxa"/>
            <w:vAlign w:val="bottom"/>
          </w:tcPr>
          <w:p>
            <w:pPr>
              <w:spacing w:after="0"/>
              <w:rPr>
                <w:sz w:val="20"/>
                <w:szCs w:val="20"/>
                <w:color w:val="auto"/>
              </w:rPr>
            </w:pPr>
            <w:r>
              <w:rPr>
                <w:rFonts w:ascii="Arial" w:cs="Arial" w:eastAsia="Arial" w:hAnsi="Arial"/>
                <w:sz w:val="1"/>
                <w:szCs w:val="1"/>
                <w:color w:val="auto"/>
              </w:rPr>
              <w:t>Edwin F. Barker</w:t>
            </w:r>
          </w:p>
        </w:tc>
        <w:tc>
          <w:tcPr>
            <w:tcW w:w="2440" w:type="dxa"/>
            <w:vAlign w:val="bottom"/>
          </w:tcPr>
          <w:p>
            <w:pPr>
              <w:jc w:val="right"/>
              <w:ind w:right="612"/>
              <w:spacing w:after="0"/>
              <w:rPr>
                <w:sz w:val="20"/>
                <w:szCs w:val="20"/>
                <w:color w:val="auto"/>
              </w:rPr>
            </w:pPr>
            <w:r>
              <w:rPr>
                <w:rFonts w:ascii="Arial" w:cs="Arial" w:eastAsia="Arial" w:hAnsi="Arial"/>
                <w:sz w:val="1"/>
                <w:szCs w:val="1"/>
                <w:color w:val="auto"/>
              </w:rPr>
              <w:t>45,000</w:t>
            </w:r>
          </w:p>
        </w:tc>
        <w:tc>
          <w:tcPr>
            <w:tcW w:w="1360" w:type="dxa"/>
            <w:vAlign w:val="bottom"/>
          </w:tcPr>
          <w:p>
            <w:pPr>
              <w:jc w:val="right"/>
              <w:ind w:right="512"/>
              <w:spacing w:after="0"/>
              <w:rPr>
                <w:sz w:val="20"/>
                <w:szCs w:val="20"/>
                <w:color w:val="auto"/>
              </w:rPr>
            </w:pPr>
            <w:r>
              <w:rPr>
                <w:rFonts w:ascii="Arial" w:cs="Arial" w:eastAsia="Arial" w:hAnsi="Arial"/>
                <w:sz w:val="1"/>
                <w:szCs w:val="1"/>
                <w:color w:val="auto"/>
              </w:rPr>
              <w:t>12.4</w:t>
            </w:r>
          </w:p>
        </w:tc>
        <w:tc>
          <w:tcPr>
            <w:tcW w:w="880" w:type="dxa"/>
            <w:vAlign w:val="bottom"/>
          </w:tcPr>
          <w:p>
            <w:pPr>
              <w:jc w:val="right"/>
              <w:spacing w:after="0"/>
              <w:rPr>
                <w:sz w:val="20"/>
                <w:szCs w:val="20"/>
                <w:color w:val="auto"/>
              </w:rPr>
            </w:pPr>
            <w:r>
              <w:rPr>
                <w:rFonts w:ascii="Arial" w:cs="Arial" w:eastAsia="Arial" w:hAnsi="Arial"/>
                <w:sz w:val="1"/>
                <w:szCs w:val="1"/>
                <w:color w:val="auto"/>
              </w:rPr>
              <w:t>31.475</w:t>
            </w:r>
          </w:p>
        </w:tc>
        <w:tc>
          <w:tcPr>
            <w:tcW w:w="440" w:type="dxa"/>
            <w:vAlign w:val="bottom"/>
            <w:vMerge w:val="restart"/>
          </w:tcPr>
          <w:p>
            <w:pPr>
              <w:jc w:val="right"/>
              <w:ind w:right="185"/>
              <w:spacing w:after="0"/>
              <w:rPr>
                <w:sz w:val="20"/>
                <w:szCs w:val="20"/>
                <w:color w:val="auto"/>
              </w:rPr>
            </w:pPr>
            <w:r>
              <w:rPr>
                <w:rFonts w:ascii="Arial" w:cs="Arial" w:eastAsia="Arial" w:hAnsi="Arial"/>
                <w:sz w:val="15"/>
                <w:szCs w:val="15"/>
                <w:color w:val="auto"/>
                <w:w w:val="87"/>
              </w:rPr>
              <w:t>(3)</w:t>
            </w:r>
          </w:p>
        </w:tc>
        <w:tc>
          <w:tcPr>
            <w:tcW w:w="1320" w:type="dxa"/>
            <w:vAlign w:val="bottom"/>
          </w:tcPr>
          <w:p>
            <w:pPr>
              <w:jc w:val="right"/>
              <w:ind w:right="219"/>
              <w:spacing w:after="0"/>
              <w:rPr>
                <w:sz w:val="20"/>
                <w:szCs w:val="20"/>
                <w:color w:val="auto"/>
              </w:rPr>
            </w:pPr>
            <w:r>
              <w:rPr>
                <w:rFonts w:ascii="Arial" w:cs="Arial" w:eastAsia="Arial" w:hAnsi="Arial"/>
                <w:sz w:val="1"/>
                <w:szCs w:val="1"/>
                <w:color w:val="auto"/>
              </w:rPr>
              <w:t>10/13/2014</w:t>
            </w:r>
          </w:p>
        </w:tc>
        <w:tc>
          <w:tcPr>
            <w:tcW w:w="1180" w:type="dxa"/>
            <w:vAlign w:val="bottom"/>
          </w:tcPr>
          <w:p>
            <w:pPr>
              <w:jc w:val="right"/>
              <w:ind w:right="199"/>
              <w:spacing w:after="0"/>
              <w:rPr>
                <w:sz w:val="20"/>
                <w:szCs w:val="20"/>
                <w:color w:val="auto"/>
              </w:rPr>
            </w:pPr>
            <w:r>
              <w:rPr>
                <w:rFonts w:ascii="Arial" w:cs="Arial" w:eastAsia="Arial" w:hAnsi="Arial"/>
                <w:sz w:val="1"/>
                <w:szCs w:val="1"/>
                <w:color w:val="auto"/>
              </w:rPr>
              <w:t>890,730</w:t>
            </w:r>
          </w:p>
        </w:tc>
        <w:tc>
          <w:tcPr>
            <w:tcW w:w="1000" w:type="dxa"/>
            <w:vAlign w:val="bottom"/>
          </w:tcPr>
          <w:p>
            <w:pPr>
              <w:jc w:val="right"/>
              <w:ind w:right="39"/>
              <w:spacing w:after="0"/>
              <w:rPr>
                <w:sz w:val="20"/>
                <w:szCs w:val="20"/>
                <w:color w:val="auto"/>
              </w:rPr>
            </w:pPr>
            <w:r>
              <w:rPr>
                <w:rFonts w:ascii="Arial" w:cs="Arial" w:eastAsia="Arial" w:hAnsi="Arial"/>
                <w:sz w:val="1"/>
                <w:szCs w:val="1"/>
                <w:color w:val="auto"/>
              </w:rPr>
              <w:t>2,257,335</w:t>
            </w:r>
          </w:p>
        </w:tc>
        <w:tc>
          <w:tcPr>
            <w:tcW w:w="0" w:type="dxa"/>
            <w:vAlign w:val="bottom"/>
          </w:tcPr>
          <w:p>
            <w:pPr>
              <w:spacing w:after="0" w:line="20" w:lineRule="exact"/>
              <w:rPr>
                <w:sz w:val="1"/>
                <w:szCs w:val="1"/>
                <w:color w:val="auto"/>
              </w:rPr>
            </w:pPr>
          </w:p>
        </w:tc>
      </w:tr>
      <w:tr>
        <w:trPr>
          <w:trHeight w:val="190"/>
        </w:trPr>
        <w:tc>
          <w:tcPr>
            <w:tcW w:w="2760" w:type="dxa"/>
            <w:vAlign w:val="bottom"/>
          </w:tcPr>
          <w:p>
            <w:pPr>
              <w:spacing w:after="0"/>
              <w:rPr>
                <w:sz w:val="16"/>
                <w:szCs w:val="16"/>
                <w:color w:val="auto"/>
              </w:rPr>
            </w:pPr>
          </w:p>
        </w:tc>
        <w:tc>
          <w:tcPr>
            <w:tcW w:w="2440" w:type="dxa"/>
            <w:vAlign w:val="bottom"/>
          </w:tcPr>
          <w:p>
            <w:pPr>
              <w:jc w:val="right"/>
              <w:ind w:right="432"/>
              <w:spacing w:after="0"/>
              <w:rPr>
                <w:sz w:val="20"/>
                <w:szCs w:val="20"/>
                <w:color w:val="auto"/>
              </w:rPr>
            </w:pPr>
            <w:r>
              <w:rPr>
                <w:rFonts w:ascii="Arial" w:cs="Arial" w:eastAsia="Arial" w:hAnsi="Arial"/>
                <w:sz w:val="15"/>
                <w:szCs w:val="15"/>
                <w:color w:val="auto"/>
              </w:rPr>
              <w:t>(4)</w:t>
            </w:r>
          </w:p>
        </w:tc>
        <w:tc>
          <w:tcPr>
            <w:tcW w:w="1360" w:type="dxa"/>
            <w:vAlign w:val="bottom"/>
          </w:tcPr>
          <w:p>
            <w:pPr>
              <w:jc w:val="right"/>
              <w:ind w:right="352"/>
              <w:spacing w:after="0"/>
              <w:rPr>
                <w:sz w:val="20"/>
                <w:szCs w:val="20"/>
                <w:color w:val="auto"/>
              </w:rPr>
            </w:pPr>
            <w:r>
              <w:rPr>
                <w:rFonts w:ascii="Arial" w:cs="Arial" w:eastAsia="Arial" w:hAnsi="Arial"/>
                <w:sz w:val="15"/>
                <w:szCs w:val="15"/>
                <w:color w:val="auto"/>
              </w:rPr>
              <w:t>(2)</w:t>
            </w:r>
          </w:p>
        </w:tc>
        <w:tc>
          <w:tcPr>
            <w:tcW w:w="8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Raymond M. Beebe</w:t>
            </w:r>
          </w:p>
        </w:tc>
        <w:tc>
          <w:tcPr>
            <w:tcW w:w="2440" w:type="dxa"/>
            <w:vAlign w:val="bottom"/>
            <w:shd w:val="clear" w:color="auto" w:fill="D6F3E8"/>
          </w:tcPr>
          <w:p>
            <w:pPr>
              <w:jc w:val="right"/>
              <w:ind w:right="612"/>
              <w:spacing w:after="0" w:line="27" w:lineRule="exact"/>
              <w:rPr>
                <w:sz w:val="20"/>
                <w:szCs w:val="20"/>
                <w:color w:val="auto"/>
              </w:rPr>
            </w:pPr>
            <w:r>
              <w:rPr>
                <w:rFonts w:ascii="Arial" w:cs="Arial" w:eastAsia="Arial" w:hAnsi="Arial"/>
                <w:sz w:val="3"/>
                <w:szCs w:val="3"/>
                <w:color w:val="auto"/>
              </w:rPr>
              <w:t>12,500</w:t>
            </w:r>
          </w:p>
        </w:tc>
        <w:tc>
          <w:tcPr>
            <w:tcW w:w="1360" w:type="dxa"/>
            <w:vAlign w:val="bottom"/>
            <w:shd w:val="clear" w:color="auto" w:fill="D6F3E8"/>
          </w:tcPr>
          <w:p>
            <w:pPr>
              <w:jc w:val="right"/>
              <w:ind w:right="512"/>
              <w:spacing w:after="0" w:line="27" w:lineRule="exact"/>
              <w:rPr>
                <w:sz w:val="20"/>
                <w:szCs w:val="20"/>
                <w:color w:val="auto"/>
              </w:rPr>
            </w:pPr>
            <w:r>
              <w:rPr>
                <w:rFonts w:ascii="Arial" w:cs="Arial" w:eastAsia="Arial" w:hAnsi="Arial"/>
                <w:sz w:val="3"/>
                <w:szCs w:val="3"/>
                <w:color w:val="auto"/>
              </w:rPr>
              <w:t>3.4</w:t>
            </w:r>
          </w:p>
        </w:tc>
        <w:tc>
          <w:tcPr>
            <w:tcW w:w="88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31.475</w:t>
            </w:r>
          </w:p>
        </w:tc>
        <w:tc>
          <w:tcPr>
            <w:tcW w:w="440" w:type="dxa"/>
            <w:vAlign w:val="bottom"/>
            <w:vMerge w:val="restart"/>
            <w:shd w:val="clear" w:color="auto" w:fill="D6F3E8"/>
          </w:tcPr>
          <w:p>
            <w:pPr>
              <w:jc w:val="right"/>
              <w:ind w:right="185"/>
              <w:spacing w:after="0"/>
              <w:rPr>
                <w:sz w:val="20"/>
                <w:szCs w:val="20"/>
                <w:color w:val="auto"/>
              </w:rPr>
            </w:pPr>
            <w:r>
              <w:rPr>
                <w:rFonts w:ascii="Arial" w:cs="Arial" w:eastAsia="Arial" w:hAnsi="Arial"/>
                <w:sz w:val="15"/>
                <w:szCs w:val="15"/>
                <w:color w:val="auto"/>
                <w:w w:val="87"/>
              </w:rPr>
              <w:t>(3)</w:t>
            </w:r>
          </w:p>
        </w:tc>
        <w:tc>
          <w:tcPr>
            <w:tcW w:w="1320" w:type="dxa"/>
            <w:vAlign w:val="bottom"/>
            <w:shd w:val="clear" w:color="auto" w:fill="D6F3E8"/>
          </w:tcPr>
          <w:p>
            <w:pPr>
              <w:jc w:val="right"/>
              <w:ind w:right="219"/>
              <w:spacing w:after="0" w:line="27" w:lineRule="exact"/>
              <w:rPr>
                <w:sz w:val="20"/>
                <w:szCs w:val="20"/>
                <w:color w:val="auto"/>
              </w:rPr>
            </w:pPr>
            <w:r>
              <w:rPr>
                <w:rFonts w:ascii="Arial" w:cs="Arial" w:eastAsia="Arial" w:hAnsi="Arial"/>
                <w:sz w:val="3"/>
                <w:szCs w:val="3"/>
                <w:color w:val="auto"/>
              </w:rPr>
              <w:t>10/13/2014</w:t>
            </w:r>
          </w:p>
        </w:tc>
        <w:tc>
          <w:tcPr>
            <w:tcW w:w="1180" w:type="dxa"/>
            <w:vAlign w:val="bottom"/>
            <w:shd w:val="clear" w:color="auto" w:fill="D6F3E8"/>
          </w:tcPr>
          <w:p>
            <w:pPr>
              <w:jc w:val="right"/>
              <w:ind w:right="199"/>
              <w:spacing w:after="0" w:line="27" w:lineRule="exact"/>
              <w:rPr>
                <w:sz w:val="20"/>
                <w:szCs w:val="20"/>
                <w:color w:val="auto"/>
              </w:rPr>
            </w:pPr>
            <w:r>
              <w:rPr>
                <w:rFonts w:ascii="Arial" w:cs="Arial" w:eastAsia="Arial" w:hAnsi="Arial"/>
                <w:sz w:val="3"/>
                <w:szCs w:val="3"/>
                <w:color w:val="auto"/>
              </w:rPr>
              <w:t>247,425</w:t>
            </w:r>
          </w:p>
        </w:tc>
        <w:tc>
          <w:tcPr>
            <w:tcW w:w="1000" w:type="dxa"/>
            <w:vAlign w:val="bottom"/>
            <w:shd w:val="clear" w:color="auto" w:fill="D6F3E8"/>
          </w:tcPr>
          <w:p>
            <w:pPr>
              <w:jc w:val="right"/>
              <w:ind w:right="39"/>
              <w:spacing w:after="0" w:line="27" w:lineRule="exact"/>
              <w:rPr>
                <w:sz w:val="20"/>
                <w:szCs w:val="20"/>
                <w:color w:val="auto"/>
              </w:rPr>
            </w:pPr>
            <w:r>
              <w:rPr>
                <w:rFonts w:ascii="Arial" w:cs="Arial" w:eastAsia="Arial" w:hAnsi="Arial"/>
                <w:sz w:val="3"/>
                <w:szCs w:val="3"/>
                <w:color w:val="auto"/>
              </w:rPr>
              <w:t>627,038</w:t>
            </w:r>
          </w:p>
        </w:tc>
        <w:tc>
          <w:tcPr>
            <w:tcW w:w="0" w:type="dxa"/>
            <w:vAlign w:val="bottom"/>
          </w:tcPr>
          <w:p>
            <w:pPr>
              <w:spacing w:after="0" w:line="20" w:lineRule="exact"/>
              <w:rPr>
                <w:sz w:val="1"/>
                <w:szCs w:val="1"/>
                <w:color w:val="auto"/>
              </w:rPr>
            </w:pPr>
          </w:p>
        </w:tc>
      </w:tr>
      <w:tr>
        <w:trPr>
          <w:trHeight w:val="201"/>
        </w:trPr>
        <w:tc>
          <w:tcPr>
            <w:tcW w:w="2760" w:type="dxa"/>
            <w:vAlign w:val="bottom"/>
            <w:shd w:val="clear" w:color="auto" w:fill="D6F3E8"/>
          </w:tcPr>
          <w:p>
            <w:pPr>
              <w:spacing w:after="0"/>
              <w:rPr>
                <w:sz w:val="17"/>
                <w:szCs w:val="17"/>
                <w:color w:val="auto"/>
              </w:rPr>
            </w:pPr>
          </w:p>
        </w:tc>
        <w:tc>
          <w:tcPr>
            <w:tcW w:w="2440" w:type="dxa"/>
            <w:vAlign w:val="bottom"/>
            <w:shd w:val="clear" w:color="auto" w:fill="D6F3E8"/>
          </w:tcPr>
          <w:p>
            <w:pPr>
              <w:jc w:val="right"/>
              <w:ind w:right="432"/>
              <w:spacing w:after="0"/>
              <w:rPr>
                <w:sz w:val="20"/>
                <w:szCs w:val="20"/>
                <w:color w:val="auto"/>
              </w:rPr>
            </w:pPr>
            <w:r>
              <w:rPr>
                <w:rFonts w:ascii="Arial" w:cs="Arial" w:eastAsia="Arial" w:hAnsi="Arial"/>
                <w:sz w:val="15"/>
                <w:szCs w:val="15"/>
                <w:color w:val="auto"/>
              </w:rPr>
              <w:t>(5)</w:t>
            </w:r>
          </w:p>
        </w:tc>
        <w:tc>
          <w:tcPr>
            <w:tcW w:w="1360" w:type="dxa"/>
            <w:vAlign w:val="bottom"/>
            <w:shd w:val="clear" w:color="auto" w:fill="D6F3E8"/>
          </w:tcPr>
          <w:p>
            <w:pPr>
              <w:jc w:val="right"/>
              <w:ind w:right="352"/>
              <w:spacing w:after="0"/>
              <w:rPr>
                <w:sz w:val="20"/>
                <w:szCs w:val="20"/>
                <w:color w:val="auto"/>
              </w:rPr>
            </w:pPr>
            <w:r>
              <w:rPr>
                <w:rFonts w:ascii="Arial" w:cs="Arial" w:eastAsia="Arial" w:hAnsi="Arial"/>
                <w:sz w:val="15"/>
                <w:szCs w:val="15"/>
                <w:color w:val="auto"/>
              </w:rPr>
              <w:t>(2)</w:t>
            </w:r>
          </w:p>
        </w:tc>
        <w:tc>
          <w:tcPr>
            <w:tcW w:w="880" w:type="dxa"/>
            <w:vAlign w:val="bottom"/>
            <w:shd w:val="clear" w:color="auto" w:fill="D6F3E8"/>
          </w:tcPr>
          <w:p>
            <w:pPr>
              <w:spacing w:after="0"/>
              <w:rPr>
                <w:sz w:val="17"/>
                <w:szCs w:val="17"/>
                <w:color w:val="auto"/>
              </w:rPr>
            </w:pPr>
          </w:p>
        </w:tc>
        <w:tc>
          <w:tcPr>
            <w:tcW w:w="440" w:type="dxa"/>
            <w:vAlign w:val="bottom"/>
            <w:vMerge w:val="continue"/>
            <w:shd w:val="clear" w:color="auto" w:fill="D6F3E8"/>
          </w:tcPr>
          <w:p>
            <w:pPr>
              <w:spacing w:after="0"/>
              <w:rPr>
                <w:sz w:val="17"/>
                <w:szCs w:val="17"/>
                <w:color w:val="auto"/>
              </w:rPr>
            </w:pPr>
          </w:p>
        </w:tc>
        <w:tc>
          <w:tcPr>
            <w:tcW w:w="1320" w:type="dxa"/>
            <w:vAlign w:val="bottom"/>
            <w:shd w:val="clear" w:color="auto" w:fill="D6F3E8"/>
          </w:tcPr>
          <w:p>
            <w:pPr>
              <w:spacing w:after="0"/>
              <w:rPr>
                <w:sz w:val="17"/>
                <w:szCs w:val="17"/>
                <w:color w:val="auto"/>
              </w:rPr>
            </w:pPr>
          </w:p>
        </w:tc>
        <w:tc>
          <w:tcPr>
            <w:tcW w:w="118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2760" w:type="dxa"/>
            <w:vAlign w:val="bottom"/>
          </w:tcPr>
          <w:p>
            <w:pPr>
              <w:spacing w:after="0"/>
              <w:rPr>
                <w:sz w:val="20"/>
                <w:szCs w:val="20"/>
                <w:color w:val="auto"/>
              </w:rPr>
            </w:pPr>
            <w:r>
              <w:rPr>
                <w:rFonts w:ascii="Arial" w:cs="Arial" w:eastAsia="Arial" w:hAnsi="Arial"/>
                <w:sz w:val="1"/>
                <w:szCs w:val="1"/>
                <w:color w:val="auto"/>
              </w:rPr>
              <w:t>William J. O’Leary</w:t>
            </w:r>
          </w:p>
        </w:tc>
        <w:tc>
          <w:tcPr>
            <w:tcW w:w="2440" w:type="dxa"/>
            <w:vAlign w:val="bottom"/>
          </w:tcPr>
          <w:p>
            <w:pPr>
              <w:jc w:val="right"/>
              <w:ind w:right="612"/>
              <w:spacing w:after="0"/>
              <w:rPr>
                <w:sz w:val="20"/>
                <w:szCs w:val="20"/>
                <w:color w:val="auto"/>
              </w:rPr>
            </w:pPr>
            <w:r>
              <w:rPr>
                <w:rFonts w:ascii="Arial" w:cs="Arial" w:eastAsia="Arial" w:hAnsi="Arial"/>
                <w:sz w:val="1"/>
                <w:szCs w:val="1"/>
                <w:color w:val="auto"/>
              </w:rPr>
              <w:t>12,500</w:t>
            </w:r>
          </w:p>
        </w:tc>
        <w:tc>
          <w:tcPr>
            <w:tcW w:w="1360" w:type="dxa"/>
            <w:vAlign w:val="bottom"/>
          </w:tcPr>
          <w:p>
            <w:pPr>
              <w:jc w:val="right"/>
              <w:ind w:right="512"/>
              <w:spacing w:after="0"/>
              <w:rPr>
                <w:sz w:val="20"/>
                <w:szCs w:val="20"/>
                <w:color w:val="auto"/>
              </w:rPr>
            </w:pPr>
            <w:r>
              <w:rPr>
                <w:rFonts w:ascii="Arial" w:cs="Arial" w:eastAsia="Arial" w:hAnsi="Arial"/>
                <w:sz w:val="1"/>
                <w:szCs w:val="1"/>
                <w:color w:val="auto"/>
              </w:rPr>
              <w:t>3.4</w:t>
            </w:r>
          </w:p>
        </w:tc>
        <w:tc>
          <w:tcPr>
            <w:tcW w:w="880" w:type="dxa"/>
            <w:vAlign w:val="bottom"/>
          </w:tcPr>
          <w:p>
            <w:pPr>
              <w:jc w:val="right"/>
              <w:spacing w:after="0"/>
              <w:rPr>
                <w:sz w:val="20"/>
                <w:szCs w:val="20"/>
                <w:color w:val="auto"/>
              </w:rPr>
            </w:pPr>
            <w:r>
              <w:rPr>
                <w:rFonts w:ascii="Arial" w:cs="Arial" w:eastAsia="Arial" w:hAnsi="Arial"/>
                <w:sz w:val="1"/>
                <w:szCs w:val="1"/>
                <w:color w:val="auto"/>
              </w:rPr>
              <w:t>31.475</w:t>
            </w:r>
          </w:p>
        </w:tc>
        <w:tc>
          <w:tcPr>
            <w:tcW w:w="440" w:type="dxa"/>
            <w:vAlign w:val="bottom"/>
            <w:vMerge w:val="restart"/>
          </w:tcPr>
          <w:p>
            <w:pPr>
              <w:jc w:val="right"/>
              <w:ind w:right="185"/>
              <w:spacing w:after="0"/>
              <w:rPr>
                <w:sz w:val="20"/>
                <w:szCs w:val="20"/>
                <w:color w:val="auto"/>
              </w:rPr>
            </w:pPr>
            <w:r>
              <w:rPr>
                <w:rFonts w:ascii="Arial" w:cs="Arial" w:eastAsia="Arial" w:hAnsi="Arial"/>
                <w:sz w:val="15"/>
                <w:szCs w:val="15"/>
                <w:color w:val="auto"/>
                <w:w w:val="87"/>
              </w:rPr>
              <w:t>(3)</w:t>
            </w:r>
          </w:p>
        </w:tc>
        <w:tc>
          <w:tcPr>
            <w:tcW w:w="1320" w:type="dxa"/>
            <w:vAlign w:val="bottom"/>
          </w:tcPr>
          <w:p>
            <w:pPr>
              <w:jc w:val="right"/>
              <w:ind w:right="219"/>
              <w:spacing w:after="0"/>
              <w:rPr>
                <w:sz w:val="20"/>
                <w:szCs w:val="20"/>
                <w:color w:val="auto"/>
              </w:rPr>
            </w:pPr>
            <w:r>
              <w:rPr>
                <w:rFonts w:ascii="Arial" w:cs="Arial" w:eastAsia="Arial" w:hAnsi="Arial"/>
                <w:sz w:val="1"/>
                <w:szCs w:val="1"/>
                <w:color w:val="auto"/>
              </w:rPr>
              <w:t>10/13/2014</w:t>
            </w:r>
          </w:p>
        </w:tc>
        <w:tc>
          <w:tcPr>
            <w:tcW w:w="1180" w:type="dxa"/>
            <w:vAlign w:val="bottom"/>
          </w:tcPr>
          <w:p>
            <w:pPr>
              <w:jc w:val="right"/>
              <w:ind w:right="199"/>
              <w:spacing w:after="0"/>
              <w:rPr>
                <w:sz w:val="20"/>
                <w:szCs w:val="20"/>
                <w:color w:val="auto"/>
              </w:rPr>
            </w:pPr>
            <w:r>
              <w:rPr>
                <w:rFonts w:ascii="Arial" w:cs="Arial" w:eastAsia="Arial" w:hAnsi="Arial"/>
                <w:sz w:val="1"/>
                <w:szCs w:val="1"/>
                <w:color w:val="auto"/>
              </w:rPr>
              <w:t>247,425</w:t>
            </w:r>
          </w:p>
        </w:tc>
        <w:tc>
          <w:tcPr>
            <w:tcW w:w="1000" w:type="dxa"/>
            <w:vAlign w:val="bottom"/>
          </w:tcPr>
          <w:p>
            <w:pPr>
              <w:jc w:val="right"/>
              <w:ind w:right="39"/>
              <w:spacing w:after="0"/>
              <w:rPr>
                <w:sz w:val="20"/>
                <w:szCs w:val="20"/>
                <w:color w:val="auto"/>
              </w:rPr>
            </w:pPr>
            <w:r>
              <w:rPr>
                <w:rFonts w:ascii="Arial" w:cs="Arial" w:eastAsia="Arial" w:hAnsi="Arial"/>
                <w:sz w:val="1"/>
                <w:szCs w:val="1"/>
                <w:color w:val="auto"/>
              </w:rPr>
              <w:t>627,038</w:t>
            </w:r>
          </w:p>
        </w:tc>
        <w:tc>
          <w:tcPr>
            <w:tcW w:w="0" w:type="dxa"/>
            <w:vAlign w:val="bottom"/>
          </w:tcPr>
          <w:p>
            <w:pPr>
              <w:spacing w:after="0" w:line="20" w:lineRule="exact"/>
              <w:rPr>
                <w:sz w:val="1"/>
                <w:szCs w:val="1"/>
                <w:color w:val="auto"/>
              </w:rPr>
            </w:pPr>
          </w:p>
        </w:tc>
      </w:tr>
      <w:tr>
        <w:trPr>
          <w:trHeight w:val="190"/>
        </w:trPr>
        <w:tc>
          <w:tcPr>
            <w:tcW w:w="2760" w:type="dxa"/>
            <w:vAlign w:val="bottom"/>
          </w:tcPr>
          <w:p>
            <w:pPr>
              <w:spacing w:after="0"/>
              <w:rPr>
                <w:sz w:val="16"/>
                <w:szCs w:val="16"/>
                <w:color w:val="auto"/>
              </w:rPr>
            </w:pPr>
          </w:p>
        </w:tc>
        <w:tc>
          <w:tcPr>
            <w:tcW w:w="2440" w:type="dxa"/>
            <w:vAlign w:val="bottom"/>
          </w:tcPr>
          <w:p>
            <w:pPr>
              <w:jc w:val="right"/>
              <w:ind w:right="432"/>
              <w:spacing w:after="0"/>
              <w:rPr>
                <w:sz w:val="20"/>
                <w:szCs w:val="20"/>
                <w:color w:val="auto"/>
              </w:rPr>
            </w:pPr>
            <w:r>
              <w:rPr>
                <w:rFonts w:ascii="Arial" w:cs="Arial" w:eastAsia="Arial" w:hAnsi="Arial"/>
                <w:sz w:val="15"/>
                <w:szCs w:val="15"/>
                <w:color w:val="auto"/>
              </w:rPr>
              <w:t>(5)</w:t>
            </w:r>
          </w:p>
        </w:tc>
        <w:tc>
          <w:tcPr>
            <w:tcW w:w="1360" w:type="dxa"/>
            <w:vAlign w:val="bottom"/>
          </w:tcPr>
          <w:p>
            <w:pPr>
              <w:jc w:val="right"/>
              <w:ind w:right="352"/>
              <w:spacing w:after="0"/>
              <w:rPr>
                <w:sz w:val="20"/>
                <w:szCs w:val="20"/>
                <w:color w:val="auto"/>
              </w:rPr>
            </w:pPr>
            <w:r>
              <w:rPr>
                <w:rFonts w:ascii="Arial" w:cs="Arial" w:eastAsia="Arial" w:hAnsi="Arial"/>
                <w:sz w:val="15"/>
                <w:szCs w:val="15"/>
                <w:color w:val="auto"/>
              </w:rPr>
              <w:t>(2)</w:t>
            </w:r>
          </w:p>
        </w:tc>
        <w:tc>
          <w:tcPr>
            <w:tcW w:w="8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60" w:type="dxa"/>
            <w:vAlign w:val="bottom"/>
            <w:shd w:val="clear" w:color="auto" w:fill="D6F3E8"/>
          </w:tcPr>
          <w:p>
            <w:pPr>
              <w:spacing w:after="0" w:line="27" w:lineRule="exact"/>
              <w:rPr>
                <w:sz w:val="20"/>
                <w:szCs w:val="20"/>
                <w:color w:val="auto"/>
              </w:rPr>
            </w:pPr>
            <w:r>
              <w:rPr>
                <w:rFonts w:ascii="Arial" w:cs="Arial" w:eastAsia="Arial" w:hAnsi="Arial"/>
                <w:sz w:val="3"/>
                <w:szCs w:val="3"/>
                <w:color w:val="auto"/>
              </w:rPr>
              <w:t>Robert J. Olson</w:t>
            </w:r>
          </w:p>
        </w:tc>
        <w:tc>
          <w:tcPr>
            <w:tcW w:w="2440" w:type="dxa"/>
            <w:vAlign w:val="bottom"/>
            <w:shd w:val="clear" w:color="auto" w:fill="D6F3E8"/>
          </w:tcPr>
          <w:p>
            <w:pPr>
              <w:jc w:val="right"/>
              <w:ind w:right="612"/>
              <w:spacing w:after="0" w:line="27" w:lineRule="exact"/>
              <w:rPr>
                <w:sz w:val="20"/>
                <w:szCs w:val="20"/>
                <w:color w:val="auto"/>
              </w:rPr>
            </w:pPr>
            <w:r>
              <w:rPr>
                <w:rFonts w:ascii="Arial" w:cs="Arial" w:eastAsia="Arial" w:hAnsi="Arial"/>
                <w:sz w:val="3"/>
                <w:szCs w:val="3"/>
                <w:color w:val="auto"/>
              </w:rPr>
              <w:t>12,500</w:t>
            </w:r>
          </w:p>
        </w:tc>
        <w:tc>
          <w:tcPr>
            <w:tcW w:w="1360" w:type="dxa"/>
            <w:vAlign w:val="bottom"/>
            <w:shd w:val="clear" w:color="auto" w:fill="D6F3E8"/>
          </w:tcPr>
          <w:p>
            <w:pPr>
              <w:jc w:val="right"/>
              <w:ind w:right="512"/>
              <w:spacing w:after="0" w:line="27" w:lineRule="exact"/>
              <w:rPr>
                <w:sz w:val="20"/>
                <w:szCs w:val="20"/>
                <w:color w:val="auto"/>
              </w:rPr>
            </w:pPr>
            <w:r>
              <w:rPr>
                <w:rFonts w:ascii="Arial" w:cs="Arial" w:eastAsia="Arial" w:hAnsi="Arial"/>
                <w:sz w:val="3"/>
                <w:szCs w:val="3"/>
                <w:color w:val="auto"/>
              </w:rPr>
              <w:t>3.4</w:t>
            </w:r>
          </w:p>
        </w:tc>
        <w:tc>
          <w:tcPr>
            <w:tcW w:w="880" w:type="dxa"/>
            <w:vAlign w:val="bottom"/>
            <w:shd w:val="clear" w:color="auto" w:fill="D6F3E8"/>
          </w:tcPr>
          <w:p>
            <w:pPr>
              <w:jc w:val="right"/>
              <w:spacing w:after="0" w:line="27" w:lineRule="exact"/>
              <w:rPr>
                <w:sz w:val="20"/>
                <w:szCs w:val="20"/>
                <w:color w:val="auto"/>
              </w:rPr>
            </w:pPr>
            <w:r>
              <w:rPr>
                <w:rFonts w:ascii="Arial" w:cs="Arial" w:eastAsia="Arial" w:hAnsi="Arial"/>
                <w:sz w:val="3"/>
                <w:szCs w:val="3"/>
                <w:color w:val="auto"/>
              </w:rPr>
              <w:t>31.475</w:t>
            </w:r>
          </w:p>
        </w:tc>
        <w:tc>
          <w:tcPr>
            <w:tcW w:w="440" w:type="dxa"/>
            <w:vAlign w:val="bottom"/>
            <w:vMerge w:val="restart"/>
            <w:shd w:val="clear" w:color="auto" w:fill="D6F3E8"/>
          </w:tcPr>
          <w:p>
            <w:pPr>
              <w:jc w:val="right"/>
              <w:ind w:right="185"/>
              <w:spacing w:after="0"/>
              <w:rPr>
                <w:sz w:val="20"/>
                <w:szCs w:val="20"/>
                <w:color w:val="auto"/>
              </w:rPr>
            </w:pPr>
            <w:r>
              <w:rPr>
                <w:rFonts w:ascii="Arial" w:cs="Arial" w:eastAsia="Arial" w:hAnsi="Arial"/>
                <w:sz w:val="15"/>
                <w:szCs w:val="15"/>
                <w:color w:val="auto"/>
                <w:w w:val="87"/>
              </w:rPr>
              <w:t>(3)</w:t>
            </w:r>
          </w:p>
        </w:tc>
        <w:tc>
          <w:tcPr>
            <w:tcW w:w="1320" w:type="dxa"/>
            <w:vAlign w:val="bottom"/>
            <w:shd w:val="clear" w:color="auto" w:fill="D6F3E8"/>
          </w:tcPr>
          <w:p>
            <w:pPr>
              <w:jc w:val="right"/>
              <w:ind w:right="219"/>
              <w:spacing w:after="0" w:line="27" w:lineRule="exact"/>
              <w:rPr>
                <w:sz w:val="20"/>
                <w:szCs w:val="20"/>
                <w:color w:val="auto"/>
              </w:rPr>
            </w:pPr>
            <w:r>
              <w:rPr>
                <w:rFonts w:ascii="Arial" w:cs="Arial" w:eastAsia="Arial" w:hAnsi="Arial"/>
                <w:sz w:val="3"/>
                <w:szCs w:val="3"/>
                <w:color w:val="auto"/>
              </w:rPr>
              <w:t>10/13/2014</w:t>
            </w:r>
          </w:p>
        </w:tc>
        <w:tc>
          <w:tcPr>
            <w:tcW w:w="1180" w:type="dxa"/>
            <w:vAlign w:val="bottom"/>
            <w:shd w:val="clear" w:color="auto" w:fill="D6F3E8"/>
          </w:tcPr>
          <w:p>
            <w:pPr>
              <w:jc w:val="right"/>
              <w:ind w:right="199"/>
              <w:spacing w:after="0" w:line="27" w:lineRule="exact"/>
              <w:rPr>
                <w:sz w:val="20"/>
                <w:szCs w:val="20"/>
                <w:color w:val="auto"/>
              </w:rPr>
            </w:pPr>
            <w:r>
              <w:rPr>
                <w:rFonts w:ascii="Arial" w:cs="Arial" w:eastAsia="Arial" w:hAnsi="Arial"/>
                <w:sz w:val="3"/>
                <w:szCs w:val="3"/>
                <w:color w:val="auto"/>
              </w:rPr>
              <w:t>247,425</w:t>
            </w:r>
          </w:p>
        </w:tc>
        <w:tc>
          <w:tcPr>
            <w:tcW w:w="1000" w:type="dxa"/>
            <w:vAlign w:val="bottom"/>
            <w:shd w:val="clear" w:color="auto" w:fill="D6F3E8"/>
          </w:tcPr>
          <w:p>
            <w:pPr>
              <w:jc w:val="right"/>
              <w:ind w:right="39"/>
              <w:spacing w:after="0" w:line="27" w:lineRule="exact"/>
              <w:rPr>
                <w:sz w:val="20"/>
                <w:szCs w:val="20"/>
                <w:color w:val="auto"/>
              </w:rPr>
            </w:pPr>
            <w:r>
              <w:rPr>
                <w:rFonts w:ascii="Arial" w:cs="Arial" w:eastAsia="Arial" w:hAnsi="Arial"/>
                <w:sz w:val="3"/>
                <w:szCs w:val="3"/>
                <w:color w:val="auto"/>
              </w:rPr>
              <w:t>627,038</w:t>
            </w:r>
          </w:p>
        </w:tc>
        <w:tc>
          <w:tcPr>
            <w:tcW w:w="0" w:type="dxa"/>
            <w:vAlign w:val="bottom"/>
          </w:tcPr>
          <w:p>
            <w:pPr>
              <w:spacing w:after="0" w:line="20" w:lineRule="exact"/>
              <w:rPr>
                <w:sz w:val="1"/>
                <w:szCs w:val="1"/>
                <w:color w:val="auto"/>
              </w:rPr>
            </w:pPr>
          </w:p>
        </w:tc>
      </w:tr>
      <w:tr>
        <w:trPr>
          <w:trHeight w:val="201"/>
        </w:trPr>
        <w:tc>
          <w:tcPr>
            <w:tcW w:w="2760" w:type="dxa"/>
            <w:vAlign w:val="bottom"/>
            <w:shd w:val="clear" w:color="auto" w:fill="D6F3E8"/>
          </w:tcPr>
          <w:p>
            <w:pPr>
              <w:spacing w:after="0"/>
              <w:rPr>
                <w:sz w:val="17"/>
                <w:szCs w:val="17"/>
                <w:color w:val="auto"/>
              </w:rPr>
            </w:pPr>
          </w:p>
        </w:tc>
        <w:tc>
          <w:tcPr>
            <w:tcW w:w="2440" w:type="dxa"/>
            <w:vAlign w:val="bottom"/>
            <w:shd w:val="clear" w:color="auto" w:fill="D6F3E8"/>
          </w:tcPr>
          <w:p>
            <w:pPr>
              <w:jc w:val="right"/>
              <w:ind w:right="432"/>
              <w:spacing w:after="0"/>
              <w:rPr>
                <w:sz w:val="20"/>
                <w:szCs w:val="20"/>
                <w:color w:val="auto"/>
              </w:rPr>
            </w:pPr>
            <w:r>
              <w:rPr>
                <w:rFonts w:ascii="Arial" w:cs="Arial" w:eastAsia="Arial" w:hAnsi="Arial"/>
                <w:sz w:val="15"/>
                <w:szCs w:val="15"/>
                <w:color w:val="auto"/>
              </w:rPr>
              <w:t>(5)</w:t>
            </w:r>
          </w:p>
        </w:tc>
        <w:tc>
          <w:tcPr>
            <w:tcW w:w="1360" w:type="dxa"/>
            <w:vAlign w:val="bottom"/>
            <w:shd w:val="clear" w:color="auto" w:fill="D6F3E8"/>
          </w:tcPr>
          <w:p>
            <w:pPr>
              <w:jc w:val="right"/>
              <w:ind w:right="352"/>
              <w:spacing w:after="0"/>
              <w:rPr>
                <w:sz w:val="20"/>
                <w:szCs w:val="20"/>
                <w:color w:val="auto"/>
              </w:rPr>
            </w:pPr>
            <w:r>
              <w:rPr>
                <w:rFonts w:ascii="Arial" w:cs="Arial" w:eastAsia="Arial" w:hAnsi="Arial"/>
                <w:sz w:val="15"/>
                <w:szCs w:val="15"/>
                <w:color w:val="auto"/>
              </w:rPr>
              <w:t>(2)</w:t>
            </w:r>
          </w:p>
        </w:tc>
        <w:tc>
          <w:tcPr>
            <w:tcW w:w="880" w:type="dxa"/>
            <w:vAlign w:val="bottom"/>
            <w:shd w:val="clear" w:color="auto" w:fill="D6F3E8"/>
          </w:tcPr>
          <w:p>
            <w:pPr>
              <w:spacing w:after="0"/>
              <w:rPr>
                <w:sz w:val="17"/>
                <w:szCs w:val="17"/>
                <w:color w:val="auto"/>
              </w:rPr>
            </w:pPr>
          </w:p>
        </w:tc>
        <w:tc>
          <w:tcPr>
            <w:tcW w:w="440" w:type="dxa"/>
            <w:vAlign w:val="bottom"/>
            <w:vMerge w:val="continue"/>
            <w:shd w:val="clear" w:color="auto" w:fill="D6F3E8"/>
          </w:tcPr>
          <w:p>
            <w:pPr>
              <w:spacing w:after="0"/>
              <w:rPr>
                <w:sz w:val="17"/>
                <w:szCs w:val="17"/>
                <w:color w:val="auto"/>
              </w:rPr>
            </w:pPr>
          </w:p>
        </w:tc>
        <w:tc>
          <w:tcPr>
            <w:tcW w:w="1320" w:type="dxa"/>
            <w:vAlign w:val="bottom"/>
            <w:shd w:val="clear" w:color="auto" w:fill="D6F3E8"/>
          </w:tcPr>
          <w:p>
            <w:pPr>
              <w:spacing w:after="0"/>
              <w:rPr>
                <w:sz w:val="17"/>
                <w:szCs w:val="17"/>
                <w:color w:val="auto"/>
              </w:rPr>
            </w:pPr>
          </w:p>
        </w:tc>
        <w:tc>
          <w:tcPr>
            <w:tcW w:w="1180" w:type="dxa"/>
            <w:vAlign w:val="bottom"/>
            <w:shd w:val="clear" w:color="auto" w:fill="D6F3E8"/>
          </w:tcPr>
          <w:p>
            <w:pPr>
              <w:spacing w:after="0"/>
              <w:rPr>
                <w:sz w:val="17"/>
                <w:szCs w:val="17"/>
                <w:color w:val="auto"/>
              </w:rPr>
            </w:pPr>
          </w:p>
        </w:tc>
        <w:tc>
          <w:tcPr>
            <w:tcW w:w="10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40" w:hanging="478"/>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options granted on October 13, 2004, under the Company’s 2004 Incentive Compensation Plan. Options become exercisable as follows: 20,000 shares on or after January 13, 2005 with the remaining 50,000 shares becoming exercisable in annual increments of one-third commencing October 13, 2005.</w:t>
      </w:r>
    </w:p>
    <w:p>
      <w:pPr>
        <w:spacing w:after="0" w:line="73" w:lineRule="exact"/>
        <w:rPr>
          <w:rFonts w:ascii="Arial" w:cs="Arial" w:eastAsia="Arial" w:hAnsi="Arial"/>
          <w:sz w:val="18"/>
          <w:szCs w:val="18"/>
          <w:color w:val="auto"/>
        </w:rPr>
      </w:pPr>
    </w:p>
    <w:p>
      <w:pPr>
        <w:ind w:left="540" w:hanging="478"/>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total grants during fiscal 2005 of 362,500 shares.</w:t>
      </w:r>
    </w:p>
    <w:p>
      <w:pPr>
        <w:spacing w:after="0" w:line="117" w:lineRule="exact"/>
        <w:rPr>
          <w:rFonts w:ascii="Arial" w:cs="Arial" w:eastAsia="Arial" w:hAnsi="Arial"/>
          <w:sz w:val="18"/>
          <w:szCs w:val="18"/>
          <w:color w:val="auto"/>
        </w:rPr>
      </w:pPr>
    </w:p>
    <w:p>
      <w:pPr>
        <w:ind w:left="540" w:right="440" w:hanging="478"/>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price per share represents the mean between the high and low prices for a share of the Company’s Common Stock on the NYSE on October 13, 2004.</w:t>
      </w:r>
    </w:p>
    <w:p>
      <w:pPr>
        <w:spacing w:after="0" w:line="62" w:lineRule="exact"/>
        <w:rPr>
          <w:rFonts w:ascii="Arial" w:cs="Arial" w:eastAsia="Arial" w:hAnsi="Arial"/>
          <w:sz w:val="18"/>
          <w:szCs w:val="18"/>
          <w:color w:val="auto"/>
        </w:rPr>
      </w:pPr>
    </w:p>
    <w:p>
      <w:pPr>
        <w:ind w:left="540" w:right="40" w:hanging="478"/>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options granted on October 13, 2004, under the Company’s 2004 Incentive Compensation Plan. Options become exercisable as follows: 20,000 shares on or after January 13, 2005 with the remaining 25,000 shares becoming exercisable in annual increments of one-third commencing October 13, 2005.</w:t>
      </w:r>
    </w:p>
    <w:p>
      <w:pPr>
        <w:spacing w:after="0" w:line="73" w:lineRule="exact"/>
        <w:rPr>
          <w:rFonts w:ascii="Arial" w:cs="Arial" w:eastAsia="Arial" w:hAnsi="Arial"/>
          <w:sz w:val="18"/>
          <w:szCs w:val="18"/>
          <w:color w:val="auto"/>
        </w:rPr>
      </w:pPr>
    </w:p>
    <w:p>
      <w:pPr>
        <w:ind w:left="540" w:right="300" w:hanging="478"/>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options granted on October 13, 2004, under the Company’s 2004 Incentive Compensation Plan, become exercisable in annual increments of one-third commencing October 13, 2005.</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AGGREGATED OPTION SHARES EXERCISED IN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LAST FISCAL YEAR AND FISCAL YEAR-END OPTION VALUES</w:t>
      </w:r>
    </w:p>
    <w:p>
      <w:pPr>
        <w:spacing w:after="0" w:line="170"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The following table provides information related to the stock options exercised during fiscal 2005 and the number and value of unexercised options at August 27, 2005, by the named executive officers.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Number of Unexercised</w:t>
            </w:r>
          </w:p>
        </w:tc>
        <w:tc>
          <w:tcPr>
            <w:tcW w:w="320" w:type="dxa"/>
            <w:vAlign w:val="bottom"/>
          </w:tcPr>
          <w:p>
            <w:pPr>
              <w:spacing w:after="0"/>
              <w:rPr>
                <w:sz w:val="16"/>
                <w:szCs w:val="16"/>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tcPr>
          <w:p>
            <w:pPr>
              <w:jc w:val="right"/>
              <w:ind w:right="608"/>
              <w:spacing w:after="0" w:line="149" w:lineRule="exact"/>
              <w:rPr>
                <w:sz w:val="20"/>
                <w:szCs w:val="20"/>
                <w:color w:val="auto"/>
              </w:rPr>
            </w:pPr>
            <w:r>
              <w:rPr>
                <w:rFonts w:ascii="Arial" w:cs="Arial" w:eastAsia="Arial" w:hAnsi="Arial"/>
                <w:sz w:val="14"/>
                <w:szCs w:val="14"/>
                <w:b w:val="1"/>
                <w:bCs w:val="1"/>
                <w:color w:val="auto"/>
              </w:rPr>
              <w:t>Options Held at</w:t>
            </w:r>
          </w:p>
        </w:tc>
        <w:tc>
          <w:tcPr>
            <w:tcW w:w="320" w:type="dxa"/>
            <w:vAlign w:val="bottom"/>
          </w:tcPr>
          <w:p>
            <w:pPr>
              <w:spacing w:after="0"/>
              <w:rPr>
                <w:sz w:val="12"/>
                <w:szCs w:val="12"/>
                <w:color w:val="auto"/>
              </w:rPr>
            </w:pPr>
          </w:p>
        </w:tc>
        <w:tc>
          <w:tcPr>
            <w:tcW w:w="24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In-the-Money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3"/>
          </w:tcPr>
          <w:p>
            <w:pPr>
              <w:jc w:val="right"/>
              <w:ind w:right="608"/>
              <w:spacing w:after="0" w:line="149" w:lineRule="exact"/>
              <w:rPr>
                <w:sz w:val="20"/>
                <w:szCs w:val="20"/>
                <w:color w:val="auto"/>
              </w:rPr>
            </w:pPr>
            <w:r>
              <w:rPr>
                <w:rFonts w:ascii="Arial" w:cs="Arial" w:eastAsia="Arial" w:hAnsi="Arial"/>
                <w:sz w:val="14"/>
                <w:szCs w:val="14"/>
                <w:b w:val="1"/>
                <w:bCs w:val="1"/>
                <w:color w:val="auto"/>
              </w:rPr>
              <w:t>August 27, 2005</w:t>
            </w:r>
          </w:p>
        </w:tc>
        <w:tc>
          <w:tcPr>
            <w:tcW w:w="320" w:type="dxa"/>
            <w:vAlign w:val="bottom"/>
          </w:tcPr>
          <w:p>
            <w:pPr>
              <w:spacing w:after="0"/>
              <w:rPr>
                <w:sz w:val="12"/>
                <w:szCs w:val="12"/>
                <w:color w:val="auto"/>
              </w:rPr>
            </w:pPr>
          </w:p>
        </w:tc>
        <w:tc>
          <w:tcPr>
            <w:tcW w:w="2460" w:type="dxa"/>
            <w:vAlign w:val="bottom"/>
            <w:gridSpan w:val="4"/>
          </w:tcPr>
          <w:p>
            <w:pPr>
              <w:jc w:val="center"/>
              <w:ind w:right="100"/>
              <w:spacing w:after="0" w:line="149" w:lineRule="exact"/>
              <w:rPr>
                <w:sz w:val="20"/>
                <w:szCs w:val="20"/>
                <w:color w:val="auto"/>
              </w:rPr>
            </w:pPr>
            <w:r>
              <w:rPr>
                <w:rFonts w:ascii="Arial" w:cs="Arial" w:eastAsia="Arial" w:hAnsi="Arial"/>
                <w:sz w:val="11"/>
                <w:szCs w:val="11"/>
                <w:b w:val="1"/>
                <w:bCs w:val="1"/>
                <w:color w:val="auto"/>
              </w:rPr>
              <w:t>August 27, 2005</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Shares</w:t>
            </w:r>
          </w:p>
        </w:tc>
        <w:tc>
          <w:tcPr>
            <w:tcW w:w="32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6"/>
                <w:szCs w:val="6"/>
                <w:color w:val="auto"/>
              </w:rPr>
            </w:pPr>
          </w:p>
        </w:tc>
        <w:tc>
          <w:tcPr>
            <w:tcW w:w="1020" w:type="dxa"/>
            <w:vAlign w:val="bottom"/>
          </w:tcPr>
          <w:p>
            <w:pPr>
              <w:jc w:val="center"/>
              <w:spacing w:after="0" w:line="78" w:lineRule="exact"/>
              <w:rPr>
                <w:sz w:val="20"/>
                <w:szCs w:val="20"/>
                <w:color w:val="auto"/>
              </w:rPr>
            </w:pPr>
            <w:r>
              <w:rPr>
                <w:rFonts w:ascii="Arial" w:cs="Arial" w:eastAsia="Arial" w:hAnsi="Arial"/>
                <w:sz w:val="9"/>
                <w:szCs w:val="9"/>
                <w:b w:val="1"/>
                <w:bCs w:val="1"/>
                <w:color w:val="auto"/>
              </w:rPr>
              <w:t>Acquired on</w:t>
            </w:r>
          </w:p>
        </w:tc>
        <w:tc>
          <w:tcPr>
            <w:tcW w:w="3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1000" w:type="dxa"/>
            <w:vAlign w:val="bottom"/>
            <w:tcBorders>
              <w:top w:val="single" w:sz="8" w:color="auto"/>
            </w:tcBorders>
            <w:vMerge w:val="restart"/>
          </w:tcPr>
          <w:p>
            <w:pPr>
              <w:jc w:val="right"/>
              <w:ind w:right="58"/>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6"/>
              </w:rPr>
              <w:t>Unexercisable</w:t>
            </w:r>
          </w:p>
        </w:tc>
        <w:tc>
          <w:tcPr>
            <w:tcW w:w="320" w:type="dxa"/>
            <w:vAlign w:val="bottom"/>
          </w:tcPr>
          <w:p>
            <w:pPr>
              <w:spacing w:after="0"/>
              <w:rPr>
                <w:sz w:val="6"/>
                <w:szCs w:val="6"/>
                <w:color w:val="auto"/>
              </w:rPr>
            </w:pPr>
          </w:p>
        </w:tc>
        <w:tc>
          <w:tcPr>
            <w:tcW w:w="10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4"/>
                <w:szCs w:val="14"/>
                <w:b w:val="1"/>
                <w:bCs w:val="1"/>
                <w:color w:val="auto"/>
              </w:rPr>
              <w:t>Exercisable</w:t>
            </w: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w w:val="96"/>
              </w:rPr>
              <w:t>Unexercisable</w:t>
            </w:r>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3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Realized</w:t>
            </w:r>
            <w:r>
              <w:rPr>
                <w:rFonts w:ascii="Arial" w:cs="Arial" w:eastAsia="Arial" w:hAnsi="Arial"/>
                <w:sz w:val="23"/>
                <w:szCs w:val="23"/>
                <w:b w:val="1"/>
                <w:bCs w:val="1"/>
                <w:color w:val="auto"/>
                <w:w w:val="89"/>
                <w:vertAlign w:val="superscript"/>
              </w:rPr>
              <w:t>(1)</w:t>
            </w:r>
          </w:p>
        </w:tc>
        <w:tc>
          <w:tcPr>
            <w:tcW w:w="1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top w:val="single" w:sz="8" w:color="808080"/>
            </w:tcBorders>
            <w:vMerge w:val="restart"/>
          </w:tcPr>
          <w:p>
            <w:pPr>
              <w:spacing w:after="0"/>
              <w:rPr>
                <w:sz w:val="9"/>
                <w:szCs w:val="9"/>
                <w:color w:val="auto"/>
              </w:rPr>
            </w:pPr>
          </w:p>
        </w:tc>
        <w:tc>
          <w:tcPr>
            <w:tcW w:w="306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1340" w:type="dxa"/>
            <w:vAlign w:val="bottom"/>
            <w:gridSpan w:val="2"/>
            <w:shd w:val="clear" w:color="auto" w:fill="D6F3E8"/>
          </w:tcPr>
          <w:p>
            <w:pPr>
              <w:jc w:val="right"/>
              <w:ind w:right="36"/>
              <w:spacing w:after="0"/>
              <w:rPr>
                <w:sz w:val="20"/>
                <w:szCs w:val="20"/>
                <w:color w:val="auto"/>
              </w:rPr>
            </w:pPr>
            <w:r>
              <w:rPr>
                <w:rFonts w:ascii="Arial" w:cs="Arial" w:eastAsia="Arial" w:hAnsi="Arial"/>
                <w:sz w:val="18"/>
                <w:szCs w:val="18"/>
                <w:color w:val="auto"/>
              </w:rPr>
              <w:t>9,250</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   217,375</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314,526</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53,334</w:t>
            </w:r>
          </w:p>
        </w:tc>
        <w:tc>
          <w:tcPr>
            <w:tcW w:w="134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$ 5,452,676</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   155,867</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Edwin F. Barker</w:t>
            </w:r>
          </w:p>
        </w:tc>
        <w:tc>
          <w:tcPr>
            <w:tcW w:w="1340" w:type="dxa"/>
            <w:vAlign w:val="bottom"/>
            <w:gridSpan w:val="2"/>
          </w:tcPr>
          <w:p>
            <w:pPr>
              <w:jc w:val="right"/>
              <w:ind w:right="36"/>
              <w:spacing w:after="0"/>
              <w:rPr>
                <w:sz w:val="20"/>
                <w:szCs w:val="20"/>
                <w:color w:val="auto"/>
              </w:rPr>
            </w:pPr>
            <w:r>
              <w:rPr>
                <w:rFonts w:ascii="Arial" w:cs="Arial" w:eastAsia="Arial" w:hAnsi="Arial"/>
                <w:sz w:val="18"/>
                <w:szCs w:val="18"/>
                <w:color w:val="auto"/>
              </w:rPr>
              <w:t>7,110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150,346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60,795</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26,667</w:t>
            </w:r>
          </w:p>
        </w:tc>
        <w:tc>
          <w:tcPr>
            <w:tcW w:w="1340" w:type="dxa"/>
            <w:vAlign w:val="bottom"/>
            <w:gridSpan w:val="2"/>
          </w:tcPr>
          <w:p>
            <w:pPr>
              <w:jc w:val="right"/>
              <w:ind w:right="32"/>
              <w:spacing w:after="0"/>
              <w:rPr>
                <w:sz w:val="20"/>
                <w:szCs w:val="20"/>
                <w:color w:val="auto"/>
              </w:rPr>
            </w:pPr>
            <w:r>
              <w:rPr>
                <w:rFonts w:ascii="Arial" w:cs="Arial" w:eastAsia="Arial" w:hAnsi="Arial"/>
                <w:sz w:val="18"/>
                <w:szCs w:val="18"/>
                <w:color w:val="auto"/>
              </w:rPr>
              <w:t>343,488</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77,934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1340" w:type="dxa"/>
            <w:vAlign w:val="bottom"/>
            <w:gridSpan w:val="2"/>
            <w:shd w:val="clear" w:color="auto" w:fill="D6F3E8"/>
          </w:tcPr>
          <w:p>
            <w:pPr>
              <w:jc w:val="right"/>
              <w:ind w:right="36"/>
              <w:spacing w:after="0"/>
              <w:rPr>
                <w:sz w:val="20"/>
                <w:szCs w:val="20"/>
                <w:color w:val="auto"/>
              </w:rPr>
            </w:pPr>
            <w:r>
              <w:rPr>
                <w:rFonts w:ascii="Arial" w:cs="Arial" w:eastAsia="Arial" w:hAnsi="Arial"/>
                <w:sz w:val="18"/>
                <w:szCs w:val="18"/>
                <w:color w:val="auto"/>
              </w:rPr>
              <w:t>8,800</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148,836</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18,966</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13,334</w:t>
            </w:r>
          </w:p>
        </w:tc>
        <w:tc>
          <w:tcPr>
            <w:tcW w:w="134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133,289</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38,967</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William J. O’Leary</w:t>
            </w:r>
          </w:p>
        </w:tc>
        <w:tc>
          <w:tcPr>
            <w:tcW w:w="1340" w:type="dxa"/>
            <w:vAlign w:val="bottom"/>
            <w:gridSpan w:val="2"/>
          </w:tcPr>
          <w:p>
            <w:pPr>
              <w:jc w:val="right"/>
              <w:ind w:right="36"/>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27,766</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13,334</w:t>
            </w:r>
          </w:p>
        </w:tc>
        <w:tc>
          <w:tcPr>
            <w:tcW w:w="1340" w:type="dxa"/>
            <w:vAlign w:val="bottom"/>
            <w:gridSpan w:val="2"/>
          </w:tcPr>
          <w:p>
            <w:pPr>
              <w:jc w:val="right"/>
              <w:ind w:right="32"/>
              <w:spacing w:after="0"/>
              <w:rPr>
                <w:sz w:val="20"/>
                <w:szCs w:val="20"/>
                <w:color w:val="auto"/>
              </w:rPr>
            </w:pPr>
            <w:r>
              <w:rPr>
                <w:rFonts w:ascii="Arial" w:cs="Arial" w:eastAsia="Arial" w:hAnsi="Arial"/>
                <w:sz w:val="18"/>
                <w:szCs w:val="18"/>
                <w:color w:val="auto"/>
              </w:rPr>
              <w:t>288,713</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38,967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1340" w:type="dxa"/>
            <w:vAlign w:val="bottom"/>
            <w:gridSpan w:val="2"/>
            <w:shd w:val="clear" w:color="auto" w:fill="D6F3E8"/>
          </w:tcPr>
          <w:p>
            <w:pPr>
              <w:jc w:val="right"/>
              <w:ind w:right="36"/>
              <w:spacing w:after="0"/>
              <w:rPr>
                <w:sz w:val="20"/>
                <w:szCs w:val="20"/>
                <w:color w:val="auto"/>
              </w:rPr>
            </w:pPr>
            <w:r>
              <w:rPr>
                <w:rFonts w:ascii="Arial" w:cs="Arial" w:eastAsia="Arial" w:hAnsi="Arial"/>
                <w:sz w:val="18"/>
                <w:szCs w:val="18"/>
                <w:color w:val="auto"/>
              </w:rPr>
              <w:t>17,654</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397,393</w:t>
            </w:r>
          </w:p>
        </w:tc>
        <w:tc>
          <w:tcPr>
            <w:tcW w:w="3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22,912</w:t>
            </w:r>
          </w:p>
        </w:tc>
        <w:tc>
          <w:tcPr>
            <w:tcW w:w="1340" w:type="dxa"/>
            <w:vAlign w:val="bottom"/>
            <w:gridSpan w:val="2"/>
            <w:shd w:val="clear" w:color="auto" w:fill="D6F3E8"/>
          </w:tcPr>
          <w:p>
            <w:pPr>
              <w:jc w:val="right"/>
              <w:ind w:right="8"/>
              <w:spacing w:after="0"/>
              <w:rPr>
                <w:sz w:val="20"/>
                <w:szCs w:val="20"/>
                <w:color w:val="auto"/>
              </w:rPr>
            </w:pPr>
            <w:r>
              <w:rPr>
                <w:rFonts w:ascii="Arial" w:cs="Arial" w:eastAsia="Arial" w:hAnsi="Arial"/>
                <w:sz w:val="18"/>
                <w:szCs w:val="18"/>
                <w:color w:val="auto"/>
              </w:rPr>
              <w:t>13,334</w:t>
            </w:r>
          </w:p>
        </w:tc>
        <w:tc>
          <w:tcPr>
            <w:tcW w:w="134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189,638</w:t>
            </w:r>
          </w:p>
        </w:tc>
        <w:tc>
          <w:tcPr>
            <w:tcW w:w="1340" w:type="dxa"/>
            <w:vAlign w:val="bottom"/>
            <w:gridSpan w:val="2"/>
            <w:shd w:val="clear" w:color="auto" w:fill="D6F3E8"/>
          </w:tcPr>
          <w:p>
            <w:pPr>
              <w:jc w:val="right"/>
              <w:ind w:right="28"/>
              <w:spacing w:after="0"/>
              <w:rPr>
                <w:sz w:val="20"/>
                <w:szCs w:val="20"/>
                <w:color w:val="auto"/>
              </w:rPr>
            </w:pPr>
            <w:r>
              <w:rPr>
                <w:rFonts w:ascii="Arial" w:cs="Arial" w:eastAsia="Arial" w:hAnsi="Arial"/>
                <w:sz w:val="18"/>
                <w:szCs w:val="18"/>
                <w:color w:val="auto"/>
              </w:rPr>
              <w:t>38,967</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-1038860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-1038860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-1038860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-1038860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-781685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-781685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-781685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-781685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-781685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-781685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-781685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-781685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380"/>
          </w:cols>
          <w:pgMar w:left="240" w:top="108" w:right="279" w:bottom="0" w:gutter="0" w:footer="0" w:header="0"/>
        </w:sectPr>
      </w:pPr>
    </w:p>
    <w:bookmarkStart w:id="10" w:name="page11"/>
    <w:bookmarkEnd w:id="10"/>
    <w:p>
      <w:pPr>
        <w:ind w:left="540" w:right="480" w:hanging="478"/>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14662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6215" cy="8890"/>
                    </a:xfrm>
                    <a:prstGeom prst="rect">
                      <a:avLst/>
                    </a:prstGeom>
                    <a:noFill/>
                  </pic:spPr>
                </pic:pic>
              </a:graphicData>
            </a:graphic>
          </wp:anchor>
        </w:drawing>
        <w:t>The value realized is the difference between the market price of the Company’s Common Stock on the date such options were exercised and the exercise price.</w:t>
      </w:r>
    </w:p>
    <w:p>
      <w:pPr>
        <w:spacing w:after="0" w:line="62" w:lineRule="exact"/>
        <w:rPr>
          <w:rFonts w:ascii="Arial" w:cs="Arial" w:eastAsia="Arial" w:hAnsi="Arial"/>
          <w:sz w:val="18"/>
          <w:szCs w:val="18"/>
          <w:color w:val="auto"/>
        </w:rPr>
      </w:pPr>
    </w:p>
    <w:p>
      <w:pPr>
        <w:ind w:left="540" w:right="40" w:hanging="478"/>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amount by which $32.53 (the closing price of the Company’s Common Stock on August 26, 2005 (August 27, 2005 being a non-business day)) exceeded the exercise prices of unexercised options. There is no guarantee that, if and when these options are exercised, they will have this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Plan—Awards in Fiscal 2005</w:t>
      </w:r>
    </w:p>
    <w:p>
      <w:pPr>
        <w:spacing w:after="0" w:line="202" w:lineRule="exact"/>
        <w:rPr>
          <w:sz w:val="20"/>
          <w:szCs w:val="20"/>
          <w:color w:val="auto"/>
        </w:rPr>
      </w:pPr>
    </w:p>
    <w:p>
      <w:pPr>
        <w:ind w:right="120" w:firstLine="357"/>
        <w:spacing w:after="0" w:line="259" w:lineRule="auto"/>
        <w:rPr>
          <w:sz w:val="20"/>
          <w:szCs w:val="20"/>
          <w:color w:val="auto"/>
        </w:rPr>
      </w:pPr>
      <w:r>
        <w:rPr>
          <w:rFonts w:ascii="Arial" w:cs="Arial" w:eastAsia="Arial" w:hAnsi="Arial"/>
          <w:sz w:val="18"/>
          <w:szCs w:val="18"/>
          <w:color w:val="auto"/>
        </w:rPr>
        <w:t>The following table provides information concerning the participation of the named executive officers in a long-term compensation plan called the “Officers’ Long-Term Incentive Plan, three-year fiscal period 2005, 2006 and 2007.” Under this Plan, they were awarded the right to stock grants made in restricted shares of the Company’s Common Stock (or at the election of the participating officer, in cash) payable in fiscal 2008 based upon the achievement of long-term performance results as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measured at the end of the three-year fiscal period. Actual payouts of incentive compensation, if any, will be determined based upon the financial performance of the Company as established by a three-year plan approved by the Human Resources Committee, as administrator of this Plan. Under the Plan, the financial performance measurements are earnings per share and return on equity of the Company for the three-year period. Reference is made to the description of the plan under the caption “Report of the Human Resources Committee on Executive Compensation”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Performance Period</w:t>
            </w:r>
          </w:p>
        </w:tc>
        <w:tc>
          <w:tcPr>
            <w:tcW w:w="38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20" w:type="dxa"/>
            <w:vAlign w:val="bottom"/>
            <w:gridSpan w:val="2"/>
            <w:vMerge w:val="continue"/>
          </w:tcPr>
          <w:p>
            <w:pPr>
              <w:spacing w:after="0"/>
              <w:rPr>
                <w:sz w:val="8"/>
                <w:szCs w:val="8"/>
                <w:color w:val="auto"/>
              </w:rPr>
            </w:pPr>
          </w:p>
        </w:tc>
        <w:tc>
          <w:tcPr>
            <w:tcW w:w="380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89"/>
              </w:rPr>
              <w:t xml:space="preserve">Non-Stock Price-Based Plans </w:t>
            </w:r>
            <w:r>
              <w:rPr>
                <w:rFonts w:ascii="Arial" w:cs="Arial" w:eastAsia="Arial" w:hAnsi="Arial"/>
                <w:sz w:val="23"/>
                <w:szCs w:val="23"/>
                <w:b w:val="1"/>
                <w:bCs w:val="1"/>
                <w:color w:val="auto"/>
                <w:w w:val="89"/>
                <w:vertAlign w:val="superscript"/>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320" w:type="dxa"/>
            <w:vAlign w:val="bottom"/>
          </w:tcPr>
          <w:p>
            <w:pPr>
              <w:spacing w:after="0"/>
              <w:rPr>
                <w:sz w:val="14"/>
                <w:szCs w:val="14"/>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(or Other Period</w:t>
            </w:r>
          </w:p>
        </w:tc>
        <w:tc>
          <w:tcPr>
            <w:tcW w:w="38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10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20" w:type="dxa"/>
            <w:vAlign w:val="bottom"/>
            <w:vMerge w:val="restart"/>
          </w:tcPr>
          <w:p>
            <w:pPr>
              <w:spacing w:after="0"/>
              <w:rPr>
                <w:sz w:val="5"/>
                <w:szCs w:val="5"/>
                <w:color w:val="auto"/>
              </w:rPr>
            </w:pPr>
          </w:p>
        </w:tc>
        <w:tc>
          <w:tcPr>
            <w:tcW w:w="272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Until Maturation</w:t>
            </w:r>
          </w:p>
        </w:tc>
        <w:tc>
          <w:tcPr>
            <w:tcW w:w="10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7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left="260"/>
              <w:spacing w:after="0"/>
              <w:rPr>
                <w:sz w:val="20"/>
                <w:szCs w:val="20"/>
                <w:color w:val="auto"/>
              </w:rPr>
            </w:pPr>
            <w:r>
              <w:rPr>
                <w:rFonts w:ascii="Arial" w:cs="Arial" w:eastAsia="Arial" w:hAnsi="Arial"/>
                <w:sz w:val="12"/>
                <w:szCs w:val="12"/>
                <w:b w:val="1"/>
                <w:bCs w:val="1"/>
                <w:color w:val="auto"/>
                <w:w w:val="95"/>
              </w:rPr>
              <w:t>(1)</w:t>
            </w:r>
          </w:p>
        </w:tc>
        <w:tc>
          <w:tcPr>
            <w:tcW w:w="320" w:type="dxa"/>
            <w:vAlign w:val="bottom"/>
          </w:tcPr>
          <w:p>
            <w:pPr>
              <w:spacing w:after="0"/>
              <w:rPr>
                <w:sz w:val="24"/>
                <w:szCs w:val="24"/>
                <w:color w:val="auto"/>
              </w:rPr>
            </w:pPr>
          </w:p>
        </w:tc>
        <w:tc>
          <w:tcPr>
            <w:tcW w:w="2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 xml:space="preserve">of Payment) </w:t>
            </w:r>
            <w:r>
              <w:rPr>
                <w:rFonts w:ascii="Arial" w:cs="Arial" w:eastAsia="Arial" w:hAnsi="Arial"/>
                <w:sz w:val="23"/>
                <w:szCs w:val="23"/>
                <w:b w:val="1"/>
                <w:bCs w:val="1"/>
                <w:color w:val="auto"/>
                <w:w w:val="89"/>
                <w:vertAlign w:val="superscript"/>
              </w:rPr>
              <w:t>(2)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Threshold (%)</w:t>
            </w:r>
          </w:p>
        </w:tc>
        <w:tc>
          <w:tcPr>
            <w:tcW w:w="3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Target (%)</w:t>
            </w:r>
          </w:p>
        </w:tc>
        <w:tc>
          <w:tcPr>
            <w:tcW w:w="32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Maximum (%)</w:t>
            </w:r>
          </w:p>
        </w:tc>
        <w:tc>
          <w:tcPr>
            <w:tcW w:w="0" w:type="dxa"/>
            <w:vAlign w:val="bottom"/>
          </w:tcPr>
          <w:p>
            <w:pPr>
              <w:spacing w:after="0"/>
              <w:rPr>
                <w:sz w:val="1"/>
                <w:szCs w:val="1"/>
                <w:color w:val="auto"/>
              </w:rPr>
            </w:pPr>
          </w:p>
        </w:tc>
      </w:tr>
      <w:tr>
        <w:trPr>
          <w:trHeight w:val="105"/>
        </w:trPr>
        <w:tc>
          <w:tcPr>
            <w:tcW w:w="20" w:type="dxa"/>
            <w:vAlign w:val="bottom"/>
            <w:tcBorders>
              <w:top w:val="single" w:sz="8" w:color="808080"/>
            </w:tcBorders>
            <w:vMerge w:val="restart"/>
          </w:tcPr>
          <w:p>
            <w:pPr>
              <w:spacing w:after="0"/>
              <w:rPr>
                <w:sz w:val="9"/>
                <w:szCs w:val="9"/>
                <w:color w:val="auto"/>
              </w:rPr>
            </w:pPr>
          </w:p>
        </w:tc>
        <w:tc>
          <w:tcPr>
            <w:tcW w:w="294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0" w:type="dxa"/>
            <w:vAlign w:val="bottom"/>
            <w:tcBorders>
              <w:top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D6F3E8"/>
          </w:tcPr>
          <w:p>
            <w:pPr>
              <w:spacing w:after="0"/>
              <w:rPr>
                <w:sz w:val="20"/>
                <w:szCs w:val="20"/>
                <w:color w:val="auto"/>
              </w:rPr>
            </w:pPr>
            <w:r>
              <w:rPr>
                <w:rFonts w:ascii="Arial" w:cs="Arial" w:eastAsia="Arial" w:hAnsi="Arial"/>
                <w:sz w:val="18"/>
                <w:szCs w:val="18"/>
                <w:color w:val="auto"/>
              </w:rPr>
              <w:t>Bruce D. Hertzke</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272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Fiscal 2005-2007</w:t>
            </w:r>
          </w:p>
        </w:tc>
        <w:tc>
          <w:tcPr>
            <w:tcW w:w="102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D6F3E8"/>
          </w:tcPr>
          <w:p>
            <w:pPr>
              <w:jc w:val="right"/>
              <w:ind w:right="208"/>
              <w:spacing w:after="0"/>
              <w:rPr>
                <w:sz w:val="20"/>
                <w:szCs w:val="20"/>
                <w:color w:val="auto"/>
              </w:rPr>
            </w:pPr>
            <w:r>
              <w:rPr>
                <w:rFonts w:ascii="Arial" w:cs="Arial" w:eastAsia="Arial" w:hAnsi="Arial"/>
                <w:sz w:val="18"/>
                <w:szCs w:val="18"/>
                <w:color w:val="auto"/>
              </w:rPr>
              <w:t>37.5</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Edwin F. Barker</w:t>
            </w:r>
          </w:p>
        </w:tc>
        <w:tc>
          <w:tcPr>
            <w:tcW w:w="32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720" w:type="dxa"/>
            <w:vAlign w:val="bottom"/>
            <w:gridSpan w:val="2"/>
          </w:tcPr>
          <w:p>
            <w:pPr>
              <w:ind w:left="620"/>
              <w:spacing w:after="0"/>
              <w:rPr>
                <w:sz w:val="20"/>
                <w:szCs w:val="20"/>
                <w:color w:val="auto"/>
              </w:rPr>
            </w:pPr>
            <w:r>
              <w:rPr>
                <w:rFonts w:ascii="Arial" w:cs="Arial" w:eastAsia="Arial" w:hAnsi="Arial"/>
                <w:sz w:val="18"/>
                <w:szCs w:val="18"/>
                <w:color w:val="auto"/>
              </w:rPr>
              <w:t>Fiscal 2005-2007</w:t>
            </w:r>
          </w:p>
        </w:tc>
        <w:tc>
          <w:tcPr>
            <w:tcW w:w="1020" w:type="dxa"/>
            <w:vAlign w:val="bottom"/>
          </w:tcPr>
          <w:p>
            <w:pPr>
              <w:jc w:val="right"/>
              <w:ind w:right="257"/>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308"/>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D6F3E8"/>
          </w:tcPr>
          <w:p>
            <w:pPr>
              <w:spacing w:after="0"/>
              <w:rPr>
                <w:sz w:val="20"/>
                <w:szCs w:val="20"/>
                <w:color w:val="auto"/>
              </w:rPr>
            </w:pPr>
            <w:r>
              <w:rPr>
                <w:rFonts w:ascii="Arial" w:cs="Arial" w:eastAsia="Arial" w:hAnsi="Arial"/>
                <w:sz w:val="18"/>
                <w:szCs w:val="18"/>
                <w:color w:val="auto"/>
              </w:rPr>
              <w:t>Raymond M. Beebe</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272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Fiscal 2005-2007</w:t>
            </w:r>
          </w:p>
        </w:tc>
        <w:tc>
          <w:tcPr>
            <w:tcW w:w="102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D6F3E8"/>
          </w:tcPr>
          <w:p>
            <w:pPr>
              <w:jc w:val="right"/>
              <w:ind w:right="208"/>
              <w:spacing w:after="0"/>
              <w:rPr>
                <w:sz w:val="20"/>
                <w:szCs w:val="20"/>
                <w:color w:val="auto"/>
              </w:rPr>
            </w:pPr>
            <w:r>
              <w:rPr>
                <w:rFonts w:ascii="Arial" w:cs="Arial" w:eastAsia="Arial" w:hAnsi="Arial"/>
                <w:sz w:val="18"/>
                <w:szCs w:val="18"/>
                <w:color w:val="auto"/>
              </w:rPr>
              <w:t>37.5</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William J. O’Leary</w:t>
            </w:r>
          </w:p>
        </w:tc>
        <w:tc>
          <w:tcPr>
            <w:tcW w:w="32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720" w:type="dxa"/>
            <w:vAlign w:val="bottom"/>
            <w:gridSpan w:val="2"/>
          </w:tcPr>
          <w:p>
            <w:pPr>
              <w:ind w:left="620"/>
              <w:spacing w:after="0"/>
              <w:rPr>
                <w:sz w:val="20"/>
                <w:szCs w:val="20"/>
                <w:color w:val="auto"/>
              </w:rPr>
            </w:pPr>
            <w:r>
              <w:rPr>
                <w:rFonts w:ascii="Arial" w:cs="Arial" w:eastAsia="Arial" w:hAnsi="Arial"/>
                <w:sz w:val="18"/>
                <w:szCs w:val="18"/>
                <w:color w:val="auto"/>
              </w:rPr>
              <w:t>Fiscal 2005-2007</w:t>
            </w:r>
          </w:p>
        </w:tc>
        <w:tc>
          <w:tcPr>
            <w:tcW w:w="1020" w:type="dxa"/>
            <w:vAlign w:val="bottom"/>
          </w:tcPr>
          <w:p>
            <w:pPr>
              <w:jc w:val="right"/>
              <w:ind w:right="257"/>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ind w:right="308"/>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208"/>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D6F3E8"/>
          </w:tcPr>
          <w:p>
            <w:pPr>
              <w:spacing w:after="0"/>
              <w:rPr>
                <w:sz w:val="20"/>
                <w:szCs w:val="20"/>
                <w:color w:val="auto"/>
              </w:rPr>
            </w:pPr>
            <w:r>
              <w:rPr>
                <w:rFonts w:ascii="Arial" w:cs="Arial" w:eastAsia="Arial" w:hAnsi="Arial"/>
                <w:sz w:val="18"/>
                <w:szCs w:val="18"/>
                <w:color w:val="auto"/>
              </w:rPr>
              <w:t>Robert J. Olson</w:t>
            </w:r>
          </w:p>
        </w:tc>
        <w:tc>
          <w:tcPr>
            <w:tcW w:w="320" w:type="dxa"/>
            <w:vAlign w:val="bottom"/>
            <w:shd w:val="clear" w:color="auto" w:fill="D6F3E8"/>
          </w:tcPr>
          <w:p>
            <w:pPr>
              <w:spacing w:after="0"/>
              <w:rPr>
                <w:sz w:val="18"/>
                <w:szCs w:val="18"/>
                <w:color w:val="auto"/>
              </w:rPr>
            </w:pPr>
          </w:p>
        </w:tc>
        <w:tc>
          <w:tcPr>
            <w:tcW w:w="1020" w:type="dxa"/>
            <w:vAlign w:val="bottom"/>
            <w:shd w:val="clear" w:color="auto" w:fill="D6F3E8"/>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272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Fiscal 2005-2007</w:t>
            </w:r>
          </w:p>
        </w:tc>
        <w:tc>
          <w:tcPr>
            <w:tcW w:w="1020" w:type="dxa"/>
            <w:vAlign w:val="bottom"/>
            <w:shd w:val="clear" w:color="auto" w:fill="D6F3E8"/>
          </w:tcPr>
          <w:p>
            <w:pPr>
              <w:jc w:val="right"/>
              <w:ind w:right="257"/>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D6F3E8"/>
          </w:tcPr>
          <w:p>
            <w:pPr>
              <w:jc w:val="right"/>
              <w:ind w:right="308"/>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D6F3E8"/>
          </w:tcPr>
          <w:p>
            <w:pPr>
              <w:jc w:val="right"/>
              <w:ind w:right="208"/>
              <w:spacing w:after="0"/>
              <w:rPr>
                <w:sz w:val="20"/>
                <w:szCs w:val="20"/>
                <w:color w:val="auto"/>
              </w:rPr>
            </w:pPr>
            <w:r>
              <w:rPr>
                <w:rFonts w:ascii="Arial" w:cs="Arial" w:eastAsia="Arial" w:hAnsi="Arial"/>
                <w:sz w:val="18"/>
                <w:szCs w:val="18"/>
                <w:color w:val="auto"/>
              </w:rPr>
              <w:t>37.5</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-1038860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-1038860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-781685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-781685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-781685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-781685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-781685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-781685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40" w:hanging="478"/>
        <w:spacing w:after="0" w:line="30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actual incentive compensation, if any, that will be paid out after the conclusion of the three-year period cannot be determined because the incentive compensation earned by the named executive officers will be based on the Company’s future performance. The incentive compensation will be a percentage of the officer’s annualized base salary as of January 2005. The annualized base salary as of January 2005 for each of the named officers is as follows: Mr. Hertzke $523,615; Mr. Barker $364,000; Mr. Beebe $235,670; Mr. O’Leary $222,600; and Mr. Olson $235,670.</w:t>
      </w:r>
    </w:p>
    <w:p>
      <w:pPr>
        <w:spacing w:after="0" w:line="46" w:lineRule="exact"/>
        <w:rPr>
          <w:rFonts w:ascii="Arial" w:cs="Arial" w:eastAsia="Arial" w:hAnsi="Arial"/>
          <w:sz w:val="16"/>
          <w:szCs w:val="16"/>
          <w:color w:val="auto"/>
        </w:rPr>
      </w:pPr>
    </w:p>
    <w:p>
      <w:pPr>
        <w:ind w:left="540" w:right="540" w:hanging="478"/>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Payouts will be made in cash in fiscal 2008 depending on the level of attainment of the Plan approved by the Human Resources Committee for achievement of return on equity and earnings per share for the three-year period.</w:t>
      </w:r>
    </w:p>
    <w:p>
      <w:pPr>
        <w:spacing w:after="0" w:line="62" w:lineRule="exact"/>
        <w:rPr>
          <w:rFonts w:ascii="Arial" w:cs="Arial" w:eastAsia="Arial" w:hAnsi="Arial"/>
          <w:sz w:val="18"/>
          <w:szCs w:val="18"/>
          <w:color w:val="auto"/>
        </w:rPr>
      </w:pPr>
    </w:p>
    <w:p>
      <w:pPr>
        <w:ind w:left="540" w:right="140" w:hanging="478"/>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Shown in these columns are the percentages of the named executive officers’ annualized base salary as of January 2005 that would be payable under the Plan if the Company attains the threshold, target or maximum achievement of financial objectives of earnings per share and return on equity. If actual Company performance falls below an established level, no payments are made.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provide pension benefits for its employees, including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Human Resources Committee on Executive Compensation</w:t>
      </w:r>
    </w:p>
    <w:p>
      <w:pPr>
        <w:spacing w:after="0" w:line="202"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41" w:lineRule="exact"/>
        <w:rPr>
          <w:sz w:val="20"/>
          <w:szCs w:val="20"/>
          <w:color w:val="auto"/>
        </w:rPr>
      </w:pPr>
    </w:p>
    <w:p>
      <w:pPr>
        <w:ind w:right="200" w:firstLine="357"/>
        <w:spacing w:after="0" w:line="277" w:lineRule="auto"/>
        <w:rPr>
          <w:sz w:val="20"/>
          <w:szCs w:val="20"/>
          <w:color w:val="auto"/>
        </w:rPr>
      </w:pPr>
      <w:r>
        <w:rPr>
          <w:rFonts w:ascii="Arial" w:cs="Arial" w:eastAsia="Arial" w:hAnsi="Arial"/>
          <w:sz w:val="18"/>
          <w:szCs w:val="18"/>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30"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97" w:lineRule="exact"/>
        <w:rPr>
          <w:sz w:val="20"/>
          <w:szCs w:val="20"/>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pacing w:after="0" w:line="239" w:lineRule="exact"/>
        <w:rPr>
          <w:sz w:val="20"/>
          <w:szCs w:val="20"/>
          <w:color w:val="auto"/>
        </w:rPr>
      </w:pPr>
    </w:p>
    <w:p>
      <w:pPr>
        <w:ind w:right="320" w:firstLine="357"/>
        <w:spacing w:after="0" w:line="277" w:lineRule="auto"/>
        <w:rPr>
          <w:sz w:val="20"/>
          <w:szCs w:val="20"/>
          <w:color w:val="auto"/>
        </w:rPr>
      </w:pPr>
      <w:r>
        <w:rPr>
          <w:rFonts w:ascii="Arial" w:cs="Arial" w:eastAsia="Arial" w:hAnsi="Arial"/>
          <w:sz w:val="18"/>
          <w:szCs w:val="18"/>
          <w:color w:val="auto"/>
        </w:rPr>
        <w:t>The Company’s executive compensation is primarily based on the following three components, each of which is intended to help achieve the overall compensation philosophy: base salary, quarterly incentive awards and long-term incentives.</w:t>
      </w:r>
    </w:p>
    <w:p>
      <w:pPr>
        <w:sectPr>
          <w:pgSz w:w="11900" w:h="16838" w:orient="portrait"/>
          <w:cols w:equalWidth="0" w:num="1">
            <w:col w:w="11380"/>
          </w:cols>
          <w:pgMar w:left="240" w:top="652" w:right="279" w:bottom="261"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Base salary levels for the Company’s named executive officers are set by the Committee and approved by the Board of Directors. In determining base salary levels and annual salary adjustments for the named executive officers, including the CEO, the Committee considers market compensation levels of similarly sized manufacturing companies as well as individual performance and contributions.</w:t>
      </w:r>
    </w:p>
    <w:p>
      <w:pPr>
        <w:spacing w:after="0" w:line="141" w:lineRule="exact"/>
        <w:rPr>
          <w:sz w:val="20"/>
          <w:szCs w:val="20"/>
          <w:color w:val="auto"/>
        </w:rPr>
      </w:pPr>
    </w:p>
    <w:p>
      <w:pPr>
        <w:ind w:right="20" w:firstLine="357"/>
        <w:spacing w:after="0" w:line="279" w:lineRule="auto"/>
        <w:rPr>
          <w:sz w:val="20"/>
          <w:szCs w:val="20"/>
          <w:color w:val="auto"/>
        </w:rPr>
      </w:pPr>
      <w:r>
        <w:rPr>
          <w:rFonts w:ascii="Arial" w:cs="Arial" w:eastAsia="Arial" w:hAnsi="Arial"/>
          <w:sz w:val="17"/>
          <w:szCs w:val="17"/>
          <w:color w:val="auto"/>
        </w:rPr>
        <w:t>The base salary of Mr. Hertzke, as the CEO, was $486,450 for the period from the beginning of fiscal 2005 until January 3, 2005 and $503,476 thereafter and in fiscal 2004 was $470,000 for the period from the beginning of fiscal 2004 until January 1, 2004 and $486,450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31" w:lineRule="exact"/>
        <w:rPr>
          <w:sz w:val="20"/>
          <w:szCs w:val="20"/>
          <w:color w:val="auto"/>
        </w:rPr>
      </w:pPr>
    </w:p>
    <w:p>
      <w:pPr>
        <w:ind w:firstLine="357"/>
        <w:spacing w:after="0" w:line="276" w:lineRule="auto"/>
        <w:rPr>
          <w:sz w:val="20"/>
          <w:szCs w:val="20"/>
          <w:color w:val="auto"/>
        </w:rPr>
      </w:pPr>
      <w:r>
        <w:rPr>
          <w:rFonts w:ascii="Arial" w:cs="Arial" w:eastAsia="Arial" w:hAnsi="Arial"/>
          <w:sz w:val="17"/>
          <w:szCs w:val="17"/>
          <w:color w:val="auto"/>
        </w:rPr>
        <w:t xml:space="preserve">The Company’s officers including the CEO are eligible for quarterly incentive awards under the Company’s Officers Incentive Compensation Plan Fiscal Period 2005 (the </w:t>
      </w:r>
      <w:r>
        <w:rPr>
          <w:rFonts w:ascii="Arial" w:cs="Arial" w:eastAsia="Arial" w:hAnsi="Arial"/>
          <w:sz w:val="17"/>
          <w:szCs w:val="17"/>
          <w:i w:val="1"/>
          <w:iCs w:val="1"/>
          <w:color w:val="auto"/>
        </w:rPr>
        <w:t>“Officers Incentive Compensation Plan”</w:t>
      </w:r>
      <w:r>
        <w:rPr>
          <w:rFonts w:ascii="Arial" w:cs="Arial" w:eastAsia="Arial" w:hAnsi="Arial"/>
          <w:sz w:val="17"/>
          <w:szCs w:val="17"/>
          <w:color w:val="auto"/>
        </w:rPr>
        <w:t xml:space="preserve"> ). Under the Officers Incentive Compensation Plan, the incentive awards are based upon financial performance of the Company, as established by the Board of Directors. The Officers Incentive Compensation Plan is an annual program that provides for quarterly cumulative measurements of financial performance and an opportunity for quarterly incentive payments based on financial results measured against the management plan adopted by the Board of Directors (the </w:t>
      </w:r>
      <w:r>
        <w:rPr>
          <w:rFonts w:ascii="Arial" w:cs="Arial" w:eastAsia="Arial" w:hAnsi="Arial"/>
          <w:sz w:val="17"/>
          <w:szCs w:val="17"/>
          <w:i w:val="1"/>
          <w:iCs w:val="1"/>
          <w:color w:val="auto"/>
        </w:rPr>
        <w:t>“Management Plan”</w:t>
      </w:r>
      <w:r>
        <w:rPr>
          <w:rFonts w:ascii="Arial" w:cs="Arial" w:eastAsia="Arial" w:hAnsi="Arial"/>
          <w:sz w:val="17"/>
          <w:szCs w:val="17"/>
          <w:color w:val="auto"/>
        </w:rPr>
        <w:t xml:space="preserve"> ).</w:t>
      </w:r>
    </w:p>
    <w:p>
      <w:pPr>
        <w:spacing w:after="0" w:line="146" w:lineRule="exact"/>
        <w:rPr>
          <w:sz w:val="20"/>
          <w:szCs w:val="20"/>
          <w:color w:val="auto"/>
        </w:rPr>
      </w:pPr>
    </w:p>
    <w:p>
      <w:pPr>
        <w:ind w:right="40" w:firstLine="357"/>
        <w:spacing w:after="0" w:line="302" w:lineRule="auto"/>
        <w:rPr>
          <w:sz w:val="20"/>
          <w:szCs w:val="20"/>
          <w:color w:val="auto"/>
        </w:rPr>
      </w:pPr>
      <w:r>
        <w:rPr>
          <w:rFonts w:ascii="Arial" w:cs="Arial" w:eastAsia="Arial" w:hAnsi="Arial"/>
          <w:sz w:val="16"/>
          <w:szCs w:val="16"/>
          <w:color w:val="auto"/>
        </w:rPr>
        <w:t>The financial performance measurements for the Officers Incentive Compensation Plan are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 and return on equity (</w:t>
      </w:r>
      <w:r>
        <w:rPr>
          <w:rFonts w:ascii="Arial" w:cs="Arial" w:eastAsia="Arial" w:hAnsi="Arial"/>
          <w:sz w:val="16"/>
          <w:szCs w:val="16"/>
          <w:i w:val="1"/>
          <w:iCs w:val="1"/>
          <w:color w:val="auto"/>
        </w:rPr>
        <w:t>“ROE”</w:t>
      </w:r>
      <w:r>
        <w:rPr>
          <w:rFonts w:ascii="Arial" w:cs="Arial" w:eastAsia="Arial" w:hAnsi="Arial"/>
          <w:sz w:val="16"/>
          <w:szCs w:val="16"/>
          <w:color w:val="auto"/>
        </w:rPr>
        <w:t xml:space="preserve"> )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Officers Incentive Compensation Plan provides an excellent link between the value created for shareholders and incentives paid to participants.</w:t>
      </w:r>
    </w:p>
    <w:p>
      <w:pPr>
        <w:spacing w:after="0" w:line="114"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Under the Officers Incentive Compensation Plan, the amount of the participants’ incentive compensation for the quarter shall be in direct proportion to the Company’s financial performance expressed as a percentage (Financial Factor) against the base salary bonus (Target) for each participant as determined by the Board of Directors prior to the commencement of the fiscal year.</w:t>
      </w:r>
    </w:p>
    <w:p>
      <w:pPr>
        <w:spacing w:after="0" w:line="141" w:lineRule="exact"/>
        <w:rPr>
          <w:sz w:val="20"/>
          <w:szCs w:val="20"/>
          <w:color w:val="auto"/>
        </w:rPr>
      </w:pPr>
    </w:p>
    <w:p>
      <w:pPr>
        <w:ind w:right="180" w:firstLine="357"/>
        <w:spacing w:after="0" w:line="270" w:lineRule="auto"/>
        <w:rPr>
          <w:sz w:val="20"/>
          <w:szCs w:val="20"/>
          <w:color w:val="auto"/>
        </w:rPr>
      </w:pPr>
      <w:r>
        <w:rPr>
          <w:rFonts w:ascii="Arial" w:cs="Arial" w:eastAsia="Arial" w:hAnsi="Arial"/>
          <w:sz w:val="17"/>
          <w:szCs w:val="17"/>
          <w:color w:val="auto"/>
        </w:rPr>
        <w:t>The Officers Incentive Compensation Plan provides for a bonus (Target) of 60% of base salary (comprised of 2/3 cash and 1/3 stock (or in cash at the participant’s election)), at 100% achievement of the financial objectives of EPS and ROE for participating officers, except the CEO. The Officers Incentive Compensation Plan provides for a bonus (Target) of 105% of base salary (comprised of 2/3 cash and 1/3 stock (or in cash at the participant’s election)), at 100% achievement of the financial objectives of EPS and ROE for the CEO.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cash payment is paid as soon as practical after the final fiscal year-end compensation accounting and payment of any remaining incentive compensation holdback for the fiscal year.</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80" w:firstLine="357"/>
        <w:spacing w:after="0" w:line="264" w:lineRule="auto"/>
        <w:rPr>
          <w:sz w:val="20"/>
          <w:szCs w:val="20"/>
          <w:color w:val="auto"/>
        </w:rPr>
      </w:pPr>
      <w:r>
        <w:rPr>
          <w:rFonts w:ascii="Arial" w:cs="Arial" w:eastAsia="Arial" w:hAnsi="Arial"/>
          <w:sz w:val="18"/>
          <w:szCs w:val="18"/>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Revenue Growth</w:t>
            </w:r>
          </w:p>
        </w:tc>
        <w:tc>
          <w:tcPr>
            <w:tcW w:w="1220" w:type="dxa"/>
            <w:vAlign w:val="bottom"/>
          </w:tcPr>
          <w:p>
            <w:pPr>
              <w:ind w:left="108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Customer Satisfaction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Market Share</w:t>
            </w:r>
          </w:p>
        </w:tc>
        <w:tc>
          <w:tcPr>
            <w:tcW w:w="1220" w:type="dxa"/>
            <w:vAlign w:val="bottom"/>
          </w:tcPr>
          <w:p>
            <w:pPr>
              <w:ind w:left="108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Inventory Management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Product Quality</w:t>
            </w:r>
          </w:p>
        </w:tc>
        <w:tc>
          <w:tcPr>
            <w:tcW w:w="1220" w:type="dxa"/>
            <w:vAlign w:val="bottom"/>
          </w:tcPr>
          <w:p>
            <w:pPr>
              <w:ind w:left="108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rPr>
              <w:t>Technical Innovation</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Product Introductions</w:t>
            </w:r>
          </w:p>
        </w:tc>
        <w:tc>
          <w:tcPr>
            <w:tcW w:w="1220" w:type="dxa"/>
            <w:vAlign w:val="bottom"/>
          </w:tcPr>
          <w:p>
            <w:pPr>
              <w:ind w:left="1080"/>
              <w:spacing w:after="0"/>
              <w:rPr>
                <w:sz w:val="20"/>
                <w:szCs w:val="20"/>
                <w:color w:val="auto"/>
              </w:rPr>
            </w:pPr>
            <w:r>
              <w:rPr>
                <w:rFonts w:ascii="Arial" w:cs="Arial" w:eastAsia="Arial" w:hAnsi="Arial"/>
                <w:sz w:val="18"/>
                <w:szCs w:val="18"/>
                <w:color w:val="auto"/>
              </w:rPr>
              <w:t>•</w:t>
            </w:r>
          </w:p>
        </w:tc>
        <w:tc>
          <w:tcPr>
            <w:tcW w:w="1980" w:type="dxa"/>
            <w:vAlign w:val="bottom"/>
          </w:tcPr>
          <w:p>
            <w:pPr>
              <w:ind w:left="100"/>
              <w:spacing w:after="0"/>
              <w:rPr>
                <w:sz w:val="20"/>
                <w:szCs w:val="20"/>
                <w:color w:val="auto"/>
              </w:rPr>
            </w:pPr>
            <w:r>
              <w:rPr>
                <w:rFonts w:ascii="Arial" w:cs="Arial" w:eastAsia="Arial" w:hAnsi="Arial"/>
                <w:sz w:val="18"/>
                <w:szCs w:val="18"/>
                <w:color w:val="auto"/>
                <w:w w:val="88"/>
              </w:rPr>
              <w:t>Ethical Business Practices</w:t>
            </w:r>
          </w:p>
        </w:tc>
      </w:tr>
    </w:tbl>
    <w:p>
      <w:pPr>
        <w:spacing w:after="0" w:line="16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For purposes of the Officers Incentive Compensation Plan, the Board determined that industry performance, market share, product quality and planning (both strategic and succession) would be the strategic factors used in determining this compensation.</w:t>
      </w:r>
    </w:p>
    <w:p>
      <w:pPr>
        <w:spacing w:after="0" w:line="143"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(including the annual supplementary cash match payment described above) within 15 days of the Effective Date (as defined in the Officers Incentive Compensation Plan) based on the Committee’s estimate of the Company’s financial performance through the end of the fiscal year in which such Change in Control occurs.</w:t>
      </w:r>
    </w:p>
    <w:p>
      <w:pPr>
        <w:spacing w:after="0" w:line="106"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Financial performance of less than 80% of the Management Plan for both EPS and ROE results in no bonus and the maximum bonus will be paid at attainment of 125% of the Management Plan for both elements.</w:t>
      </w:r>
    </w:p>
    <w:p>
      <w:pPr>
        <w:spacing w:after="0" w:line="130" w:lineRule="exact"/>
        <w:rPr>
          <w:sz w:val="20"/>
          <w:szCs w:val="20"/>
          <w:color w:val="auto"/>
        </w:rPr>
      </w:pPr>
    </w:p>
    <w:p>
      <w:pPr>
        <w:ind w:right="120" w:firstLine="350"/>
        <w:spacing w:after="0" w:line="277" w:lineRule="auto"/>
        <w:rPr>
          <w:sz w:val="20"/>
          <w:szCs w:val="20"/>
          <w:color w:val="auto"/>
        </w:rPr>
      </w:pPr>
      <w:r>
        <w:rPr>
          <w:rFonts w:ascii="Arial" w:cs="Arial" w:eastAsia="Arial" w:hAnsi="Arial"/>
          <w:sz w:val="18"/>
          <w:szCs w:val="18"/>
          <w:color w:val="auto"/>
        </w:rPr>
        <w:t>As provided by the Officers Incentive Compensation Plan, the Committee has the discretion and authority to make any and all determinations necessary or advisable for administration of the Officers Incentive Compensation Plan.</w:t>
      </w:r>
    </w:p>
    <w:p>
      <w:pPr>
        <w:spacing w:after="0" w:line="14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Mr. Hertzke received $421,908 in cash in fiscal 2005 and $1,179,400 in cash in fiscal 2004 pursuant to the Officers Incentive Compensation Plan and the Officers Incentive Compensation Plan Fiscal Period 2004, respectively.</w:t>
      </w:r>
    </w:p>
    <w:p>
      <w:pPr>
        <w:spacing w:after="0" w:line="130" w:lineRule="exact"/>
        <w:rPr>
          <w:sz w:val="20"/>
          <w:szCs w:val="20"/>
          <w:color w:val="auto"/>
        </w:rPr>
      </w:pPr>
    </w:p>
    <w:p>
      <w:pPr>
        <w:ind w:right="120" w:firstLine="357"/>
        <w:spacing w:after="0" w:line="257" w:lineRule="auto"/>
        <w:rPr>
          <w:sz w:val="20"/>
          <w:szCs w:val="20"/>
          <w:color w:val="auto"/>
        </w:rPr>
      </w:pPr>
      <w:r>
        <w:rPr>
          <w:rFonts w:ascii="Arial" w:cs="Arial" w:eastAsia="Arial" w:hAnsi="Arial"/>
          <w:sz w:val="18"/>
          <w:szCs w:val="18"/>
          <w:color w:val="auto"/>
        </w:rPr>
        <w:t xml:space="preserve">The Company’s officers (including the CEO) are eligible for annual incentive awards under the Company’s Officers Long-Term Incentive Plan (the </w:t>
      </w:r>
      <w:r>
        <w:rPr>
          <w:rFonts w:ascii="Arial" w:cs="Arial" w:eastAsia="Arial" w:hAnsi="Arial"/>
          <w:sz w:val="18"/>
          <w:szCs w:val="18"/>
          <w:i w:val="1"/>
          <w:iCs w:val="1"/>
          <w:color w:val="auto"/>
        </w:rPr>
        <w:t xml:space="preserve">“Long-Term Incentive Plan” </w:t>
      </w:r>
      <w:r>
        <w:rPr>
          <w:rFonts w:ascii="Arial" w:cs="Arial" w:eastAsia="Arial" w:hAnsi="Arial"/>
          <w:sz w:val="18"/>
          <w:szCs w:val="18"/>
          <w:color w:val="auto"/>
        </w:rPr>
        <w:t>). The purpose of the Long-Term Incentive Plan is to promote the long-term growth and profitability of the Company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and retain officers by providing the officers of the Company an opportunity for an incentive award consisting of stock grants made in restricted shares of the Company’s Common Stock (or at the election of a participating officer, in cash) with compensation based on the achievement of long-term performance results as measured at the end of a three-year fiscal period.</w:t>
      </w:r>
    </w:p>
    <w:p>
      <w:pPr>
        <w:spacing w:after="0" w:line="148" w:lineRule="exact"/>
        <w:rPr>
          <w:sz w:val="20"/>
          <w:szCs w:val="20"/>
          <w:color w:val="auto"/>
        </w:rPr>
      </w:pPr>
    </w:p>
    <w:p>
      <w:pPr>
        <w:ind w:right="200" w:firstLine="357"/>
        <w:spacing w:after="0" w:line="312" w:lineRule="auto"/>
        <w:rPr>
          <w:sz w:val="20"/>
          <w:szCs w:val="20"/>
          <w:color w:val="auto"/>
        </w:rPr>
      </w:pPr>
      <w:r>
        <w:rPr>
          <w:rFonts w:ascii="Arial" w:cs="Arial" w:eastAsia="Arial" w:hAnsi="Arial"/>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ectPr>
          <w:pgSz w:w="11900" w:h="16838" w:orient="portrait"/>
          <w:cols w:equalWidth="0" w:num="1">
            <w:col w:w="11420"/>
          </w:cols>
          <w:pgMar w:left="240" w:top="125" w:right="239" w:bottom="21" w:gutter="0" w:footer="0" w:header="0"/>
        </w:sectPr>
      </w:pPr>
    </w:p>
    <w:bookmarkStart w:id="12" w:name="page13"/>
    <w:bookmarkEnd w:id="12"/>
    <w:p>
      <w:pPr>
        <w:ind w:right="60" w:firstLine="360"/>
        <w:spacing w:after="0" w:line="279" w:lineRule="auto"/>
        <w:rPr>
          <w:sz w:val="20"/>
          <w:szCs w:val="20"/>
          <w:color w:val="auto"/>
        </w:rPr>
      </w:pPr>
      <w:r>
        <w:rPr>
          <w:rFonts w:ascii="Arial" w:cs="Arial" w:eastAsia="Arial" w:hAnsi="Arial"/>
          <w:sz w:val="17"/>
          <w:szCs w:val="17"/>
          <w:color w:val="auto"/>
        </w:rPr>
        <w:t>Under the Long-Term Incentive Plan, the amount of the participants’ long-term incentive award for the three-year fiscal period is in direct proportion to the Company’s financial performance expressed as a percentage (Financial Factor) against award targets for each participant determined by the Board of Directors prior to the commencement of the three-year fiscal period. The Company’s financial results for the three-year fiscal period are used in determining the Financial Factor to be used for that plan period when calculating the participants long-term incentive awards.</w:t>
      </w:r>
    </w:p>
    <w:p>
      <w:pPr>
        <w:spacing w:after="0" w:line="131" w:lineRule="exact"/>
        <w:rPr>
          <w:sz w:val="20"/>
          <w:szCs w:val="20"/>
          <w:color w:val="auto"/>
        </w:rPr>
      </w:pPr>
    </w:p>
    <w:p>
      <w:pPr>
        <w:ind w:right="280" w:firstLine="357"/>
        <w:spacing w:after="0" w:line="279" w:lineRule="auto"/>
        <w:rPr>
          <w:sz w:val="20"/>
          <w:szCs w:val="20"/>
          <w:color w:val="auto"/>
        </w:rPr>
      </w:pPr>
      <w:r>
        <w:rPr>
          <w:rFonts w:ascii="Arial" w:cs="Arial" w:eastAsia="Arial" w:hAnsi="Arial"/>
          <w:sz w:val="17"/>
          <w:szCs w:val="17"/>
          <w:color w:val="auto"/>
        </w:rPr>
        <w:t>The long-term incentive for the officers provides for an opportunity of 25% of the annualized base salary (Target) to be awarded in cash at 100% achievement of the financial long-term objectives of EPS and ROE. The annualized base salary figure used is the salary in place for each participant as of January 2005. The resultant cash award (at 100% of the three-year fiscal management plan) will be adjusted up or down as determined by actual financial performance expressed as a percentage (Financial Factor) at the end of the three-year fiscal period.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three-year fiscal period in which such Change in Control occurs.</w:t>
      </w:r>
    </w:p>
    <w:p>
      <w:pPr>
        <w:spacing w:after="0" w:line="141" w:lineRule="exact"/>
        <w:rPr>
          <w:sz w:val="20"/>
          <w:szCs w:val="20"/>
          <w:color w:val="auto"/>
        </w:rPr>
      </w:pPr>
    </w:p>
    <w:p>
      <w:pPr>
        <w:ind w:right="160" w:firstLine="350"/>
        <w:spacing w:after="0" w:line="277" w:lineRule="auto"/>
        <w:rPr>
          <w:sz w:val="20"/>
          <w:szCs w:val="20"/>
          <w:color w:val="auto"/>
        </w:rPr>
      </w:pPr>
      <w:r>
        <w:rPr>
          <w:rFonts w:ascii="Arial" w:cs="Arial" w:eastAsia="Arial" w:hAnsi="Arial"/>
          <w:sz w:val="18"/>
          <w:szCs w:val="18"/>
          <w:color w:val="auto"/>
        </w:rPr>
        <w:t>A participant must be employed by the Company at the end of the three-year fiscal period to be eligible for any long-term incentive award except for a Change in Control as described above or as waived by the Committee for normal retirement and disability.</w:t>
      </w:r>
    </w:p>
    <w:p>
      <w:pPr>
        <w:spacing w:after="0" w:line="13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Mr. Hertzke received $199,674 in cash in fiscal 2005 and $368,630 in cash in fiscal 2004 pursuant to the Long-Term Incentive Plans for the three-year fiscal periods ended August 27, 2005 and August 28, 2004, respectively. These Long-Term Incentive Plans provided for incentive awards consisting of stock grants made in restricted shares of the Company’s Common Stock, or at the election of a participating officer, in cash. The Board of Directors amended the Long-Term Incentive Plans three-year fiscal periods 2003, 2004 and 2005 and 2004, 2005 and 2006 to provide that all awards payable under such Plans shall be made in cash. Awards under the Long-Term Incentive Plan three-year fiscal periods 2005, 2006 and 2007 and 2006, 2007 and 2008, respectively, are payable in restricted shares of the Company’s Common Stock or in cash upon the election of the participant.</w:t>
      </w:r>
    </w:p>
    <w:p>
      <w:pPr>
        <w:spacing w:after="0" w:line="151"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70,000 shares of the Company’s Common Stock in fiscal 2005 under the Incentive Compensation Plan and stock options for 60,000 shares in fiscal 2004 under the 1997 Stock Option Plan, adjusted to reflect the 2 for 1 split of the Company’s Common Stock effective March 5, 2004.</w:t>
      </w:r>
    </w:p>
    <w:p>
      <w:pPr>
        <w:spacing w:after="0" w:line="12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member of the Human Resources Committee is a current or former officer or employee of the Company or any of its subsidiaries.</w:t>
      </w:r>
    </w:p>
    <w:p>
      <w:pPr>
        <w:spacing w:after="0" w:line="198" w:lineRule="exact"/>
        <w:rPr>
          <w:sz w:val="20"/>
          <w:szCs w:val="20"/>
          <w:color w:val="auto"/>
        </w:rPr>
      </w:pPr>
    </w:p>
    <w:p>
      <w:pPr>
        <w:ind w:left="3660"/>
        <w:spacing w:after="0"/>
        <w:tabs>
          <w:tab w:leader="none" w:pos="5580" w:val="left"/>
          <w:tab w:leader="none" w:pos="6660" w:val="left"/>
        </w:tabs>
        <w:rPr>
          <w:sz w:val="20"/>
          <w:szCs w:val="20"/>
          <w:color w:val="auto"/>
        </w:rPr>
      </w:pPr>
      <w:r>
        <w:rPr>
          <w:rFonts w:ascii="Arial" w:cs="Arial" w:eastAsia="Arial" w:hAnsi="Arial"/>
          <w:sz w:val="18"/>
          <w:szCs w:val="18"/>
          <w:color w:val="auto"/>
        </w:rPr>
        <w:t>Gerald C. Kitch (Chair)</w:t>
        <w:tab/>
        <w:t>Irvin E. Aal</w:t>
      </w:r>
      <w:r>
        <w:rPr>
          <w:sz w:val="20"/>
          <w:szCs w:val="20"/>
          <w:color w:val="auto"/>
        </w:rPr>
        <w:tab/>
      </w:r>
      <w:r>
        <w:rPr>
          <w:rFonts w:ascii="Arial" w:cs="Arial" w:eastAsia="Arial" w:hAnsi="Arial"/>
          <w:sz w:val="16"/>
          <w:szCs w:val="16"/>
          <w:color w:val="auto"/>
        </w:rPr>
        <w:t>Jerry N. Currie</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Members of the Human Resources Committee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357"/>
        <w:spacing w:after="0" w:line="268" w:lineRule="auto"/>
        <w:rPr>
          <w:sz w:val="20"/>
          <w:szCs w:val="20"/>
          <w:color w:val="auto"/>
        </w:rPr>
      </w:pPr>
      <w:r>
        <w:rPr>
          <w:rFonts w:ascii="Arial" w:cs="Arial" w:eastAsia="Arial" w:hAnsi="Arial"/>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the Company’s Common Stock, in the stock of the companies in the Standard &amp; Poor’s 500 Index and in the stocks of the peer group companies on August 26, 2000 or on August 31, 2000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6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30"/>
          <w:szCs w:val="30"/>
          <w:b w:val="1"/>
          <w:bCs w:val="1"/>
          <w:color w:val="auto"/>
          <w:vertAlign w:val="superscript"/>
        </w:rPr>
        <w:t>(2)</w:t>
      </w:r>
    </w:p>
    <w:p>
      <w:pPr>
        <w:ind w:left="3060"/>
        <w:spacing w:after="0"/>
        <w:rPr>
          <w:sz w:val="20"/>
          <w:szCs w:val="20"/>
          <w:color w:val="auto"/>
        </w:rPr>
      </w:pPr>
      <w:r>
        <w:rPr>
          <w:rFonts w:ascii="Arial" w:cs="Arial" w:eastAsia="Arial" w:hAnsi="Arial"/>
          <w:sz w:val="18"/>
          <w:szCs w:val="18"/>
          <w:color w:val="auto"/>
        </w:rPr>
        <w:t>Among Winnebago Industries, Inc., the S&amp;P 500 Index and a Peer Group</w:t>
      </w:r>
    </w:p>
    <w:p>
      <w:pPr>
        <w:sectPr>
          <w:pgSz w:w="11900" w:h="16838" w:orient="portrait"/>
          <w:cols w:equalWidth="0" w:num="1">
            <w:col w:w="11360"/>
          </w:cols>
          <w:pgMar w:left="240" w:top="125" w:right="29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2052955</wp:posOffset>
            </wp:positionH>
            <wp:positionV relativeFrom="page">
              <wp:posOffset>88900</wp:posOffset>
            </wp:positionV>
            <wp:extent cx="3464560" cy="24872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346456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Company Name/Index</w:t>
            </w:r>
          </w:p>
        </w:tc>
        <w:tc>
          <w:tcPr>
            <w:tcW w:w="1900" w:type="dxa"/>
            <w:vAlign w:val="bottom"/>
          </w:tcPr>
          <w:p>
            <w:pPr>
              <w:jc w:val="right"/>
              <w:ind w:right="514"/>
              <w:spacing w:after="0"/>
              <w:rPr>
                <w:sz w:val="20"/>
                <w:szCs w:val="20"/>
                <w:color w:val="auto"/>
              </w:rPr>
            </w:pPr>
            <w:r>
              <w:rPr>
                <w:rFonts w:ascii="Arial" w:cs="Arial" w:eastAsia="Arial" w:hAnsi="Arial"/>
                <w:sz w:val="14"/>
                <w:szCs w:val="14"/>
                <w:b w:val="1"/>
                <w:bCs w:val="1"/>
                <w:color w:val="auto"/>
              </w:rPr>
              <w:t>8/26/00</w:t>
            </w: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8/25/01</w:t>
            </w:r>
          </w:p>
        </w:tc>
        <w:tc>
          <w:tcPr>
            <w:tcW w:w="1340" w:type="dxa"/>
            <w:vAlign w:val="bottom"/>
          </w:tcPr>
          <w:p>
            <w:pPr>
              <w:jc w:val="right"/>
              <w:ind w:right="514"/>
              <w:spacing w:after="0"/>
              <w:rPr>
                <w:sz w:val="20"/>
                <w:szCs w:val="20"/>
                <w:color w:val="auto"/>
              </w:rPr>
            </w:pPr>
            <w:r>
              <w:rPr>
                <w:rFonts w:ascii="Arial" w:cs="Arial" w:eastAsia="Arial" w:hAnsi="Arial"/>
                <w:sz w:val="14"/>
                <w:szCs w:val="14"/>
                <w:b w:val="1"/>
                <w:bCs w:val="1"/>
                <w:color w:val="auto"/>
              </w:rPr>
              <w:t>8/30/02</w:t>
            </w:r>
          </w:p>
        </w:tc>
        <w:tc>
          <w:tcPr>
            <w:tcW w:w="1320" w:type="dxa"/>
            <w:vAlign w:val="bottom"/>
          </w:tcPr>
          <w:p>
            <w:pPr>
              <w:jc w:val="right"/>
              <w:ind w:right="494"/>
              <w:spacing w:after="0"/>
              <w:rPr>
                <w:sz w:val="20"/>
                <w:szCs w:val="20"/>
                <w:color w:val="auto"/>
              </w:rPr>
            </w:pPr>
            <w:r>
              <w:rPr>
                <w:rFonts w:ascii="Arial" w:cs="Arial" w:eastAsia="Arial" w:hAnsi="Arial"/>
                <w:sz w:val="14"/>
                <w:szCs w:val="14"/>
                <w:b w:val="1"/>
                <w:bCs w:val="1"/>
                <w:color w:val="auto"/>
              </w:rPr>
              <w:t>8/30/03</w:t>
            </w:r>
          </w:p>
        </w:tc>
        <w:tc>
          <w:tcPr>
            <w:tcW w:w="1340" w:type="dxa"/>
            <w:vAlign w:val="bottom"/>
          </w:tcPr>
          <w:p>
            <w:pPr>
              <w:jc w:val="right"/>
              <w:ind w:right="494"/>
              <w:spacing w:after="0"/>
              <w:rPr>
                <w:sz w:val="20"/>
                <w:szCs w:val="20"/>
                <w:color w:val="auto"/>
              </w:rPr>
            </w:pPr>
            <w:r>
              <w:rPr>
                <w:rFonts w:ascii="Arial" w:cs="Arial" w:eastAsia="Arial" w:hAnsi="Arial"/>
                <w:sz w:val="14"/>
                <w:szCs w:val="14"/>
                <w:b w:val="1"/>
                <w:bCs w:val="1"/>
                <w:color w:val="auto"/>
              </w:rPr>
              <w:t>8/28/04</w:t>
            </w: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8/27/05</w:t>
            </w: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D6F3E8"/>
          </w:tcPr>
          <w:p>
            <w:pPr>
              <w:spacing w:after="0"/>
              <w:rPr>
                <w:sz w:val="20"/>
                <w:szCs w:val="20"/>
                <w:color w:val="auto"/>
              </w:rPr>
            </w:pPr>
            <w:r>
              <w:rPr>
                <w:rFonts w:ascii="Arial" w:cs="Arial" w:eastAsia="Arial" w:hAnsi="Arial"/>
                <w:sz w:val="18"/>
                <w:szCs w:val="18"/>
                <w:color w:val="auto"/>
              </w:rPr>
              <w:t>Winnebago Industries, Inc.</w:t>
            </w:r>
          </w:p>
        </w:tc>
        <w:tc>
          <w:tcPr>
            <w:tcW w:w="19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D6F3E8"/>
          </w:tcPr>
          <w:p>
            <w:pPr>
              <w:jc w:val="right"/>
              <w:ind w:right="234"/>
              <w:spacing w:after="0"/>
              <w:rPr>
                <w:sz w:val="20"/>
                <w:szCs w:val="20"/>
                <w:color w:val="auto"/>
              </w:rPr>
            </w:pPr>
            <w:r>
              <w:rPr>
                <w:rFonts w:ascii="Arial" w:cs="Arial" w:eastAsia="Arial" w:hAnsi="Arial"/>
                <w:sz w:val="18"/>
                <w:szCs w:val="18"/>
                <w:color w:val="auto"/>
              </w:rPr>
              <w:t>221.47</w:t>
            </w:r>
          </w:p>
        </w:tc>
        <w:tc>
          <w:tcPr>
            <w:tcW w:w="1340" w:type="dxa"/>
            <w:vAlign w:val="bottom"/>
            <w:shd w:val="clear" w:color="auto" w:fill="D6F3E8"/>
          </w:tcPr>
          <w:p>
            <w:pPr>
              <w:jc w:val="right"/>
              <w:ind w:right="234"/>
              <w:spacing w:after="0"/>
              <w:rPr>
                <w:sz w:val="20"/>
                <w:szCs w:val="20"/>
                <w:color w:val="auto"/>
              </w:rPr>
            </w:pPr>
            <w:r>
              <w:rPr>
                <w:rFonts w:ascii="Arial" w:cs="Arial" w:eastAsia="Arial" w:hAnsi="Arial"/>
                <w:sz w:val="18"/>
                <w:szCs w:val="18"/>
                <w:color w:val="auto"/>
              </w:rPr>
              <w:t>303.41</w:t>
            </w:r>
          </w:p>
        </w:tc>
        <w:tc>
          <w:tcPr>
            <w:tcW w:w="132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393.04</w:t>
            </w:r>
          </w:p>
        </w:tc>
        <w:tc>
          <w:tcPr>
            <w:tcW w:w="13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512.94</w:t>
            </w:r>
          </w:p>
        </w:tc>
        <w:tc>
          <w:tcPr>
            <w:tcW w:w="114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527.22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S&amp;P 500</w:t>
            </w:r>
          </w:p>
        </w:tc>
        <w:tc>
          <w:tcPr>
            <w:tcW w:w="1900" w:type="dxa"/>
            <w:vAlign w:val="bottom"/>
          </w:tcPr>
          <w:p>
            <w:pPr>
              <w:jc w:val="right"/>
              <w:ind w:right="214"/>
              <w:spacing w:after="0"/>
              <w:rPr>
                <w:sz w:val="20"/>
                <w:szCs w:val="20"/>
                <w:color w:val="auto"/>
              </w:rPr>
            </w:pPr>
            <w:r>
              <w:rPr>
                <w:rFonts w:ascii="Arial" w:cs="Arial" w:eastAsia="Arial" w:hAnsi="Arial"/>
                <w:sz w:val="18"/>
                <w:szCs w:val="18"/>
                <w:color w:val="auto"/>
              </w:rPr>
              <w:t>100.00</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75.61</w:t>
            </w:r>
          </w:p>
        </w:tc>
        <w:tc>
          <w:tcPr>
            <w:tcW w:w="1340" w:type="dxa"/>
            <w:vAlign w:val="bottom"/>
          </w:tcPr>
          <w:p>
            <w:pPr>
              <w:jc w:val="right"/>
              <w:ind w:right="234"/>
              <w:spacing w:after="0"/>
              <w:rPr>
                <w:sz w:val="20"/>
                <w:szCs w:val="20"/>
                <w:color w:val="auto"/>
              </w:rPr>
            </w:pPr>
            <w:r>
              <w:rPr>
                <w:rFonts w:ascii="Arial" w:cs="Arial" w:eastAsia="Arial" w:hAnsi="Arial"/>
                <w:sz w:val="18"/>
                <w:szCs w:val="18"/>
                <w:color w:val="auto"/>
              </w:rPr>
              <w:t>62.01</w:t>
            </w: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69.49</w:t>
            </w:r>
          </w:p>
        </w:tc>
        <w:tc>
          <w:tcPr>
            <w:tcW w:w="1340" w:type="dxa"/>
            <w:vAlign w:val="bottom"/>
          </w:tcPr>
          <w:p>
            <w:pPr>
              <w:jc w:val="right"/>
              <w:ind w:right="214"/>
              <w:spacing w:after="0"/>
              <w:rPr>
                <w:sz w:val="20"/>
                <w:szCs w:val="20"/>
                <w:color w:val="auto"/>
              </w:rPr>
            </w:pPr>
            <w:r>
              <w:rPr>
                <w:rFonts w:ascii="Arial" w:cs="Arial" w:eastAsia="Arial" w:hAnsi="Arial"/>
                <w:sz w:val="18"/>
                <w:szCs w:val="18"/>
                <w:color w:val="auto"/>
              </w:rPr>
              <w:t>77.45</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D6F3E8"/>
          </w:tcPr>
          <w:p>
            <w:pPr>
              <w:spacing w:after="0" w:line="256" w:lineRule="exact"/>
              <w:rPr>
                <w:sz w:val="20"/>
                <w:szCs w:val="20"/>
                <w:color w:val="auto"/>
              </w:rPr>
            </w:pPr>
            <w:r>
              <w:rPr>
                <w:rFonts w:ascii="Arial" w:cs="Arial" w:eastAsia="Arial" w:hAnsi="Arial"/>
                <w:sz w:val="18"/>
                <w:szCs w:val="18"/>
                <w:color w:val="auto"/>
              </w:rPr>
              <w:t>Peer Group</w:t>
            </w:r>
            <w:r>
              <w:rPr>
                <w:rFonts w:ascii="Arial" w:cs="Arial" w:eastAsia="Arial" w:hAnsi="Arial"/>
                <w:sz w:val="29"/>
                <w:szCs w:val="29"/>
                <w:color w:val="auto"/>
                <w:vertAlign w:val="superscript"/>
              </w:rPr>
              <w:t>(1)</w:t>
            </w:r>
          </w:p>
        </w:tc>
        <w:tc>
          <w:tcPr>
            <w:tcW w:w="190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100.00</w:t>
            </w:r>
          </w:p>
        </w:tc>
        <w:tc>
          <w:tcPr>
            <w:tcW w:w="1340" w:type="dxa"/>
            <w:vAlign w:val="bottom"/>
            <w:shd w:val="clear" w:color="auto" w:fill="D6F3E8"/>
          </w:tcPr>
          <w:p>
            <w:pPr>
              <w:jc w:val="right"/>
              <w:ind w:right="234"/>
              <w:spacing w:after="0"/>
              <w:rPr>
                <w:sz w:val="20"/>
                <w:szCs w:val="20"/>
                <w:color w:val="auto"/>
              </w:rPr>
            </w:pPr>
            <w:r>
              <w:rPr>
                <w:rFonts w:ascii="Arial" w:cs="Arial" w:eastAsia="Arial" w:hAnsi="Arial"/>
                <w:sz w:val="18"/>
                <w:szCs w:val="18"/>
                <w:color w:val="auto"/>
              </w:rPr>
              <w:t>127.31</w:t>
            </w:r>
          </w:p>
        </w:tc>
        <w:tc>
          <w:tcPr>
            <w:tcW w:w="1340" w:type="dxa"/>
            <w:vAlign w:val="bottom"/>
            <w:shd w:val="clear" w:color="auto" w:fill="D6F3E8"/>
          </w:tcPr>
          <w:p>
            <w:pPr>
              <w:jc w:val="right"/>
              <w:ind w:right="234"/>
              <w:spacing w:after="0"/>
              <w:rPr>
                <w:sz w:val="20"/>
                <w:szCs w:val="20"/>
                <w:color w:val="auto"/>
              </w:rPr>
            </w:pPr>
            <w:r>
              <w:rPr>
                <w:rFonts w:ascii="Arial" w:cs="Arial" w:eastAsia="Arial" w:hAnsi="Arial"/>
                <w:sz w:val="18"/>
                <w:szCs w:val="18"/>
                <w:color w:val="auto"/>
              </w:rPr>
              <w:t>133.99</w:t>
            </w:r>
          </w:p>
        </w:tc>
        <w:tc>
          <w:tcPr>
            <w:tcW w:w="132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188.85</w:t>
            </w:r>
          </w:p>
        </w:tc>
        <w:tc>
          <w:tcPr>
            <w:tcW w:w="1340" w:type="dxa"/>
            <w:vAlign w:val="bottom"/>
            <w:shd w:val="clear" w:color="auto" w:fill="D6F3E8"/>
          </w:tcPr>
          <w:p>
            <w:pPr>
              <w:jc w:val="right"/>
              <w:ind w:right="214"/>
              <w:spacing w:after="0"/>
              <w:rPr>
                <w:sz w:val="20"/>
                <w:szCs w:val="20"/>
                <w:color w:val="auto"/>
              </w:rPr>
            </w:pPr>
            <w:r>
              <w:rPr>
                <w:rFonts w:ascii="Arial" w:cs="Arial" w:eastAsia="Arial" w:hAnsi="Arial"/>
                <w:sz w:val="18"/>
                <w:szCs w:val="18"/>
                <w:color w:val="auto"/>
              </w:rPr>
              <w:t>202.08</w:t>
            </w:r>
          </w:p>
        </w:tc>
        <w:tc>
          <w:tcPr>
            <w:tcW w:w="1140" w:type="dxa"/>
            <w:vAlign w:val="bottom"/>
            <w:shd w:val="clear" w:color="auto" w:fill="D6F3E8"/>
          </w:tcPr>
          <w:p>
            <w:pPr>
              <w:jc w:val="right"/>
              <w:ind w:right="14"/>
              <w:spacing w:after="0"/>
              <w:rPr>
                <w:sz w:val="20"/>
                <w:szCs w:val="20"/>
                <w:color w:val="auto"/>
              </w:rPr>
            </w:pPr>
            <w:r>
              <w:rPr>
                <w:rFonts w:ascii="Arial" w:cs="Arial" w:eastAsia="Arial" w:hAnsi="Arial"/>
                <w:sz w:val="18"/>
                <w:szCs w:val="18"/>
                <w:color w:val="auto"/>
              </w:rPr>
              <w:t>191.75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-533400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-533400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540" w:right="680" w:hanging="478"/>
        <w:spacing w:after="0" w:line="34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peer group companies, consisting of Coachmen Industries, Inc., Fleetwood Enterprises, Inc., Monaco Coach Corporation, National R. V. Holdings, Inc. and Thor Industries, Inc., were selected by the Company on the basis of the similarity of their business to that of the Company.</w:t>
      </w:r>
    </w:p>
    <w:p>
      <w:pPr>
        <w:spacing w:after="0" w:line="15" w:lineRule="exact"/>
        <w:rPr>
          <w:rFonts w:ascii="Arial" w:cs="Arial" w:eastAsia="Arial" w:hAnsi="Arial"/>
          <w:sz w:val="16"/>
          <w:szCs w:val="16"/>
          <w:color w:val="auto"/>
        </w:rPr>
      </w:pPr>
    </w:p>
    <w:p>
      <w:pPr>
        <w:ind w:left="540" w:right="500" w:hanging="478"/>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invested on August 26, 2000 in stock or on August 31, 2000 in index, including reinvestment of dividends. Index calculated on month-end basis.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8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161" w:lineRule="exact"/>
        <w:rPr>
          <w:sz w:val="20"/>
          <w:szCs w:val="20"/>
          <w:color w:val="auto"/>
        </w:rPr>
      </w:pPr>
    </w:p>
    <w:p>
      <w:pPr>
        <w:ind w:right="280" w:firstLine="357"/>
        <w:spacing w:after="0" w:line="27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In fulfilling its responsibilities, the Committee has reviewed and discussed the audited financial statements to be included in the 2005 Annual Report on SEC Form 10-K with the Company’s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132" w:lineRule="exact"/>
        <w:rPr>
          <w:sz w:val="20"/>
          <w:szCs w:val="20"/>
          <w:color w:val="auto"/>
        </w:rPr>
      </w:pPr>
    </w:p>
    <w:p>
      <w:pPr>
        <w:ind w:right="20" w:firstLine="368"/>
        <w:spacing w:after="0" w:line="277" w:lineRule="auto"/>
        <w:tabs>
          <w:tab w:leader="none" w:pos="5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Audit Committee has reviewed and discussed the audited financial statements for the fiscal year ended August 27, 2005 of Winnebago Industries, Inc. (the </w:t>
      </w:r>
      <w:r>
        <w:rPr>
          <w:rFonts w:ascii="Arial" w:cs="Arial" w:eastAsia="Arial" w:hAnsi="Arial"/>
          <w:sz w:val="18"/>
          <w:szCs w:val="18"/>
          <w:i w:val="1"/>
          <w:iCs w:val="1"/>
          <w:color w:val="auto"/>
        </w:rPr>
        <w:t>“Audited Financial Statements”</w:t>
      </w:r>
      <w:r>
        <w:rPr>
          <w:rFonts w:ascii="Arial" w:cs="Arial" w:eastAsia="Arial" w:hAnsi="Arial"/>
          <w:sz w:val="18"/>
          <w:szCs w:val="18"/>
          <w:color w:val="auto"/>
        </w:rPr>
        <w:t xml:space="preserve"> ) with Winnebago Industries, Inc.’s management.</w:t>
      </w:r>
    </w:p>
    <w:p>
      <w:pPr>
        <w:spacing w:after="0" w:line="129" w:lineRule="exact"/>
        <w:rPr>
          <w:rFonts w:ascii="Arial" w:cs="Arial" w:eastAsia="Arial" w:hAnsi="Arial"/>
          <w:sz w:val="18"/>
          <w:szCs w:val="18"/>
          <w:color w:val="auto"/>
        </w:rPr>
      </w:pPr>
    </w:p>
    <w:p>
      <w:pPr>
        <w:ind w:right="260" w:firstLine="368"/>
        <w:spacing w:after="0" w:line="308" w:lineRule="auto"/>
        <w:tabs>
          <w:tab w:leader="none" w:pos="58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19" w:lineRule="exact"/>
        <w:rPr>
          <w:rFonts w:ascii="Arial" w:cs="Arial" w:eastAsia="Arial" w:hAnsi="Arial"/>
          <w:sz w:val="17"/>
          <w:szCs w:val="17"/>
          <w:color w:val="auto"/>
        </w:rPr>
      </w:pPr>
    </w:p>
    <w:p>
      <w:pPr>
        <w:ind w:right="220" w:firstLine="368"/>
        <w:spacing w:after="0" w:line="264" w:lineRule="auto"/>
        <w:tabs>
          <w:tab w:leader="none" w:pos="5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40" w:lineRule="exact"/>
        <w:rPr>
          <w:rFonts w:ascii="Arial" w:cs="Arial" w:eastAsia="Arial" w:hAnsi="Arial"/>
          <w:sz w:val="18"/>
          <w:szCs w:val="18"/>
          <w:color w:val="auto"/>
        </w:rPr>
      </w:pPr>
    </w:p>
    <w:p>
      <w:pPr>
        <w:ind w:right="60" w:firstLine="368"/>
        <w:spacing w:after="0" w:line="264" w:lineRule="auto"/>
        <w:tabs>
          <w:tab w:leader="none" w:pos="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Annual Report on Form 10-K for the fiscal year ended August 27, 2005, for filing with the SEC.</w:t>
      </w:r>
    </w:p>
    <w:p>
      <w:pPr>
        <w:spacing w:after="0" w:line="141" w:lineRule="exact"/>
        <w:rPr>
          <w:sz w:val="20"/>
          <w:szCs w:val="20"/>
          <w:color w:val="auto"/>
        </w:rPr>
      </w:pPr>
    </w:p>
    <w:p>
      <w:pPr>
        <w:ind w:right="220" w:firstLine="350"/>
        <w:spacing w:after="0" w:line="286" w:lineRule="auto"/>
        <w:rPr>
          <w:sz w:val="20"/>
          <w:szCs w:val="20"/>
          <w:color w:val="auto"/>
        </w:rPr>
      </w:pPr>
      <w:r>
        <w:rPr>
          <w:rFonts w:ascii="Arial" w:cs="Arial" w:eastAsia="Arial" w:hAnsi="Arial"/>
          <w:sz w:val="17"/>
          <w:szCs w:val="17"/>
          <w:color w:val="auto"/>
        </w:rPr>
        <w:t>A copy of the Audit Committee Charter, as last updated as of October 13, 2004, is available on the Company’s website at http://www.winnebagoind.com/pdfs/corpgovauditcomm.pdf and in print free of charge to any shareholder who requests a copy in writing from: Winnebago Industries, Inc., Attn: Vice President-General Counsel and Secretary, 605 West Crystal Lake Road, Forest City, Iowa 60436.</w:t>
      </w:r>
    </w:p>
    <w:p>
      <w:pPr>
        <w:spacing w:after="0" w:line="13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Joseph W. England (Chair)</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Irvin E. Aal</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Jerry N. Currie</w:t>
      </w:r>
    </w:p>
    <w:p>
      <w:pPr>
        <w:sectPr>
          <w:pgSz w:w="11900" w:h="16838" w:orient="portrait"/>
          <w:cols w:equalWidth="0" w:num="1">
            <w:col w:w="11420"/>
          </w:cols>
          <w:pgMar w:left="240" w:top="1440" w:right="239" w:bottom="167"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89" w:lineRule="exact"/>
        <w:rPr>
          <w:sz w:val="20"/>
          <w:szCs w:val="20"/>
          <w:color w:val="auto"/>
        </w:rPr>
      </w:pPr>
    </w:p>
    <w:p>
      <w:pPr>
        <w:ind w:right="260" w:firstLine="357"/>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Deloitte &amp; Touche LLP for the audit of the Company’s annual financial statements for fiscal years ended August 27, 2005 and August 28, 2004, and fees billed for other services rendered by Deloitte &amp; Touche LLP during those periods.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Fiscal 2005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92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20" w:type="dxa"/>
            <w:vAlign w:val="bottom"/>
            <w:gridSpan w:val="2"/>
            <w:shd w:val="clear" w:color="auto" w:fill="D6F3E8"/>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670,000</w:t>
            </w:r>
          </w:p>
        </w:tc>
        <w:tc>
          <w:tcPr>
            <w:tcW w:w="4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264,000</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2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73,905</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101,641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20" w:type="dxa"/>
            <w:vAlign w:val="bottom"/>
            <w:gridSpan w:val="2"/>
            <w:shd w:val="clear" w:color="auto" w:fill="D6F3E8"/>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136,909</w:t>
            </w:r>
          </w:p>
        </w:tc>
        <w:tc>
          <w:tcPr>
            <w:tcW w:w="3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10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58,776</w:t>
            </w:r>
          </w:p>
        </w:tc>
        <w:tc>
          <w:tcPr>
            <w:tcW w:w="10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D6F3E8"/>
          </w:tcPr>
          <w:p>
            <w:pPr>
              <w:jc w:val="right"/>
              <w:ind w:right="4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880,814</w:t>
            </w:r>
          </w:p>
        </w:tc>
        <w:tc>
          <w:tcPr>
            <w:tcW w:w="44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424,417</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-1279525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-1279525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-1279525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-1279525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-490220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-490220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-490220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-490220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8" w:lineRule="exact"/>
        <w:rPr>
          <w:sz w:val="20"/>
          <w:szCs w:val="20"/>
          <w:color w:val="auto"/>
        </w:rPr>
      </w:pPr>
    </w:p>
    <w:p>
      <w:pPr>
        <w:ind w:left="540" w:right="140" w:hanging="478"/>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related consulting matters.</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252" w:lineRule="exact"/>
        <w:rPr>
          <w:sz w:val="20"/>
          <w:szCs w:val="20"/>
          <w:color w:val="auto"/>
        </w:rPr>
      </w:pPr>
    </w:p>
    <w:p>
      <w:pPr>
        <w:ind w:right="240" w:firstLine="357"/>
        <w:spacing w:after="0" w:line="264"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LLP to the Company is compatible with maintaining the independence of Deloitte &amp; Touche and concluded that the independence of Deloitte &amp; Touche is not compromised by the provision of such services.</w:t>
      </w:r>
    </w:p>
    <w:p>
      <w:pPr>
        <w:spacing w:after="0" w:line="141"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i w:val="1"/>
          <w:iCs w:val="1"/>
          <w:color w:val="auto"/>
        </w:rPr>
        <w:t xml:space="preserve">Policy Regarding the Approval of Independent Accountants Provision of Audit and Non-Audit Services — </w:t>
      </w:r>
      <w:r>
        <w:rPr>
          <w:rFonts w:ascii="Arial" w:cs="Arial" w:eastAsia="Arial" w:hAnsi="Arial"/>
          <w:sz w:val="17"/>
          <w:szCs w:val="17"/>
          <w:color w:val="auto"/>
        </w:rPr>
        <w:t>The Company’s Audit Committee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Audit Committee to pre-approve the fees and other significant compensation to be paid to the independent auditors as well as pre-approve all non-audit engagements with the independent auditors.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for services covered under the captions “Audit-Related Fees,” “Tax Fees” and “All Other Fees” for fiscal years 2004 and 2005.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ARRANGEMENTS</w:t>
      </w:r>
    </w:p>
    <w:p>
      <w:pPr>
        <w:spacing w:after="0" w:line="202" w:lineRule="exact"/>
        <w:rPr>
          <w:sz w:val="20"/>
          <w:szCs w:val="20"/>
          <w:color w:val="auto"/>
        </w:rPr>
      </w:pPr>
    </w:p>
    <w:p>
      <w:pPr>
        <w:ind w:right="100" w:firstLine="360"/>
        <w:spacing w:after="0" w:line="253" w:lineRule="auto"/>
        <w:rPr>
          <w:sz w:val="20"/>
          <w:szCs w:val="20"/>
          <w:color w:val="auto"/>
        </w:rPr>
      </w:pPr>
      <w:r>
        <w:rPr>
          <w:rFonts w:ascii="Arial" w:cs="Arial" w:eastAsia="Arial" w:hAnsi="Arial"/>
          <w:sz w:val="18"/>
          <w:szCs w:val="18"/>
          <w:color w:val="auto"/>
        </w:rPr>
        <w:t xml:space="preserve">During fiscal 2001, the Board of Directors approved Executive Change of Control Agreements (the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 for each of the named executive officers in the “Summary Compensation Table” and, at later dates, approved Agreements for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Change of Control occurs when the executive is in the employ of the Company)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57"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addition, under the Agreements, if an executive’s employment is terminated (other than as described above) within three years following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Change of Control occurs when the executive is in the employ of the Company) the executive would be entitled to (i) life, dental, vision, long term disability and health insurance benefits for three years following such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dental, vision and health insurance benefits, such benefits shall be extended to the time the executive reaches age 65), (ii) transfer of title to the company car, if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any, then utilized by such executive to such executive, (iii) continued coverage, at the Company’s expense, in the Executive Split Dollar Life Insurance Program, under certain circumstances until the later of the time the executive reaches age 55 or three years following the executive’s termination,</w:t>
      </w:r>
    </w:p>
    <w:p>
      <w:pPr>
        <w:ind w:left="320" w:hanging="312"/>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immediate vesting under the Company’s Deferred Compensation and Deferred Bonus Plans and immediate vesting of all stock options and rights,</w:t>
      </w:r>
    </w:p>
    <w:p>
      <w:pPr>
        <w:spacing w:after="0" w:line="20" w:lineRule="exact"/>
        <w:rPr>
          <w:rFonts w:ascii="Arial" w:cs="Arial" w:eastAsia="Arial" w:hAnsi="Arial"/>
          <w:sz w:val="17"/>
          <w:szCs w:val="17"/>
          <w:color w:val="auto"/>
        </w:rPr>
      </w:pPr>
    </w:p>
    <w:p>
      <w:pPr>
        <w:ind w:right="20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63" w:lineRule="exact"/>
        <w:rPr>
          <w:sz w:val="20"/>
          <w:szCs w:val="20"/>
          <w:color w:val="auto"/>
        </w:rPr>
      </w:pPr>
    </w:p>
    <w:p>
      <w:pPr>
        <w:ind w:right="160" w:firstLine="360"/>
        <w:spacing w:after="0" w:line="291" w:lineRule="auto"/>
        <w:rPr>
          <w:sz w:val="20"/>
          <w:szCs w:val="20"/>
          <w:color w:val="auto"/>
        </w:rPr>
      </w:pPr>
      <w:r>
        <w:rPr>
          <w:rFonts w:ascii="Arial" w:cs="Arial" w:eastAsia="Arial" w:hAnsi="Arial"/>
          <w:sz w:val="16"/>
          <w:szCs w:val="16"/>
          <w:color w:val="auto"/>
        </w:rPr>
        <w:t>Under the Agreements, a “Change of Control” occurs when (i) any person or other entity (except for the Company and certain Hanson family members or certain related persons or entities to the Company or such Hanson family members) acquires 20% or more of the outstanding stock of the Company or</w:t>
      </w:r>
    </w:p>
    <w:p>
      <w:pPr>
        <w:ind w:right="60" w:firstLine="8"/>
        <w:spacing w:after="0" w:line="281"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individuals who shall qualify as Continuing Directors (as defined below)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w:t>
      </w:r>
    </w:p>
    <w:p>
      <w:pPr>
        <w:spacing w:after="0" w:line="2" w:lineRule="exact"/>
        <w:rPr>
          <w:rFonts w:ascii="Arial" w:cs="Arial" w:eastAsia="Arial" w:hAnsi="Arial"/>
          <w:sz w:val="16"/>
          <w:szCs w:val="16"/>
          <w:color w:val="auto"/>
        </w:rPr>
      </w:pPr>
    </w:p>
    <w:p>
      <w:pPr>
        <w:ind w:right="140"/>
        <w:spacing w:after="0" w:line="252" w:lineRule="auto"/>
        <w:rPr>
          <w:rFonts w:ascii="Arial" w:cs="Arial" w:eastAsia="Arial" w:hAnsi="Arial"/>
          <w:sz w:val="16"/>
          <w:szCs w:val="16"/>
          <w:color w:val="auto"/>
        </w:rPr>
      </w:pPr>
      <w:r>
        <w:rPr>
          <w:rFonts w:ascii="Arial" w:cs="Arial" w:eastAsia="Arial" w:hAnsi="Arial"/>
          <w:sz w:val="18"/>
          <w:szCs w:val="18"/>
          <w:i w:val="1"/>
          <w:iCs w:val="1"/>
          <w:color w:val="auto"/>
        </w:rPr>
        <w:t xml:space="preserve">“Continuing Director” </w:t>
      </w:r>
      <w:r>
        <w:rPr>
          <w:rFonts w:ascii="Arial" w:cs="Arial" w:eastAsia="Arial" w:hAnsi="Arial"/>
          <w:sz w:val="18"/>
          <w:szCs w:val="18"/>
          <w:color w:val="auto"/>
        </w:rPr>
        <w:t>means (i) any member of the Company’s Board of Directors, while such person is a member of the Board, who is not an affiliate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 of any person or group described in clause (i) of the preceding sentence (an </w:t>
      </w:r>
      <w:r>
        <w:rPr>
          <w:rFonts w:ascii="Arial" w:cs="Arial" w:eastAsia="Arial" w:hAnsi="Arial"/>
          <w:sz w:val="18"/>
          <w:szCs w:val="18"/>
          <w:i w:val="1"/>
          <w:iCs w:val="1"/>
          <w:color w:val="auto"/>
        </w:rPr>
        <w:t>“acquiring person”</w:t>
      </w:r>
      <w:r>
        <w:rPr>
          <w:rFonts w:ascii="Arial" w:cs="Arial" w:eastAsia="Arial" w:hAnsi="Arial"/>
          <w:sz w:val="18"/>
          <w:szCs w:val="18"/>
          <w:color w:val="auto"/>
        </w:rPr>
        <w:t xml:space="preserve"> )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ectPr>
          <w:pgSz w:w="11900" w:h="16838" w:orient="portrait"/>
          <w:cols w:equalWidth="0" w:num="1">
            <w:col w:w="11420"/>
          </w:cols>
          <w:pgMar w:left="240" w:top="125" w:right="23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CERTAIN TRANSACTIONS WITH MANAGEMENT AND BUSINESS RELATIONSHIPS</w:t>
      </w:r>
    </w:p>
    <w:p>
      <w:pPr>
        <w:spacing w:after="0" w:line="189"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 xml:space="preserve">The Company maintains normal banking relations on customary terms with Manufacturer’s Bank &amp; Trust Company (the </w:t>
      </w:r>
      <w:r>
        <w:rPr>
          <w:rFonts w:ascii="Arial" w:cs="Arial" w:eastAsia="Arial" w:hAnsi="Arial"/>
          <w:sz w:val="17"/>
          <w:szCs w:val="17"/>
          <w:i w:val="1"/>
          <w:iCs w:val="1"/>
          <w:color w:val="auto"/>
        </w:rPr>
        <w:t>“Bank”</w:t>
      </w:r>
      <w:r>
        <w:rPr>
          <w:rFonts w:ascii="Arial" w:cs="Arial" w:eastAsia="Arial" w:hAnsi="Arial"/>
          <w:sz w:val="17"/>
          <w:szCs w:val="17"/>
          <w:color w:val="auto"/>
        </w:rPr>
        <w:t xml:space="preserve"> ), Forest City and Crystal Lake, Iowa. Manufacturer’s Bank &amp; Trust Company is a wholly owned subsidiary of MBT Corp. John V. Hanson owns approximately 33-1/3 percent of record and beneficially of MBT Corp.’s outstanding stock. Mr. Hanson is also a director of the Bank and MBT Corp.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Section 16(a)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 requires the Company’s officers and directors and persons who own more than ten percent of the Company’s Common Stock (collectively, </w:t>
      </w:r>
      <w:r>
        <w:rPr>
          <w:rFonts w:ascii="Arial" w:cs="Arial" w:eastAsia="Arial" w:hAnsi="Arial"/>
          <w:sz w:val="17"/>
          <w:szCs w:val="17"/>
          <w:i w:val="1"/>
          <w:iCs w:val="1"/>
          <w:color w:val="auto"/>
        </w:rPr>
        <w:t>“Reporting Persons”</w:t>
      </w:r>
      <w:r>
        <w:rPr>
          <w:rFonts w:ascii="Arial" w:cs="Arial" w:eastAsia="Arial" w:hAnsi="Arial"/>
          <w:sz w:val="17"/>
          <w:szCs w:val="17"/>
          <w:color w:val="auto"/>
        </w:rPr>
        <w:t xml:space="preserve"> ) to file reports of ownership and changes in ownership with the SEC and the NYSE.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2005, all Reporting Persons complied with all applicable filing requirements, with the exception of Raymond M. Beebe who, due to administrative error, filed one late Form 4 reporting two transactions.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SHAREHOLDER PROPOSALS</w:t>
      </w:r>
    </w:p>
    <w:p>
      <w:pPr>
        <w:spacing w:after="0" w:line="202"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If a shareholder intends to present a proposal at the Company’s January 2007 Annual Meeting of Shareholders and desires that the proposal be included in the Company’s proxy statement and form of proxy for that meeting, the proposal must be in compliance with Rule 14a-8 under the Exchange Act and received at the Company’s principal executive offices no later than July 14, 2006.</w:t>
      </w:r>
    </w:p>
    <w:p>
      <w:pPr>
        <w:spacing w:after="0" w:line="141" w:lineRule="exact"/>
        <w:rPr>
          <w:sz w:val="20"/>
          <w:szCs w:val="20"/>
          <w:color w:val="auto"/>
        </w:rPr>
      </w:pPr>
    </w:p>
    <w:p>
      <w:pPr>
        <w:ind w:right="460" w:firstLine="357"/>
        <w:spacing w:after="0" w:line="277" w:lineRule="auto"/>
        <w:rPr>
          <w:sz w:val="20"/>
          <w:szCs w:val="20"/>
          <w:color w:val="auto"/>
        </w:rPr>
      </w:pPr>
      <w:r>
        <w:rPr>
          <w:rFonts w:ascii="Arial" w:cs="Arial" w:eastAsia="Arial" w:hAnsi="Arial"/>
          <w:sz w:val="18"/>
          <w:szCs w:val="18"/>
          <w:color w:val="auto"/>
        </w:rPr>
        <w:t>The Company’s By-Laws and the Policy Regarding Nominations of Directors require that in order to nominate persons to the Company’s Board of Directors, a shareholder must provide advance written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notice in the form set forth therein to the secretary of the Company, which notice must be delivered to or mailed and received at the Company’s principal executive offices not less than 90 days nor more than 120 days before the anniversary of the preceding year’s annual meeting of shareholders, except in the case of candidates recommended by shareholders of more than 5% of the Company’s Common Stock who may also submit nominations in accordance with the procedures in the Policy Regarding Nominations of Directors and except as otherwise provided in the Company’s By-Laws.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of shareholders. As to any proposal that a shareholder intends to present to shareholders without inclusion in the Company’s proxy statement for the Company’s January 2007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Company’s Policy Regarding Nominations of Directors, a copy of which is attached hereto as Appendix A, and the Company’s By-Laws. A copy of the Company’s By-Laws may be obtained by written request to: Winnebago Industries, Inc., Attn: Vice President-General Counsel and Secretary, 605 West Crystal Lake Road, Forest City, Iowa 50436.</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Deloitte &amp; Touche LLP has been selected as the Company’s accountants for the current fiscal year upon the recommendation of the Audit Committee. Deloitte &amp; Touche LLP has been the Company’s accountants for 20 years. Representatives of that firm are expected to be present at the Annual Meeting of Shareholders with the opportunity to make a statement if they desire to do so and to be available to respond to appropriate questions.</w:t>
      </w:r>
    </w:p>
    <w:p>
      <w:pPr>
        <w:spacing w:after="0" w:line="106"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60" w:lineRule="exact"/>
        <w:rPr>
          <w:sz w:val="20"/>
          <w:szCs w:val="20"/>
          <w:color w:val="auto"/>
        </w:rPr>
      </w:pPr>
    </w:p>
    <w:p>
      <w:pPr>
        <w:jc w:val="both"/>
        <w:ind w:right="180" w:firstLine="350"/>
        <w:spacing w:after="0" w:line="312" w:lineRule="auto"/>
        <w:rPr>
          <w:sz w:val="20"/>
          <w:szCs w:val="20"/>
          <w:color w:val="auto"/>
        </w:rPr>
      </w:pPr>
      <w:r>
        <w:rPr>
          <w:rFonts w:ascii="Arial" w:cs="Arial" w:eastAsia="Arial" w:hAnsi="Arial"/>
          <w:sz w:val="16"/>
          <w:szCs w:val="16"/>
          <w:color w:val="auto"/>
        </w:rPr>
        <w:t>A copy of the Company’s Annual Report for the fiscal year ended August 27, 2005, which includes audited financial statements, has accompanied this Proxy Statement. The financial statements contained therein are not deemed material to the exercise of prudent judgment in regard to any matter to be acted upon at the Annual Meeting of Shareholders and, therefore, such financial statements are not incorporated in this Proxy Statement by reference.</w:t>
      </w:r>
    </w:p>
    <w:p>
      <w:pPr>
        <w:spacing w:after="0" w:line="102" w:lineRule="exact"/>
        <w:rPr>
          <w:sz w:val="20"/>
          <w:szCs w:val="20"/>
          <w:color w:val="auto"/>
        </w:rPr>
      </w:pPr>
    </w:p>
    <w:p>
      <w:pPr>
        <w:ind w:right="280" w:firstLine="360"/>
        <w:spacing w:after="0" w:line="261" w:lineRule="auto"/>
        <w:rPr>
          <w:sz w:val="20"/>
          <w:szCs w:val="20"/>
          <w:color w:val="auto"/>
        </w:rPr>
      </w:pPr>
      <w:r>
        <w:rPr>
          <w:rFonts w:ascii="Arial" w:cs="Arial" w:eastAsia="Arial" w:hAnsi="Arial"/>
          <w:sz w:val="18"/>
          <w:szCs w:val="18"/>
          <w:b w:val="1"/>
          <w:bCs w:val="1"/>
          <w:color w:val="auto"/>
        </w:rPr>
        <w:t>A COPY OF THE COMPANY’S MOST RECENT ANNUAL REPORT TO THE SEC ON FORM 10-K (WITHOUT EXHIBITS) WILL BE FURNISHED, WITHOUT CHARGE, TO SHAREHOLDERS OF THE COMPANY UPON WRITTEN REQUEST TO WINNEBAGO INDUSTRIES, INC., ATTN: VICE PRESIDENT-GENERAL COUNSEL AND SECRETARY, 605 WEST CRYSTAL LAKE ROAD, FOREST CITY, IOWA 50436.</w:t>
      </w:r>
    </w:p>
    <w:p>
      <w:pPr>
        <w:spacing w:after="0" w:line="140" w:lineRule="exact"/>
        <w:rPr>
          <w:sz w:val="20"/>
          <w:szCs w:val="20"/>
          <w:color w:val="auto"/>
        </w:rPr>
      </w:pPr>
    </w:p>
    <w:p>
      <w:pPr>
        <w:ind w:right="220" w:firstLine="360"/>
        <w:spacing w:after="0" w:line="261" w:lineRule="auto"/>
        <w:rPr>
          <w:sz w:val="20"/>
          <w:szCs w:val="20"/>
          <w:color w:val="auto"/>
        </w:rPr>
      </w:pPr>
      <w:r>
        <w:rPr>
          <w:rFonts w:ascii="Arial" w:cs="Arial" w:eastAsia="Arial" w:hAnsi="Arial"/>
          <w:sz w:val="18"/>
          <w:szCs w:val="18"/>
          <w:b w:val="1"/>
          <w:bCs w:val="1"/>
          <w:color w:val="auto"/>
        </w:rPr>
        <w:t>FOR INFORMATION ABOUT THE COMPANY, INCLUDING THE COMPANY’S ANNUAL, QUARTERLY AND CURRENT REPORTS ON SEC FORMS 10-K, 10-Q AND 8-K, RESPECTIVELY, PLEASE VISIT THE COMPANY’S HOME PAGE ON THE INTERNET – http://www.winnebagoind.com. INFORMATION CONTAINED ON THE COMPANY’S WEBSITE IS NOT INCORPORATED INTO THIS PROXY STATEMENT OR OTHER SECURITIES FILINGS.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40" w:firstLine="350"/>
        <w:spacing w:after="0" w:line="264" w:lineRule="auto"/>
        <w:rPr>
          <w:sz w:val="20"/>
          <w:szCs w:val="20"/>
          <w:color w:val="auto"/>
        </w:rPr>
      </w:pPr>
      <w:r>
        <w:rPr>
          <w:rFonts w:ascii="Arial" w:cs="Arial" w:eastAsia="Arial" w:hAnsi="Arial"/>
          <w:sz w:val="18"/>
          <w:szCs w:val="18"/>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ectPr>
          <w:pgSz w:w="11900" w:h="16838" w:orient="portrait"/>
          <w:cols w:equalWidth="0" w:num="1">
            <w:col w:w="11400"/>
          </w:cols>
          <w:pgMar w:left="240" w:top="121" w:right="259" w:bottom="0" w:gutter="0" w:footer="0" w:header="0"/>
        </w:sectPr>
      </w:pPr>
    </w:p>
    <w:bookmarkStart w:id="16" w:name="page17"/>
    <w:bookmarkEnd w:id="16"/>
    <w:p>
      <w:pPr>
        <w:spacing w:after="0" w:line="10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126365</wp:posOffset>
            </wp:positionV>
            <wp:extent cx="1543685" cy="266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4368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NOMINATIONS OF DIRECTORS</w:t>
      </w:r>
    </w:p>
    <w:p>
      <w:pPr>
        <w:spacing w:after="0" w:line="189" w:lineRule="exact"/>
        <w:rPr>
          <w:sz w:val="20"/>
          <w:szCs w:val="20"/>
          <w:color w:val="auto"/>
        </w:rPr>
      </w:pPr>
    </w:p>
    <w:p>
      <w:pPr>
        <w:jc w:val="both"/>
        <w:ind w:right="300" w:firstLine="357"/>
        <w:spacing w:after="0" w:line="264" w:lineRule="auto"/>
        <w:rPr>
          <w:sz w:val="20"/>
          <w:szCs w:val="20"/>
          <w:color w:val="auto"/>
        </w:rPr>
      </w:pPr>
      <w:r>
        <w:rPr>
          <w:rFonts w:ascii="Arial" w:cs="Arial" w:eastAsia="Arial" w:hAnsi="Arial"/>
          <w:sz w:val="18"/>
          <w:szCs w:val="18"/>
          <w:color w:val="auto"/>
        </w:rPr>
        <w:t xml:space="preserve">The Nominating and Governance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 has adopted the following policy (the </w:t>
      </w:r>
      <w:r>
        <w:rPr>
          <w:rFonts w:ascii="Arial" w:cs="Arial" w:eastAsia="Arial" w:hAnsi="Arial"/>
          <w:sz w:val="18"/>
          <w:szCs w:val="18"/>
          <w:i w:val="1"/>
          <w:iCs w:val="1"/>
          <w:color w:val="auto"/>
        </w:rPr>
        <w:t>“Director Nomination Policy”</w:t>
      </w:r>
      <w:r>
        <w:rPr>
          <w:rFonts w:ascii="Arial" w:cs="Arial" w:eastAsia="Arial" w:hAnsi="Arial"/>
          <w:sz w:val="18"/>
          <w:szCs w:val="18"/>
          <w:color w:val="auto"/>
        </w:rPr>
        <w:t xml:space="preserve"> ) to assist it in fulfilling its duties and responsibilities as provided in its charter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 This Director Nomination Policy may be amended and/or restated from time to time by the Committee in accordance with the Charter and as provided herein.</w:t>
      </w:r>
    </w:p>
    <w:p>
      <w:pPr>
        <w:spacing w:after="0" w:line="195" w:lineRule="exact"/>
        <w:rPr>
          <w:sz w:val="20"/>
          <w:szCs w:val="20"/>
          <w:color w:val="auto"/>
        </w:rPr>
      </w:pPr>
    </w:p>
    <w:p>
      <w:pPr>
        <w:ind w:left="1020" w:right="60" w:hanging="472"/>
        <w:spacing w:after="0" w:line="26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Recommended Candidates. </w:t>
      </w:r>
      <w:r>
        <w:rPr>
          <w:rFonts w:ascii="Arial" w:cs="Arial" w:eastAsia="Arial" w:hAnsi="Arial"/>
          <w:sz w:val="17"/>
          <w:szCs w:val="17"/>
          <w:color w:val="auto"/>
        </w:rPr>
        <w:t>The Committee shall consider any and all candidates recommended as nominees for directors to the Committee by</w:t>
      </w:r>
      <w:r>
        <w:rPr>
          <w:rFonts w:ascii="Arial" w:cs="Arial" w:eastAsia="Arial" w:hAnsi="Arial"/>
          <w:sz w:val="17"/>
          <w:szCs w:val="17"/>
          <w:i w:val="1"/>
          <w:iCs w:val="1"/>
          <w:color w:val="auto"/>
        </w:rPr>
        <w:t xml:space="preserve"> </w:t>
      </w:r>
      <w:r>
        <w:rPr>
          <w:rFonts w:ascii="Arial" w:cs="Arial" w:eastAsia="Arial" w:hAnsi="Arial"/>
          <w:sz w:val="17"/>
          <w:szCs w:val="17"/>
          <w:color w:val="auto"/>
        </w:rPr>
        <w:t>any directors, officers, shareholders of the Company, third 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of the Company’s Common Stock who may also submit nominations in accordance with the procedures in Section 2 under “5% SHAREHOLDER RECOMMENDATIONS”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50" w:lineRule="exact"/>
        <w:rPr>
          <w:rFonts w:ascii="Arial" w:cs="Arial" w:eastAsia="Arial" w:hAnsi="Arial"/>
          <w:sz w:val="17"/>
          <w:szCs w:val="17"/>
          <w:color w:val="auto"/>
        </w:rPr>
      </w:pPr>
    </w:p>
    <w:p>
      <w:pPr>
        <w:ind w:left="1020" w:right="120" w:hanging="472"/>
        <w:spacing w:after="0" w:line="28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5% Shareholder Recommendations. </w:t>
      </w:r>
      <w:r>
        <w:rPr>
          <w:rFonts w:ascii="Arial" w:cs="Arial" w:eastAsia="Arial" w:hAnsi="Arial"/>
          <w:sz w:val="16"/>
          <w:szCs w:val="16"/>
          <w:color w:val="auto"/>
        </w:rPr>
        <w:t>For purposes of facilitating disclosure required in the Proxy Statement, the Committee and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shall identify any candidates recommended by shareholders owning more than 5%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w:t>
      </w:r>
    </w:p>
    <w:p>
      <w:pPr>
        <w:spacing w:after="0" w:line="1" w:lineRule="exact"/>
        <w:rPr>
          <w:rFonts w:ascii="Arial" w:cs="Arial" w:eastAsia="Arial" w:hAnsi="Arial"/>
          <w:sz w:val="16"/>
          <w:szCs w:val="16"/>
          <w:color w:val="auto"/>
        </w:rPr>
      </w:pPr>
    </w:p>
    <w:p>
      <w:pPr>
        <w:ind w:left="1020" w:right="80"/>
        <w:spacing w:after="0" w:line="281" w:lineRule="auto"/>
        <w:rPr>
          <w:rFonts w:ascii="Arial" w:cs="Arial" w:eastAsia="Arial" w:hAnsi="Arial"/>
          <w:sz w:val="16"/>
          <w:szCs w:val="16"/>
          <w:color w:val="auto"/>
        </w:rPr>
      </w:pPr>
      <w:r>
        <w:rPr>
          <w:rFonts w:ascii="Arial" w:cs="Arial" w:eastAsia="Arial" w:hAnsi="Arial"/>
          <w:sz w:val="16"/>
          <w:szCs w:val="16"/>
          <w:color w:val="auto"/>
        </w:rPr>
        <w:t>(2)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 (3) such 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Company shareholders in accordance with applicable laws and the Company’s By-Laws and</w:t>
      </w:r>
    </w:p>
    <w:p>
      <w:pPr>
        <w:spacing w:after="0" w:line="4"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(b) comply with the Company’s Code of Ethics.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right="100" w:hanging="472"/>
        <w:spacing w:after="0" w:line="31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Desired Qualifications, Qualities and Skills. </w:t>
      </w:r>
      <w:r>
        <w:rPr>
          <w:rFonts w:ascii="Arial" w:cs="Arial" w:eastAsia="Arial" w:hAnsi="Arial"/>
          <w:sz w:val="16"/>
          <w:szCs w:val="16"/>
          <w:color w:val="auto"/>
        </w:rPr>
        <w:t>The Committee shall endeavor to find individuals of high integrity who have a solid record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146" w:lineRule="exact"/>
        <w:rPr>
          <w:rFonts w:ascii="Arial" w:cs="Arial" w:eastAsia="Arial" w:hAnsi="Arial"/>
          <w:sz w:val="16"/>
          <w:szCs w:val="16"/>
          <w:color w:val="auto"/>
        </w:rPr>
      </w:pPr>
    </w:p>
    <w:p>
      <w:pPr>
        <w:ind w:left="1020" w:right="300"/>
        <w:spacing w:after="0" w:line="277" w:lineRule="auto"/>
        <w:rPr>
          <w:rFonts w:ascii="Arial" w:cs="Arial" w:eastAsia="Arial" w:hAnsi="Arial"/>
          <w:sz w:val="16"/>
          <w:szCs w:val="16"/>
          <w:color w:val="auto"/>
        </w:rPr>
      </w:pPr>
      <w:r>
        <w:rPr>
          <w:rFonts w:ascii="Arial" w:cs="Arial" w:eastAsia="Arial" w:hAnsi="Arial"/>
          <w:sz w:val="18"/>
          <w:szCs w:val="18"/>
          <w:color w:val="auto"/>
        </w:rPr>
        <w:t>The Committee considers the following qualifications at a minimum to be required of any Board members in recommending to the Board of Directors potential new Board members, or the continued service of existing members:</w:t>
      </w:r>
    </w:p>
    <w:p>
      <w:pPr>
        <w:spacing w:after="0" w:line="62" w:lineRule="exact"/>
        <w:rPr>
          <w:rFonts w:ascii="Arial" w:cs="Arial" w:eastAsia="Arial" w:hAnsi="Arial"/>
          <w:sz w:val="16"/>
          <w:szCs w:val="16"/>
          <w:color w:val="auto"/>
        </w:rPr>
      </w:pPr>
    </w:p>
    <w:p>
      <w:pPr>
        <w:ind w:left="1500" w:hanging="466"/>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500" w:right="260" w:hanging="466"/>
        <w:spacing w:after="0" w:line="277"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sectPr>
          <w:pgSz w:w="11900" w:h="16942" w:orient="portrait"/>
          <w:cols w:equalWidth="0" w:num="1">
            <w:col w:w="11420"/>
          </w:cols>
          <w:pgMar w:left="240" w:top="125" w:right="239" w:bottom="0" w:gutter="0" w:footer="0" w:header="0"/>
        </w:sectPr>
      </w:pPr>
    </w:p>
    <w:bookmarkStart w:id="17" w:name="page18"/>
    <w:bookmarkEnd w:id="17"/>
    <w:p>
      <w:pPr>
        <w:spacing w:after="0" w:line="40" w:lineRule="exact"/>
        <w:rPr>
          <w:sz w:val="20"/>
          <w:szCs w:val="20"/>
          <w:color w:val="auto"/>
        </w:rPr>
      </w:pPr>
    </w:p>
    <w:p>
      <w:pPr>
        <w:ind w:left="960" w:right="20" w:hanging="466"/>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960" w:hanging="46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360" w:lineRule="exact"/>
        <w:rPr>
          <w:sz w:val="20"/>
          <w:szCs w:val="20"/>
          <w:color w:val="auto"/>
        </w:rPr>
      </w:pPr>
    </w:p>
    <w:p>
      <w:pPr>
        <w:ind w:left="480"/>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322" w:lineRule="exact"/>
        <w:rPr>
          <w:sz w:val="20"/>
          <w:szCs w:val="20"/>
          <w:color w:val="auto"/>
        </w:rPr>
      </w:pPr>
    </w:p>
    <w:p>
      <w:pPr>
        <w:ind w:left="480" w:right="20" w:hanging="472"/>
        <w:spacing w:after="0" w:line="286" w:lineRule="auto"/>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The Committee believes and it is the policy of the Company that a majority of the members of the Board meet the definition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300" w:lineRule="exact"/>
        <w:rPr>
          <w:rFonts w:ascii="Arial" w:cs="Arial" w:eastAsia="Arial" w:hAnsi="Arial"/>
          <w:sz w:val="17"/>
          <w:szCs w:val="17"/>
          <w:color w:val="auto"/>
        </w:rPr>
      </w:pPr>
    </w:p>
    <w:p>
      <w:pPr>
        <w:ind w:left="480"/>
        <w:spacing w:after="0"/>
        <w:rPr>
          <w:rFonts w:ascii="Arial" w:cs="Arial" w:eastAsia="Arial" w:hAnsi="Arial"/>
          <w:sz w:val="17"/>
          <w:szCs w:val="17"/>
          <w:color w:val="auto"/>
        </w:rPr>
      </w:pPr>
      <w:r>
        <w:rPr>
          <w:rFonts w:ascii="Arial" w:cs="Arial" w:eastAsia="Arial" w:hAnsi="Arial"/>
          <w:sz w:val="18"/>
          <w:szCs w:val="18"/>
          <w:color w:val="auto"/>
        </w:rPr>
        <w:t>An independent director is one who:</w:t>
      </w:r>
    </w:p>
    <w:p>
      <w:pPr>
        <w:spacing w:after="0" w:line="360" w:lineRule="exact"/>
        <w:rPr>
          <w:rFonts w:ascii="Arial" w:cs="Arial" w:eastAsia="Arial" w:hAnsi="Arial"/>
          <w:sz w:val="17"/>
          <w:szCs w:val="17"/>
          <w:color w:val="auto"/>
        </w:rPr>
      </w:pPr>
    </w:p>
    <w:p>
      <w:pPr>
        <w:ind w:left="960" w:right="620" w:hanging="466"/>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960" w:hanging="466"/>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960" w:right="220" w:hanging="466"/>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960" w:right="140" w:hanging="466"/>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960" w:hanging="466"/>
        <w:spacing w:after="0"/>
        <w:tabs>
          <w:tab w:leader="none" w:pos="9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is not and no member of his or her immediate family is a current partner of a firm that is the Company’s internal or external auditor;</w:t>
      </w:r>
    </w:p>
    <w:p>
      <w:pPr>
        <w:spacing w:after="0" w:line="46" w:lineRule="exact"/>
        <w:rPr>
          <w:rFonts w:ascii="Arial" w:cs="Arial" w:eastAsia="Arial" w:hAnsi="Arial"/>
          <w:sz w:val="16"/>
          <w:szCs w:val="16"/>
          <w:color w:val="auto"/>
        </w:rPr>
      </w:pPr>
    </w:p>
    <w:p>
      <w:pPr>
        <w:jc w:val="both"/>
        <w:ind w:left="960" w:right="220"/>
        <w:spacing w:after="0" w:line="253" w:lineRule="auto"/>
        <w:rPr>
          <w:rFonts w:ascii="Arial" w:cs="Arial" w:eastAsia="Arial" w:hAnsi="Arial"/>
          <w:sz w:val="16"/>
          <w:szCs w:val="16"/>
          <w:color w:val="auto"/>
        </w:rPr>
      </w:pPr>
      <w:r>
        <w:rPr>
          <w:rFonts w:ascii="Arial" w:cs="Arial" w:eastAsia="Arial" w:hAnsi="Arial"/>
          <w:sz w:val="18"/>
          <w:szCs w:val="18"/>
          <w:color w:val="auto"/>
        </w:rPr>
        <w:t>(B) is not a current employee of the Company’s internal or external auditor; (C) does not have an immediate family member who is a current employee of the Company’s internal or external auditor and who participates in that firm’s audit, assurance or tax compliance (but not tax planning) practice; and (D) within the last three years was not and no member of his or her immediate family was (and no longer is), a partner or employee of the Company’s internal or external auditor and personally worked on the Company’s audit within that time;</w:t>
      </w:r>
    </w:p>
    <w:p>
      <w:pPr>
        <w:spacing w:after="0" w:line="200" w:lineRule="exact"/>
        <w:rPr>
          <w:sz w:val="20"/>
          <w:szCs w:val="20"/>
          <w:color w:val="auto"/>
        </w:rPr>
      </w:pPr>
    </w:p>
    <w:p>
      <w:pPr>
        <w:spacing w:after="0" w:line="24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132715</wp:posOffset>
            </wp:positionV>
            <wp:extent cx="725043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60" w:hanging="473"/>
        <w:spacing w:after="0" w:line="286" w:lineRule="auto"/>
        <w:tabs>
          <w:tab w:leader="none" w:pos="9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ind w:left="940" w:right="260" w:hanging="473"/>
        <w:spacing w:after="0" w:line="312" w:lineRule="auto"/>
        <w:tabs>
          <w:tab w:leader="none" w:pos="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940" w:right="300" w:hanging="473"/>
        <w:spacing w:after="0" w:line="277"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35" w:lineRule="exact"/>
        <w:rPr>
          <w:rFonts w:ascii="Arial" w:cs="Arial" w:eastAsia="Arial" w:hAnsi="Arial"/>
          <w:sz w:val="18"/>
          <w:szCs w:val="18"/>
          <w:color w:val="auto"/>
        </w:rPr>
      </w:pPr>
    </w:p>
    <w:p>
      <w:pPr>
        <w:ind w:left="940" w:right="20" w:hanging="473"/>
        <w:spacing w:after="0" w:line="264"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316" w:lineRule="exact"/>
        <w:rPr>
          <w:sz w:val="20"/>
          <w:szCs w:val="20"/>
          <w:color w:val="auto"/>
        </w:rPr>
      </w:pPr>
    </w:p>
    <w:p>
      <w:pPr>
        <w:ind w:left="480" w:right="940"/>
        <w:spacing w:after="0" w:line="277" w:lineRule="auto"/>
        <w:rPr>
          <w:sz w:val="20"/>
          <w:szCs w:val="20"/>
          <w:color w:val="auto"/>
        </w:rPr>
      </w:pPr>
      <w:r>
        <w:rPr>
          <w:rFonts w:ascii="Arial" w:cs="Arial" w:eastAsia="Arial" w:hAnsi="Arial"/>
          <w:sz w:val="18"/>
          <w:szCs w:val="18"/>
          <w:color w:val="auto"/>
        </w:rPr>
        <w:t>This policy may be modified temporarily if, due to unforeseen circumstances, strict adherence would be detrimental to the Board’s performance.</w:t>
      </w:r>
    </w:p>
    <w:p>
      <w:pPr>
        <w:spacing w:after="0" w:line="3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360" w:lineRule="exact"/>
        <w:rPr>
          <w:sz w:val="20"/>
          <w:szCs w:val="20"/>
          <w:color w:val="auto"/>
        </w:rPr>
      </w:pPr>
    </w:p>
    <w:p>
      <w:pPr>
        <w:ind w:left="960" w:right="180" w:hanging="466"/>
        <w:spacing w:after="0" w:line="312"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11" w:lineRule="exact"/>
        <w:rPr>
          <w:rFonts w:ascii="Arial" w:cs="Arial" w:eastAsia="Arial" w:hAnsi="Arial"/>
          <w:sz w:val="16"/>
          <w:szCs w:val="16"/>
          <w:color w:val="auto"/>
        </w:rPr>
      </w:pPr>
    </w:p>
    <w:p>
      <w:pPr>
        <w:ind w:left="960" w:hanging="46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360" w:lineRule="exact"/>
        <w:rPr>
          <w:sz w:val="20"/>
          <w:szCs w:val="20"/>
          <w:color w:val="auto"/>
        </w:rPr>
      </w:pPr>
    </w:p>
    <w:p>
      <w:pPr>
        <w:ind w:left="480" w:right="24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79" w:lineRule="exact"/>
        <w:rPr>
          <w:sz w:val="20"/>
          <w:szCs w:val="20"/>
          <w:color w:val="auto"/>
        </w:rPr>
      </w:pPr>
    </w:p>
    <w:p>
      <w:pPr>
        <w:ind w:left="480" w:right="20" w:hanging="472"/>
        <w:spacing w:after="0" w:line="291"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Nominee Evaluation Process. </w:t>
      </w:r>
      <w:r>
        <w:rPr>
          <w:rFonts w:ascii="Arial" w:cs="Arial" w:eastAsia="Arial" w:hAnsi="Arial"/>
          <w:sz w:val="16"/>
          <w:szCs w:val="16"/>
          <w:color w:val="auto"/>
        </w:rPr>
        <w:t>The Committee will consider as a candidate any director of the Company who has indicated to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w:t>
      </w:r>
    </w:p>
    <w:p>
      <w:pPr>
        <w:sectPr>
          <w:pgSz w:w="11900" w:h="16878" w:orient="portrait"/>
          <w:cols w:equalWidth="0" w:num="1">
            <w:col w:w="10820"/>
          </w:cols>
          <w:pgMar w:left="780" w:top="206" w:right="299" w:bottom="0" w:gutter="0" w:footer="0" w:header="0"/>
        </w:sectPr>
      </w:pPr>
    </w:p>
    <w:bookmarkStart w:id="18" w:name="page19"/>
    <w:bookmarkEnd w:id="18"/>
    <w:p>
      <w:pPr>
        <w:ind w:left="1020"/>
        <w:spacing w:after="0" w:line="257" w:lineRule="auto"/>
        <w:rPr>
          <w:sz w:val="20"/>
          <w:szCs w:val="20"/>
          <w:color w:val="auto"/>
        </w:rPr>
      </w:pPr>
      <w:r>
        <w:rPr>
          <w:rFonts w:ascii="Arial" w:cs="Arial" w:eastAsia="Arial" w:hAnsi="Arial"/>
          <w:sz w:val="18"/>
          <w:szCs w:val="18"/>
          <w:color w:val="auto"/>
        </w:rPr>
        <w:t>and this Director Nomination Policy, which process may include, without limitation, personal interviews, background checks, written submissions by the candidates and third 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20" w:right="840"/>
        <w:spacing w:after="0" w:line="277" w:lineRule="auto"/>
        <w:rPr>
          <w:sz w:val="20"/>
          <w:szCs w:val="20"/>
          <w:color w:val="auto"/>
        </w:rPr>
      </w:pPr>
      <w:r>
        <w:rPr>
          <w:rFonts w:ascii="Arial" w:cs="Arial" w:eastAsia="Arial" w:hAnsi="Arial"/>
          <w:sz w:val="18"/>
          <w:szCs w:val="18"/>
          <w:color w:val="auto"/>
        </w:rPr>
        <w:t>shareholder of the Company pursuant to a process substantially different than that used for other nominees for the same election or appointment of directors.</w:t>
      </w:r>
    </w:p>
    <w:p>
      <w:pPr>
        <w:spacing w:after="0" w:line="35" w:lineRule="exact"/>
        <w:rPr>
          <w:sz w:val="20"/>
          <w:szCs w:val="20"/>
          <w:color w:val="auto"/>
        </w:rPr>
      </w:pPr>
    </w:p>
    <w:p>
      <w:pPr>
        <w:ind w:left="1020" w:right="140" w:hanging="472"/>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Categorize Recommendations. </w:t>
      </w:r>
      <w:r>
        <w:rPr>
          <w:rFonts w:ascii="Arial" w:cs="Arial" w:eastAsia="Arial" w:hAnsi="Arial"/>
          <w:sz w:val="18"/>
          <w:szCs w:val="18"/>
          <w:color w:val="auto"/>
        </w:rPr>
        <w:t>For purposes of facilitating disclosure required in the Proxy Statement, the Committee and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78" w:lineRule="exact"/>
        <w:rPr>
          <w:rFonts w:ascii="Arial" w:cs="Arial" w:eastAsia="Arial" w:hAnsi="Arial"/>
          <w:sz w:val="18"/>
          <w:szCs w:val="18"/>
          <w:color w:val="auto"/>
        </w:rPr>
      </w:pPr>
    </w:p>
    <w:p>
      <w:pPr>
        <w:ind w:left="1500" w:hanging="466"/>
        <w:spacing w:after="0"/>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117" w:lineRule="exact"/>
        <w:rPr>
          <w:rFonts w:ascii="Arial" w:cs="Arial" w:eastAsia="Arial" w:hAnsi="Arial"/>
          <w:sz w:val="18"/>
          <w:szCs w:val="18"/>
          <w:color w:val="auto"/>
        </w:rPr>
      </w:pPr>
    </w:p>
    <w:p>
      <w:pPr>
        <w:ind w:left="1020" w:right="120" w:hanging="472"/>
        <w:spacing w:after="0" w:line="26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to Nomination Procedures. </w:t>
      </w:r>
      <w:r>
        <w:rPr>
          <w:rFonts w:ascii="Arial" w:cs="Arial" w:eastAsia="Arial" w:hAnsi="Arial"/>
          <w:sz w:val="18"/>
          <w:szCs w:val="18"/>
          <w:color w:val="auto"/>
        </w:rPr>
        <w:t>For purposes of facilitating disclosure required in Form 10-K and Form 10-Q,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Corporate Secretary shall identify any material changes to the procedures for shareholder nominations of directors for the reporting period in which such material changes occur.</w:t>
      </w:r>
    </w:p>
    <w:p>
      <w:pPr>
        <w:spacing w:after="0" w:line="46" w:lineRule="exact"/>
        <w:rPr>
          <w:rFonts w:ascii="Arial" w:cs="Arial" w:eastAsia="Arial" w:hAnsi="Arial"/>
          <w:sz w:val="18"/>
          <w:szCs w:val="18"/>
          <w:color w:val="auto"/>
        </w:rPr>
      </w:pPr>
    </w:p>
    <w:p>
      <w:pPr>
        <w:ind w:left="1020" w:right="160" w:hanging="47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Posting of Policy. </w:t>
      </w:r>
      <w:r>
        <w:rPr>
          <w:rFonts w:ascii="Arial" w:cs="Arial" w:eastAsia="Arial" w:hAnsi="Arial"/>
          <w:sz w:val="18"/>
          <w:szCs w:val="18"/>
          <w:color w:val="auto"/>
        </w:rPr>
        <w:t>This Director Nomination Policy shall be posted to the Company’s website in accordance with the Company’s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Policy.</w:t>
      </w:r>
    </w:p>
    <w:p>
      <w:pPr>
        <w:spacing w:after="0" w:line="35" w:lineRule="exact"/>
        <w:rPr>
          <w:rFonts w:ascii="Arial" w:cs="Arial" w:eastAsia="Arial" w:hAnsi="Arial"/>
          <w:sz w:val="18"/>
          <w:szCs w:val="18"/>
          <w:color w:val="auto"/>
        </w:rPr>
      </w:pPr>
    </w:p>
    <w:p>
      <w:pPr>
        <w:ind w:left="1020" w:right="300" w:hanging="472"/>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This Policy. </w:t>
      </w:r>
      <w:r>
        <w:rPr>
          <w:rFonts w:ascii="Arial" w:cs="Arial" w:eastAsia="Arial" w:hAnsi="Arial"/>
          <w:sz w:val="18"/>
          <w:szCs w:val="18"/>
          <w:color w:val="auto"/>
        </w:rPr>
        <w:t>Any amendments to this Director Nomination Policy must be approved by the Committee and ratified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January 12,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383540</wp:posOffset>
            </wp:positionV>
            <wp:extent cx="1286510" cy="4718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651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139"/>
        <w:spacing w:after="0"/>
        <w:tabs>
          <w:tab w:leader="none" w:pos="240" w:val="left"/>
        </w:tabs>
        <w:rPr>
          <w:sz w:val="20"/>
          <w:szCs w:val="20"/>
          <w:color w:val="auto"/>
        </w:rPr>
      </w:pPr>
      <w:r>
        <w:rPr>
          <w:rFonts w:ascii="Arial" w:cs="Arial" w:eastAsia="Arial" w:hAnsi="Arial"/>
          <w:sz w:val="18"/>
          <w:szCs w:val="18"/>
          <w:b w:val="1"/>
          <w:bCs w:val="1"/>
          <w:color w:val="auto"/>
        </w:rPr>
        <w:t>Tuesday, January 10, 2006</w:t>
      </w:r>
      <w:r>
        <w:rPr>
          <w:sz w:val="20"/>
          <w:szCs w:val="20"/>
          <w:color w:val="auto"/>
        </w:rPr>
        <w:tab/>
      </w:r>
      <w:r>
        <w:rPr>
          <w:rFonts w:ascii="Arial" w:cs="Arial" w:eastAsia="Arial" w:hAnsi="Arial"/>
          <w:sz w:val="16"/>
          <w:szCs w:val="16"/>
          <w:b w:val="1"/>
          <w:bCs w:val="1"/>
          <w:color w:val="auto"/>
        </w:rPr>
        <w:t>7:30 p.m. Central Standard Time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Friendship Hall, Highway 69 South, Forest City, Iowa</w: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DIRECTIONS:</w:t>
      </w:r>
    </w:p>
    <w:p>
      <w:pPr>
        <w:spacing w:after="0" w:line="4" w:lineRule="exact"/>
        <w:rPr>
          <w:sz w:val="20"/>
          <w:szCs w:val="20"/>
          <w:color w:val="auto"/>
        </w:rPr>
      </w:pPr>
    </w:p>
    <w:p>
      <w:pPr>
        <w:ind w:left="260" w:hanging="198"/>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spacing w:after="0" w:line="56" w:lineRule="exact"/>
        <w:rPr>
          <w:rFonts w:ascii="Arial" w:cs="Arial" w:eastAsia="Arial" w:hAnsi="Arial"/>
          <w:sz w:val="14"/>
          <w:szCs w:val="14"/>
          <w:b w:val="1"/>
          <w:bCs w:val="1"/>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At Forest City, turn South (left) on US-69 at the junction of IA-9 and US-69</w:t>
      </w:r>
    </w:p>
    <w:p>
      <w:pPr>
        <w:spacing w:after="0" w:line="68" w:lineRule="exact"/>
        <w:rPr>
          <w:rFonts w:ascii="Arial" w:cs="Arial" w:eastAsia="Arial" w:hAnsi="Arial"/>
          <w:sz w:val="14"/>
          <w:szCs w:val="14"/>
          <w:color w:val="auto"/>
        </w:rPr>
      </w:pPr>
    </w:p>
    <w:p>
      <w:pPr>
        <w:ind w:left="580" w:right="6020" w:hanging="261"/>
        <w:spacing w:after="0" w:line="253" w:lineRule="auto"/>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US-69 South 1.4 miles to the entrance of the Winnebago Industries Activity Complex</w:t>
      </w:r>
    </w:p>
    <w:p>
      <w:pPr>
        <w:spacing w:after="0" w:line="38" w:lineRule="exact"/>
        <w:rPr>
          <w:rFonts w:ascii="Arial" w:cs="Arial" w:eastAsia="Arial" w:hAnsi="Arial"/>
          <w:sz w:val="14"/>
          <w:szCs w:val="14"/>
          <w:color w:val="auto"/>
        </w:rPr>
      </w:pPr>
    </w:p>
    <w:p>
      <w:pPr>
        <w:ind w:left="580" w:right="5780" w:hanging="261"/>
        <w:spacing w:after="0" w:line="253" w:lineRule="auto"/>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Turn East (left) and enter the Winnebago Industries Activity Complex, continuing for approximately one mile to Friendship Hall</w:t>
      </w:r>
    </w:p>
    <w:p>
      <w:pPr>
        <w:spacing w:after="0" w:line="34" w:lineRule="exact"/>
        <w:rPr>
          <w:rFonts w:ascii="Arial" w:cs="Arial" w:eastAsia="Arial" w:hAnsi="Arial"/>
          <w:sz w:val="14"/>
          <w:szCs w:val="14"/>
          <w:color w:val="auto"/>
        </w:rPr>
      </w:pPr>
    </w:p>
    <w:p>
      <w:pPr>
        <w:ind w:left="260" w:hanging="198"/>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72" w:lineRule="exact"/>
        <w:rPr>
          <w:rFonts w:ascii="Arial" w:cs="Arial" w:eastAsia="Arial" w:hAnsi="Arial"/>
          <w:sz w:val="14"/>
          <w:szCs w:val="14"/>
          <w:b w:val="1"/>
          <w:bCs w:val="1"/>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123B, I-80 East/I-35 North towards Chicago/ Minneapolis</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137B, I-35 North towards Minneapolis</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At Forest City, turn South (left) on US-69 at the junction of IA-9 and US-69</w:t>
      </w:r>
    </w:p>
    <w:p>
      <w:pPr>
        <w:spacing w:after="0" w:line="68" w:lineRule="exact"/>
        <w:rPr>
          <w:rFonts w:ascii="Arial" w:cs="Arial" w:eastAsia="Arial" w:hAnsi="Arial"/>
          <w:sz w:val="14"/>
          <w:szCs w:val="14"/>
          <w:color w:val="auto"/>
        </w:rPr>
      </w:pPr>
    </w:p>
    <w:p>
      <w:pPr>
        <w:ind w:left="580" w:right="6020" w:hanging="261"/>
        <w:spacing w:after="0" w:line="253" w:lineRule="auto"/>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US-69 South 1.4 miles to the entrance of the Winnebago Industries Activity Complex</w:t>
      </w:r>
    </w:p>
    <w:p>
      <w:pPr>
        <w:spacing w:after="0" w:line="38" w:lineRule="exact"/>
        <w:rPr>
          <w:rFonts w:ascii="Arial" w:cs="Arial" w:eastAsia="Arial" w:hAnsi="Arial"/>
          <w:sz w:val="14"/>
          <w:szCs w:val="14"/>
          <w:color w:val="auto"/>
        </w:rPr>
      </w:pPr>
    </w:p>
    <w:p>
      <w:pPr>
        <w:ind w:left="580" w:right="5780" w:hanging="261"/>
        <w:spacing w:after="0" w:line="253" w:lineRule="auto"/>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Turn East (left) and enter the Winnebago Industries Activity Complex, continuing for approximately one mile to Friendship Hall</w:t>
      </w:r>
    </w:p>
    <w:p>
      <w:pPr>
        <w:spacing w:after="0" w:line="34" w:lineRule="exact"/>
        <w:rPr>
          <w:rFonts w:ascii="Arial" w:cs="Arial" w:eastAsia="Arial" w:hAnsi="Arial"/>
          <w:sz w:val="14"/>
          <w:szCs w:val="14"/>
          <w:color w:val="auto"/>
        </w:rPr>
      </w:pPr>
    </w:p>
    <w:p>
      <w:pPr>
        <w:ind w:left="260" w:hanging="198"/>
        <w:spacing w:after="0"/>
        <w:tabs>
          <w:tab w:leader="none" w:pos="26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From I-90</w:t>
      </w:r>
    </w:p>
    <w:p>
      <w:pPr>
        <w:spacing w:after="0" w:line="72" w:lineRule="exact"/>
        <w:rPr>
          <w:rFonts w:ascii="Arial" w:cs="Arial" w:eastAsia="Arial" w:hAnsi="Arial"/>
          <w:sz w:val="14"/>
          <w:szCs w:val="14"/>
          <w:b w:val="1"/>
          <w:bCs w:val="1"/>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137A, I-35 South towards Des Moines</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68" w:lineRule="exact"/>
        <w:rPr>
          <w:rFonts w:ascii="Arial" w:cs="Arial" w:eastAsia="Arial" w:hAnsi="Arial"/>
          <w:sz w:val="14"/>
          <w:szCs w:val="14"/>
          <w:color w:val="auto"/>
        </w:rPr>
      </w:pPr>
    </w:p>
    <w:p>
      <w:pPr>
        <w:ind w:left="580" w:hanging="261"/>
        <w:spacing w:after="0"/>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At Forest City, turn South (left) on US-69 at the junction of IA-9 and US-69</w:t>
      </w:r>
    </w:p>
    <w:p>
      <w:pPr>
        <w:spacing w:after="0" w:line="68" w:lineRule="exact"/>
        <w:rPr>
          <w:rFonts w:ascii="Arial" w:cs="Arial" w:eastAsia="Arial" w:hAnsi="Arial"/>
          <w:sz w:val="14"/>
          <w:szCs w:val="14"/>
          <w:color w:val="auto"/>
        </w:rPr>
      </w:pPr>
    </w:p>
    <w:p>
      <w:pPr>
        <w:ind w:left="580" w:right="6020" w:hanging="261"/>
        <w:spacing w:after="0" w:line="253" w:lineRule="auto"/>
        <w:tabs>
          <w:tab w:leader="none" w:pos="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Take US-69 South 1.4 miles to the entrance of the Winnebago Industries Activity Complex</w:t>
      </w:r>
    </w:p>
    <w:p>
      <w:pPr>
        <w:sectPr>
          <w:pgSz w:w="11900" w:h="16838" w:orient="portrait"/>
          <w:cols w:equalWidth="0" w:num="1">
            <w:col w:w="11280"/>
          </w:cols>
          <w:pgMar w:left="240" w:top="125" w:right="379" w:bottom="0" w:gutter="0" w:footer="0" w:header="0"/>
        </w:sectPr>
      </w:pPr>
    </w:p>
    <w:bookmarkStart w:id="19" w:name="page20"/>
    <w:bookmarkEnd w:id="19"/>
    <w:p>
      <w:pPr>
        <w:ind w:left="580" w:right="5920" w:hanging="261"/>
        <w:spacing w:after="0" w:line="252" w:lineRule="auto"/>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Turn East (left) and enter the Winnebago Industries Activity Complex, continuing for approximately one mile to Friendship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-202565</wp:posOffset>
            </wp:positionV>
            <wp:extent cx="2821305" cy="36620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21305" cy="36620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 of the Company for Annual Meeting on January 10,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proxy</w:t>
      </w:r>
    </w:p>
    <w:p>
      <w:pPr>
        <w:spacing w:after="0" w:line="733" w:lineRule="exact"/>
        <w:rPr>
          <w:sz w:val="20"/>
          <w:szCs w:val="20"/>
          <w:color w:val="auto"/>
        </w:rPr>
      </w:pPr>
    </w:p>
    <w:p>
      <w:pPr>
        <w:sectPr>
          <w:pgSz w:w="11900" w:h="16838" w:orient="portrait"/>
          <w:cols w:equalWidth="0" w:num="2">
            <w:col w:w="9980" w:space="720"/>
            <w:col w:w="720"/>
          </w:cols>
          <w:pgMar w:left="240" w:top="121" w:right="239" w:bottom="0" w:gutter="0" w:footer="0" w:header="0"/>
          <w:type w:val="continuous"/>
        </w:sectPr>
      </w:pPr>
    </w:p>
    <w:p>
      <w:pPr>
        <w:spacing w:after="0" w:line="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undersigned hereby appoints Bruce D. Hertzke and Edwin F. Barker,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10th day of January, 2006,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760730</wp:posOffset>
            </wp:positionV>
            <wp:extent cx="1449070" cy="4457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COMPANY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Ways to Appoint Your Proxy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electonically by telephone: 1-800-560-1965</w:t>
      </w:r>
    </w:p>
    <w:p>
      <w:pPr>
        <w:spacing w:after="0" w:line="27"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1-800-560-1965.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 the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electronically via the Internet: www.eproxy.com/wgo/</w:t>
      </w:r>
    </w:p>
    <w:p>
      <w:pPr>
        <w:spacing w:after="0" w:line="27"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Go to Website </w:t>
      </w:r>
      <w:r>
        <w:rPr>
          <w:rFonts w:ascii="Arial" w:cs="Arial" w:eastAsia="Arial" w:hAnsi="Arial"/>
          <w:sz w:val="18"/>
          <w:szCs w:val="18"/>
          <w:b w:val="1"/>
          <w:bCs w:val="1"/>
          <w:color w:val="auto"/>
        </w:rPr>
        <w:t>www.eproxy.com/wgo/.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 the instructions provided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by Mail</w:t>
      </w:r>
    </w:p>
    <w:p>
      <w:pPr>
        <w:spacing w:after="0" w:line="27"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Read the Proxy Statement.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boxes on the proxy card below.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 and date the proxy card.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Return the proxy card in the envelope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deadline for telephone or Internet voting is 12:00 p.m. (CT) on Monday, January 9, 2006.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ectPr>
          <w:pgSz w:w="11900" w:h="16838" w:orient="portrait"/>
          <w:cols w:equalWidth="0" w:num="1">
            <w:col w:w="11420"/>
          </w:cols>
          <w:pgMar w:left="240" w:top="121" w:right="239" w:bottom="0"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Item 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800" w:type="dxa"/>
            <w:vAlign w:val="bottom"/>
          </w:tcPr>
          <w:p>
            <w:pPr>
              <w:ind w:left="60"/>
              <w:spacing w:after="0"/>
              <w:rPr>
                <w:sz w:val="20"/>
                <w:szCs w:val="20"/>
                <w:color w:val="auto"/>
              </w:rPr>
            </w:pPr>
            <w:r>
              <w:rPr>
                <w:rFonts w:ascii="Arial" w:cs="Arial" w:eastAsia="Arial" w:hAnsi="Arial"/>
                <w:sz w:val="18"/>
                <w:szCs w:val="18"/>
                <w:color w:val="auto"/>
              </w:rPr>
              <w:t>John V. Hanson</w:t>
            </w:r>
          </w:p>
        </w:tc>
        <w:tc>
          <w:tcPr>
            <w:tcW w:w="3560" w:type="dxa"/>
            <w:vAlign w:val="bottom"/>
          </w:tcPr>
          <w:p>
            <w:pPr>
              <w:ind w:left="152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FOR</w:t>
            </w:r>
          </w:p>
        </w:tc>
        <w:tc>
          <w:tcPr>
            <w:tcW w:w="1960" w:type="dxa"/>
            <w:vAlign w:val="bottom"/>
          </w:tcPr>
          <w:p>
            <w:pPr>
              <w:ind w:left="24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Vote WITHHELD</w:t>
            </w:r>
          </w:p>
        </w:tc>
      </w:tr>
      <w:tr>
        <w:trPr>
          <w:trHeight w:val="216"/>
        </w:trPr>
        <w:tc>
          <w:tcPr>
            <w:tcW w:w="1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800" w:type="dxa"/>
            <w:vAlign w:val="bottom"/>
          </w:tcPr>
          <w:p>
            <w:pPr>
              <w:ind w:left="60"/>
              <w:spacing w:after="0"/>
              <w:rPr>
                <w:sz w:val="20"/>
                <w:szCs w:val="20"/>
                <w:color w:val="auto"/>
              </w:rPr>
            </w:pPr>
            <w:r>
              <w:rPr>
                <w:rFonts w:ascii="Arial" w:cs="Arial" w:eastAsia="Arial" w:hAnsi="Arial"/>
                <w:sz w:val="18"/>
                <w:szCs w:val="18"/>
                <w:color w:val="auto"/>
              </w:rPr>
              <w:t>Bruce D. Hertzke</w:t>
            </w:r>
          </w:p>
        </w:tc>
        <w:tc>
          <w:tcPr>
            <w:tcW w:w="3560" w:type="dxa"/>
            <w:vAlign w:val="bottom"/>
          </w:tcPr>
          <w:p>
            <w:pPr>
              <w:ind w:left="1960"/>
              <w:spacing w:after="0"/>
              <w:rPr>
                <w:sz w:val="20"/>
                <w:szCs w:val="20"/>
                <w:color w:val="auto"/>
              </w:rPr>
            </w:pPr>
            <w:r>
              <w:rPr>
                <w:rFonts w:ascii="Arial" w:cs="Arial" w:eastAsia="Arial" w:hAnsi="Arial"/>
                <w:sz w:val="18"/>
                <w:szCs w:val="18"/>
                <w:color w:val="auto"/>
              </w:rPr>
              <w:t>all nominees</w:t>
            </w:r>
          </w:p>
        </w:tc>
        <w:tc>
          <w:tcPr>
            <w:tcW w:w="1960" w:type="dxa"/>
            <w:vAlign w:val="bottom"/>
          </w:tcPr>
          <w:p>
            <w:pPr>
              <w:ind w:left="680"/>
              <w:spacing w:after="0"/>
              <w:rPr>
                <w:sz w:val="20"/>
                <w:szCs w:val="20"/>
                <w:color w:val="auto"/>
              </w:rPr>
            </w:pPr>
            <w:r>
              <w:rPr>
                <w:rFonts w:ascii="Arial" w:cs="Arial" w:eastAsia="Arial" w:hAnsi="Arial"/>
                <w:sz w:val="18"/>
                <w:szCs w:val="18"/>
                <w:color w:val="auto"/>
                <w:w w:val="88"/>
              </w:rPr>
              <w:t>from all nominees</w:t>
            </w:r>
          </w:p>
        </w:tc>
      </w:tr>
      <w:tr>
        <w:trPr>
          <w:trHeight w:val="249"/>
        </w:trPr>
        <w:tc>
          <w:tcPr>
            <w:tcW w:w="1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2800" w:type="dxa"/>
            <w:vAlign w:val="bottom"/>
          </w:tcPr>
          <w:p>
            <w:pPr>
              <w:ind w:left="60"/>
              <w:spacing w:after="0"/>
              <w:rPr>
                <w:sz w:val="20"/>
                <w:szCs w:val="20"/>
                <w:color w:val="auto"/>
              </w:rPr>
            </w:pPr>
            <w:r>
              <w:rPr>
                <w:rFonts w:ascii="Arial" w:cs="Arial" w:eastAsia="Arial" w:hAnsi="Arial"/>
                <w:sz w:val="18"/>
                <w:szCs w:val="18"/>
                <w:color w:val="auto"/>
              </w:rPr>
              <w:t>Gerald C. Kitch</w:t>
            </w:r>
          </w:p>
        </w:tc>
        <w:tc>
          <w:tcPr>
            <w:tcW w:w="3560" w:type="dxa"/>
            <w:vAlign w:val="bottom"/>
          </w:tcPr>
          <w:p>
            <w:pPr>
              <w:ind w:left="1960"/>
              <w:spacing w:after="0"/>
              <w:rPr>
                <w:sz w:val="20"/>
                <w:szCs w:val="20"/>
                <w:color w:val="auto"/>
              </w:rPr>
            </w:pPr>
            <w:r>
              <w:rPr>
                <w:rFonts w:ascii="Arial" w:cs="Arial" w:eastAsia="Arial" w:hAnsi="Arial"/>
                <w:sz w:val="18"/>
                <w:szCs w:val="18"/>
                <w:color w:val="auto"/>
              </w:rPr>
              <w:t>(except as marked)</w:t>
            </w:r>
          </w:p>
        </w:tc>
        <w:tc>
          <w:tcPr>
            <w:tcW w:w="1960" w:type="dxa"/>
            <w:vAlign w:val="bottom"/>
          </w:tcPr>
          <w:p>
            <w:pPr>
              <w:spacing w:after="0"/>
              <w:rPr>
                <w:sz w:val="21"/>
                <w:szCs w:val="21"/>
                <w:color w:val="auto"/>
              </w:rPr>
            </w:pPr>
          </w:p>
        </w:tc>
      </w:tr>
    </w:tbl>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30861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9"/>
          <w:szCs w:val="19"/>
          <w:color w:val="auto"/>
        </w:rPr>
        <w:t xml:space="preserve">o </w:t>
      </w:r>
      <w:r>
        <w:rPr>
          <w:rFonts w:ascii="Arial" w:cs="Arial" w:eastAsia="Arial" w:hAnsi="Arial"/>
          <w:sz w:val="15"/>
          <w:szCs w:val="15"/>
          <w:color w:val="auto"/>
        </w:rPr>
        <w:t>Indicate changes below:</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Date 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175260</wp:posOffset>
            </wp:positionV>
            <wp:extent cx="2907030" cy="5829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070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name(s) appears on Proxy. If held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 joint tenancy, all persons must sign. Trustees,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administrators, etc., should include title and authority.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Corporations should provide full name of corporation and title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x"/>
      <w:numFmt w:val="bullet"/>
      <w:start w:val="1"/>
    </w:lvl>
  </w:abstractNum>
  <w:abstractNum w:abstractNumId="2">
    <w:nsid w:val="333AB105"/>
    <w:multiLevelType w:val="hybridMultilevel"/>
    <w:lvl w:ilvl="0">
      <w:lvlJc w:val="left"/>
      <w:lvlText w:val="o"/>
      <w:numFmt w:val="bullet"/>
      <w:start w:val="1"/>
    </w:lvl>
  </w:abstractNum>
  <w:abstractNum w:abstractNumId="3">
    <w:nsid w:val="721DA317"/>
    <w:multiLevelType w:val="hybridMultilevel"/>
    <w:lvl w:ilvl="0">
      <w:lvlJc w:val="left"/>
      <w:lvlText w:val="x"/>
      <w:numFmt w:val="bullet"/>
      <w:start w:val="1"/>
    </w:lvl>
  </w:abstractNum>
  <w:abstractNum w:abstractNumId="4">
    <w:nsid w:val="2443A858"/>
    <w:multiLevelType w:val="hybridMultilevel"/>
    <w:lvl w:ilvl="0">
      <w:lvlJc w:val="left"/>
      <w:lvlText w:val="o"/>
      <w:numFmt w:val="bullet"/>
      <w:start w:val="1"/>
    </w:lvl>
    <w:lvl w:ilvl="1">
      <w:lvlJc w:val="left"/>
      <w:lvlText w:val="(%2)"/>
      <w:numFmt w:val="decimal"/>
      <w:start w:val="1"/>
    </w:lvl>
  </w:abstractNum>
  <w:abstractNum w:abstractNumId="5">
    <w:nsid w:val="2D1D5AE9"/>
    <w:multiLevelType w:val="hybridMultilevel"/>
    <w:lvl w:ilvl="0">
      <w:lvlJc w:val="left"/>
      <w:lvlText w:val="o"/>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Roman"/>
      <w:start w:val="4"/>
    </w:lvl>
  </w:abstractNum>
  <w:abstractNum w:abstractNumId="26">
    <w:nsid w:val="3006C83E"/>
    <w:multiLevelType w:val="hybridMultilevel"/>
    <w:lvl w:ilvl="0">
      <w:lvlJc w:val="left"/>
      <w:lvlText w:val="(%1)"/>
      <w:numFmt w:val="lowerRoman"/>
      <w:start w:val="2"/>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3"/>
    </w:lvl>
    <w:lvl w:ilvl="1">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4"/>
    </w:lvl>
    <w:lvl w:ilvl="1">
      <w:lvlJc w:val="left"/>
      <w:lvlText w:val="(%2)"/>
      <w:numFmt w:val="decimal"/>
      <w:start w:val="1"/>
    </w:lvl>
  </w:abstractNum>
  <w:abstractNum w:abstractNumId="31">
    <w:nsid w:val="5072367"/>
    <w:multiLevelType w:val="hybridMultilevel"/>
    <w:lvl w:ilvl="0">
      <w:lvlJc w:val="left"/>
      <w:lvlText w:val="(%1)"/>
      <w:numFmt w:val="decimal"/>
      <w:start w:val="6"/>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decimal"/>
      <w:start w:val="6"/>
    </w:lvl>
    <w:lvl w:ilvl="1">
      <w:lvlJc w:val="left"/>
      <w:lvlText w:val="(%2)"/>
      <w:numFmt w:val="decimal"/>
      <w:start w:val="1"/>
    </w:lvl>
  </w:abstractNum>
  <w:abstractNum w:abstractNumId="35">
    <w:nsid w:val="5C482A97"/>
    <w:multiLevelType w:val="hybridMultilevel"/>
    <w:lvl w:ilvl="0">
      <w:lvlJc w:val="left"/>
      <w:lvlText w:val="%1)"/>
      <w:numFmt w:val="decimal"/>
      <w:start w:val="1"/>
    </w:lvl>
    <w:lvl w:ilvl="1">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2019-12-13T08:32:52Z</dcterms:created>
  <dcterms:modified xsi:type="dcterms:W3CDTF">2019-12-13T08:32:52Z</dcterms:modified>
</cp:coreProperties>
</file>