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7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FORM 8-K</w:t>
      </w:r>
    </w:p>
    <w:p>
      <w:pPr>
        <w:spacing w:after="0" w:line="27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9" w:lineRule="exact"/>
        <w:rPr>
          <w:sz w:val="24"/>
          <w:szCs w:val="24"/>
          <w:color w:val="auto"/>
        </w:rPr>
      </w:pPr>
    </w:p>
    <w:p>
      <w:pPr>
        <w:jc w:val="center"/>
        <w:ind w:right="-219"/>
        <w:spacing w:after="0"/>
        <w:tabs>
          <w:tab w:leader="none" w:pos="18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December 14, 2006</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90"/>
              </w:rPr>
              <w:t>Iowa</w:t>
            </w:r>
          </w:p>
        </w:tc>
        <w:tc>
          <w:tcPr>
            <w:tcW w:w="3220" w:type="dxa"/>
            <w:vAlign w:val="bottom"/>
          </w:tcPr>
          <w:p>
            <w:pPr>
              <w:jc w:val="right"/>
              <w:ind w:right="982"/>
              <w:spacing w:after="0"/>
              <w:rPr>
                <w:sz w:val="20"/>
                <w:szCs w:val="20"/>
                <w:color w:val="auto"/>
              </w:rPr>
            </w:pPr>
            <w:r>
              <w:rPr>
                <w:rFonts w:ascii="Arial" w:cs="Arial" w:eastAsia="Arial" w:hAnsi="Arial"/>
                <w:sz w:val="22"/>
                <w:szCs w:val="22"/>
                <w:color w:val="auto"/>
              </w:rPr>
              <w:t>001-06403</w:t>
            </w:r>
          </w:p>
        </w:tc>
        <w:tc>
          <w:tcPr>
            <w:tcW w:w="2880" w:type="dxa"/>
            <w:vAlign w:val="bottom"/>
          </w:tcPr>
          <w:p>
            <w:pPr>
              <w:jc w:val="right"/>
              <w:ind w:right="42"/>
              <w:spacing w:after="0"/>
              <w:rPr>
                <w:sz w:val="20"/>
                <w:szCs w:val="20"/>
                <w:color w:val="auto"/>
              </w:rPr>
            </w:pPr>
            <w:r>
              <w:rPr>
                <w:rFonts w:ascii="Arial" w:cs="Arial" w:eastAsia="Arial" w:hAnsi="Arial"/>
                <w:sz w:val="22"/>
                <w:szCs w:val="22"/>
                <w:color w:val="auto"/>
              </w:rPr>
              <w:t>42-0802678</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88"/>
              </w:rPr>
              <w:t>(State or Other Jurisdiction</w:t>
            </w:r>
          </w:p>
        </w:tc>
        <w:tc>
          <w:tcPr>
            <w:tcW w:w="3220" w:type="dxa"/>
            <w:vAlign w:val="bottom"/>
          </w:tcPr>
          <w:p>
            <w:pPr>
              <w:jc w:val="center"/>
              <w:ind w:left="62"/>
              <w:spacing w:after="0"/>
              <w:rPr>
                <w:sz w:val="20"/>
                <w:szCs w:val="20"/>
                <w:color w:val="auto"/>
              </w:rPr>
            </w:pPr>
            <w:r>
              <w:rPr>
                <w:rFonts w:ascii="Arial" w:cs="Arial" w:eastAsia="Arial" w:hAnsi="Arial"/>
                <w:sz w:val="18"/>
                <w:szCs w:val="18"/>
                <w:color w:val="auto"/>
                <w:w w:val="90"/>
              </w:rPr>
              <w:t>(Commission File Number)</w:t>
            </w: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2"/>
              </w:rPr>
              <w:t>(IRS Employer</w:t>
            </w:r>
          </w:p>
        </w:tc>
      </w:tr>
      <w:tr>
        <w:trPr>
          <w:trHeight w:val="243"/>
        </w:trPr>
        <w:tc>
          <w:tcPr>
            <w:tcW w:w="3580" w:type="dxa"/>
            <w:vAlign w:val="bottom"/>
          </w:tcPr>
          <w:p>
            <w:pPr>
              <w:jc w:val="center"/>
              <w:ind w:right="602"/>
              <w:spacing w:after="0"/>
              <w:rPr>
                <w:sz w:val="20"/>
                <w:szCs w:val="20"/>
                <w:color w:val="auto"/>
              </w:rPr>
            </w:pPr>
            <w:r>
              <w:rPr>
                <w:rFonts w:ascii="Arial" w:cs="Arial" w:eastAsia="Arial" w:hAnsi="Arial"/>
                <w:sz w:val="18"/>
                <w:szCs w:val="18"/>
                <w:color w:val="auto"/>
                <w:w w:val="91"/>
              </w:rPr>
              <w:t>of Incorporation)</w:t>
            </w:r>
          </w:p>
        </w:tc>
        <w:tc>
          <w:tcPr>
            <w:tcW w:w="3220" w:type="dxa"/>
            <w:vAlign w:val="bottom"/>
          </w:tcPr>
          <w:p>
            <w:pPr>
              <w:spacing w:after="0"/>
              <w:rPr>
                <w:sz w:val="21"/>
                <w:szCs w:val="21"/>
                <w:color w:val="auto"/>
              </w:rPr>
            </w:pP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88"/>
              </w:rPr>
              <w:t>P.O. Box 152, Forest City, Iowa</w:t>
            </w:r>
          </w:p>
        </w:tc>
        <w:tc>
          <w:tcPr>
            <w:tcW w:w="322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Arial" w:cs="Arial" w:eastAsia="Arial" w:hAnsi="Arial"/>
                <w:sz w:val="22"/>
                <w:szCs w:val="22"/>
                <w:color w:val="auto"/>
              </w:rPr>
              <w:t>50436</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Arial" w:cs="Arial" w:eastAsia="Arial" w:hAnsi="Arial"/>
                <w:sz w:val="18"/>
                <w:szCs w:val="18"/>
                <w:color w:val="auto"/>
                <w:w w:val="91"/>
              </w:rPr>
              <w:t>(Zip Code)</w:t>
            </w:r>
          </w:p>
        </w:tc>
      </w:tr>
      <w:tr>
        <w:trPr>
          <w:trHeight w:val="714"/>
        </w:trPr>
        <w:tc>
          <w:tcPr>
            <w:tcW w:w="6800" w:type="dxa"/>
            <w:vAlign w:val="bottom"/>
            <w:gridSpan w:val="2"/>
          </w:tcPr>
          <w:p>
            <w:pPr>
              <w:ind w:left="2260"/>
              <w:spacing w:after="0"/>
              <w:rPr>
                <w:sz w:val="20"/>
                <w:szCs w:val="20"/>
                <w:color w:val="auto"/>
              </w:rPr>
            </w:pPr>
            <w:r>
              <w:rPr>
                <w:rFonts w:ascii="Arial" w:cs="Arial" w:eastAsia="Arial" w:hAnsi="Arial"/>
                <w:sz w:val="22"/>
                <w:szCs w:val="22"/>
                <w:color w:val="auto"/>
                <w:w w:val="89"/>
              </w:rPr>
              <w:t>Registrant’s telephone number, including area code</w:t>
            </w:r>
          </w:p>
        </w:tc>
        <w:tc>
          <w:tcPr>
            <w:tcW w:w="2880" w:type="dxa"/>
            <w:vAlign w:val="bottom"/>
          </w:tcPr>
          <w:p>
            <w:pPr>
              <w:jc w:val="right"/>
              <w:ind w:right="144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6"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93" w:lineRule="exact"/>
        <w:rPr>
          <w:sz w:val="24"/>
          <w:szCs w:val="24"/>
          <w:color w:val="auto"/>
        </w:rPr>
      </w:pPr>
    </w:p>
    <w:p>
      <w:pPr>
        <w:ind w:right="420"/>
        <w:spacing w:after="0" w:line="328" w:lineRule="auto"/>
        <w:rPr>
          <w:sz w:val="20"/>
          <w:szCs w:val="20"/>
          <w:color w:val="auto"/>
        </w:rPr>
      </w:pPr>
      <w:r>
        <w:rPr>
          <w:rFonts w:ascii="Arial" w:cs="Arial" w:eastAsia="Arial" w:hAnsi="Arial"/>
          <w:sz w:val="19"/>
          <w:szCs w:val="19"/>
          <w:color w:val="auto"/>
        </w:rPr>
        <w:t>Winnebago Industries, Inc. is filing herewith a press release issued on December 14, 2006, as Exhibit 99.1 which is included herein. The press release was issued to report earnings for the first quarter of fiscal year 2007 ended November 25, 2006.</w:t>
      </w:r>
    </w:p>
    <w:p>
      <w:pPr>
        <w:spacing w:after="0" w:line="167"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93" w:lineRule="exact"/>
        <w:rPr>
          <w:sz w:val="24"/>
          <w:szCs w:val="24"/>
          <w:color w:val="auto"/>
        </w:rPr>
      </w:pPr>
    </w:p>
    <w:p>
      <w:pPr>
        <w:ind w:left="340"/>
        <w:spacing w:after="0"/>
        <w:tabs>
          <w:tab w:leader="none" w:pos="78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Exhibits</w:t>
      </w:r>
    </w:p>
    <w:p>
      <w:pPr>
        <w:spacing w:after="0" w:line="200" w:lineRule="exact"/>
        <w:rPr>
          <w:sz w:val="24"/>
          <w:szCs w:val="24"/>
          <w:color w:val="auto"/>
        </w:rPr>
      </w:pPr>
    </w:p>
    <w:p>
      <w:pPr>
        <w:ind w:left="580"/>
        <w:spacing w:after="0"/>
        <w:rPr>
          <w:sz w:val="20"/>
          <w:szCs w:val="20"/>
          <w:color w:val="auto"/>
        </w:rPr>
      </w:pPr>
      <w:r>
        <w:rPr>
          <w:rFonts w:ascii="Arial" w:cs="Arial" w:eastAsia="Arial" w:hAnsi="Arial"/>
          <w:sz w:val="22"/>
          <w:szCs w:val="22"/>
          <w:b w:val="1"/>
          <w:bCs w:val="1"/>
          <w:color w:val="auto"/>
        </w:rPr>
        <w:t>Exhibit</w:t>
      </w:r>
    </w:p>
    <w:p>
      <w:pPr>
        <w:spacing w:after="0" w:line="14" w:lineRule="exact"/>
        <w:rPr>
          <w:sz w:val="24"/>
          <w:szCs w:val="24"/>
          <w:color w:val="auto"/>
        </w:rPr>
      </w:pPr>
    </w:p>
    <w:p>
      <w:pPr>
        <w:ind w:left="580"/>
        <w:spacing w:after="0"/>
        <w:tabs>
          <w:tab w:leader="none" w:pos="1640" w:val="left"/>
        </w:tabs>
        <w:rPr>
          <w:sz w:val="20"/>
          <w:szCs w:val="20"/>
          <w:color w:val="auto"/>
        </w:rPr>
      </w:pPr>
      <w:r>
        <w:rPr>
          <w:rFonts w:ascii="Arial" w:cs="Arial" w:eastAsia="Arial" w:hAnsi="Arial"/>
          <w:sz w:val="22"/>
          <w:szCs w:val="22"/>
          <w:b w:val="1"/>
          <w:bCs w:val="1"/>
          <w:color w:val="auto"/>
        </w:rPr>
        <w:t>Number</w:t>
        <w:tab/>
        <w:t>Description</w:t>
      </w:r>
    </w:p>
    <w:p>
      <w:pPr>
        <w:spacing w:after="0" w:line="215" w:lineRule="exact"/>
        <w:rPr>
          <w:sz w:val="24"/>
          <w:szCs w:val="24"/>
          <w:color w:val="auto"/>
        </w:rPr>
      </w:pPr>
    </w:p>
    <w:p>
      <w:pPr>
        <w:ind w:left="800"/>
        <w:spacing w:after="0"/>
        <w:tabs>
          <w:tab w:leader="none" w:pos="16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of Winnebago Industries, Inc. dated December 14, 2006.</w:t>
      </w:r>
    </w:p>
    <w:p>
      <w:pPr>
        <w:sectPr>
          <w:pgSz w:w="11900" w:h="16838" w:orient="portrait"/>
          <w:cols w:equalWidth="0" w:num="1">
            <w:col w:w="11200"/>
          </w:cols>
          <w:pgMar w:left="240" w:top="1313" w:right="4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SIGNATURES</w:t>
      </w:r>
    </w:p>
    <w:p>
      <w:pPr>
        <w:sectPr>
          <w:pgSz w:w="11900" w:h="16838" w:orient="portrait"/>
          <w:cols w:equalWidth="0" w:num="1">
            <w:col w:w="11200"/>
          </w:cols>
          <w:pgMar w:left="240" w:top="1313" w:right="459" w:bottom="0" w:gutter="0" w:footer="0" w:header="0"/>
          <w:type w:val="continuous"/>
        </w:sectPr>
      </w:pPr>
    </w:p>
    <w:bookmarkStart w:id="1" w:name="page2"/>
    <w:bookmarkEnd w:id="1"/>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160"/>
          </w:cols>
          <w:pgMar w:left="240" w:top="118" w:right="49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14,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Exhibit</w:t>
      </w:r>
    </w:p>
    <w:p>
      <w:pPr>
        <w:spacing w:after="0" w:line="14"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b w:val="1"/>
          <w:bCs w:val="1"/>
          <w:color w:val="auto"/>
        </w:rPr>
        <w:t>Number</w:t>
        <w:tab/>
        <w:t>Description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26"/>
          <w:szCs w:val="26"/>
          <w:color w:val="auto"/>
        </w:rPr>
        <w:t>W</w:t>
      </w:r>
      <w:r>
        <w:rPr>
          <w:rFonts w:ascii="Arial" w:cs="Arial" w:eastAsia="Arial" w:hAnsi="Arial"/>
          <w:sz w:val="17"/>
          <w:szCs w:val="17"/>
          <w:color w:val="auto"/>
        </w:rPr>
        <w:t>INNEBAGO</w:t>
      </w:r>
      <w:r>
        <w:rPr>
          <w:rFonts w:ascii="Arial" w:cs="Arial" w:eastAsia="Arial" w:hAnsi="Arial"/>
          <w:sz w:val="26"/>
          <w:szCs w:val="26"/>
          <w:color w:val="auto"/>
        </w:rPr>
        <w:t xml:space="preserve"> I</w:t>
      </w:r>
      <w:r>
        <w:rPr>
          <w:rFonts w:ascii="Arial" w:cs="Arial" w:eastAsia="Arial" w:hAnsi="Arial"/>
          <w:sz w:val="17"/>
          <w:szCs w:val="17"/>
          <w:color w:val="auto"/>
        </w:rPr>
        <w:t>NDUSTRIES,</w:t>
      </w:r>
      <w:r>
        <w:rPr>
          <w:rFonts w:ascii="Arial" w:cs="Arial" w:eastAsia="Arial" w:hAnsi="Arial"/>
          <w:sz w:val="26"/>
          <w:szCs w:val="26"/>
          <w:color w:val="auto"/>
        </w:rPr>
        <w:t xml:space="preserve"> I</w:t>
      </w:r>
      <w:r>
        <w:rPr>
          <w:rFonts w:ascii="Arial" w:cs="Arial" w:eastAsia="Arial" w:hAnsi="Arial"/>
          <w:sz w:val="17"/>
          <w:szCs w:val="17"/>
          <w:color w:val="auto"/>
        </w:rPr>
        <w:t>NC.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80" w:type="dxa"/>
            <w:vAlign w:val="bottom"/>
          </w:tcPr>
          <w:p>
            <w:pPr>
              <w:spacing w:after="0"/>
              <w:rPr>
                <w:sz w:val="21"/>
                <w:szCs w:val="21"/>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Bruce D. Hertzke</w:t>
            </w:r>
          </w:p>
        </w:tc>
      </w:tr>
      <w:tr>
        <w:trPr>
          <w:trHeight w:val="242"/>
        </w:trPr>
        <w:tc>
          <w:tcPr>
            <w:tcW w:w="660" w:type="dxa"/>
            <w:vAlign w:val="bottom"/>
          </w:tcPr>
          <w:p>
            <w:pPr>
              <w:spacing w:after="0" w:line="242" w:lineRule="exact"/>
              <w:rPr>
                <w:sz w:val="20"/>
                <w:szCs w:val="20"/>
                <w:color w:val="auto"/>
              </w:rPr>
            </w:pPr>
            <w:r>
              <w:rPr>
                <w:rFonts w:ascii="Arial" w:cs="Arial" w:eastAsia="Arial" w:hAnsi="Arial"/>
                <w:sz w:val="22"/>
                <w:szCs w:val="22"/>
                <w:color w:val="auto"/>
                <w:w w:val="98"/>
              </w:rPr>
              <w:t>Name:</w:t>
            </w:r>
          </w:p>
        </w:tc>
        <w:tc>
          <w:tcPr>
            <w:tcW w:w="5320" w:type="dxa"/>
            <w:vAlign w:val="bottom"/>
            <w:gridSpan w:val="2"/>
          </w:tcPr>
          <w:p>
            <w:pPr>
              <w:ind w:left="80"/>
              <w:spacing w:after="0" w:line="242" w:lineRule="exact"/>
              <w:rPr>
                <w:sz w:val="20"/>
                <w:szCs w:val="20"/>
                <w:color w:val="auto"/>
              </w:rPr>
            </w:pPr>
            <w:r>
              <w:rPr>
                <w:rFonts w:ascii="Arial" w:cs="Arial" w:eastAsia="Arial" w:hAnsi="Arial"/>
                <w:sz w:val="22"/>
                <w:szCs w:val="22"/>
                <w:color w:val="auto"/>
              </w:rPr>
              <w:t>Bruce D. Hertzke</w:t>
            </w:r>
          </w:p>
        </w:tc>
      </w:tr>
      <w:tr>
        <w:trPr>
          <w:trHeight w:val="275"/>
        </w:trPr>
        <w:tc>
          <w:tcPr>
            <w:tcW w:w="660" w:type="dxa"/>
            <w:vAlign w:val="bottom"/>
          </w:tcPr>
          <w:p>
            <w:pPr>
              <w:spacing w:after="0"/>
              <w:rPr>
                <w:sz w:val="20"/>
                <w:szCs w:val="20"/>
                <w:color w:val="auto"/>
              </w:rPr>
            </w:pPr>
            <w:r>
              <w:rPr>
                <w:rFonts w:ascii="Arial" w:cs="Arial" w:eastAsia="Arial" w:hAnsi="Arial"/>
                <w:sz w:val="22"/>
                <w:szCs w:val="22"/>
                <w:color w:val="auto"/>
              </w:rPr>
              <w:t>Title:</w:t>
            </w:r>
          </w:p>
        </w:tc>
        <w:tc>
          <w:tcPr>
            <w:tcW w:w="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26"/>
          <w:szCs w:val="26"/>
          <w:b w:val="1"/>
          <w:bCs w:val="1"/>
          <w:color w:val="auto"/>
        </w:rPr>
        <w:t>E</w:t>
      </w:r>
      <w:r>
        <w:rPr>
          <w:rFonts w:ascii="Arial" w:cs="Arial" w:eastAsia="Arial" w:hAnsi="Arial"/>
          <w:sz w:val="21"/>
          <w:szCs w:val="21"/>
          <w:b w:val="1"/>
          <w:bCs w:val="1"/>
          <w:color w:val="auto"/>
        </w:rPr>
        <w:t>XHIBIT</w:t>
      </w:r>
      <w:r>
        <w:rPr>
          <w:rFonts w:ascii="Arial" w:cs="Arial" w:eastAsia="Arial" w:hAnsi="Arial"/>
          <w:sz w:val="26"/>
          <w:szCs w:val="26"/>
          <w:b w:val="1"/>
          <w:bCs w:val="1"/>
          <w:color w:val="auto"/>
        </w:rPr>
        <w:t xml:space="preserve"> I</w:t>
      </w:r>
      <w:r>
        <w:rPr>
          <w:rFonts w:ascii="Arial" w:cs="Arial" w:eastAsia="Arial" w:hAnsi="Arial"/>
          <w:sz w:val="21"/>
          <w:szCs w:val="21"/>
          <w:b w:val="1"/>
          <w:bCs w:val="1"/>
          <w:color w:val="auto"/>
        </w:rPr>
        <w:t>NDEX</w:t>
      </w:r>
    </w:p>
    <w:p>
      <w:pPr>
        <w:spacing w:after="0" w:line="984" w:lineRule="exact"/>
        <w:rPr>
          <w:sz w:val="20"/>
          <w:szCs w:val="20"/>
          <w:color w:val="auto"/>
        </w:rPr>
      </w:pPr>
    </w:p>
    <w:p>
      <w:pPr>
        <w:sectPr>
          <w:pgSz w:w="11900" w:h="16838" w:orient="portrait"/>
          <w:cols w:equalWidth="0" w:num="2">
            <w:col w:w="3920" w:space="720"/>
            <w:col w:w="6520"/>
          </w:cols>
          <w:pgMar w:left="240" w:top="118" w:right="499" w:bottom="1440" w:gutter="0" w:footer="0" w:header="0"/>
          <w:type w:val="continuous"/>
        </w:sectPr>
      </w:pPr>
    </w:p>
    <w:p>
      <w:pPr>
        <w:spacing w:after="0" w:line="50" w:lineRule="exact"/>
        <w:rPr>
          <w:sz w:val="20"/>
          <w:szCs w:val="20"/>
          <w:color w:val="auto"/>
        </w:rPr>
      </w:pPr>
    </w:p>
    <w:p>
      <w:pPr>
        <w:ind w:left="800"/>
        <w:spacing w:after="0"/>
        <w:tabs>
          <w:tab w:leader="none" w:pos="16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of Winnebago Industries, Inc. dated December 14,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691515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type w:val="continuous"/>
        </w:sectPr>
      </w:pPr>
    </w:p>
    <w:bookmarkStart w:id="2" w:name="page3"/>
    <w:bookmarkEnd w:id="2"/>
    <w:p>
      <w:pPr>
        <w:ind w:left="10300"/>
        <w:spacing w:after="0"/>
        <w:rPr>
          <w:sz w:val="20"/>
          <w:szCs w:val="20"/>
          <w:color w:val="auto"/>
        </w:rPr>
      </w:pPr>
      <w:r>
        <w:rPr>
          <w:rFonts w:ascii="Arial" w:cs="Arial" w:eastAsia="Arial" w:hAnsi="Arial"/>
          <w:sz w:val="19"/>
          <w:szCs w:val="19"/>
          <w:b w:val="1"/>
          <w:bCs w:val="1"/>
          <w:color w:val="auto"/>
        </w:rPr>
        <w:t>Exhibit 99.1</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Contact:  Sheila Davis – PR/IR Mgr. – 641-585-6803 – </w:t>
      </w:r>
      <w:r>
        <w:rPr>
          <w:rFonts w:ascii="Arial" w:cs="Arial" w:eastAsia="Arial" w:hAnsi="Arial"/>
          <w:sz w:val="18"/>
          <w:szCs w:val="18"/>
          <w:u w:val="single" w:color="auto"/>
          <w:color w:val="auto"/>
        </w:rPr>
        <w:t>sdavis@winnebagoind.com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REPORTS RESULTS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FIRST QUARTER OF FISCAL YEAR 2007</w:t>
      </w:r>
    </w:p>
    <w:p>
      <w:pPr>
        <w:spacing w:after="0" w:line="201"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FOREST CITY, IOWA, December 14, 2006 – Winnebago Industries, Inc. (NYSE:WGO), a leading United States motor home manufacturer, today reported financial results for the Company’s first quarter of fiscal 2007 ended November 25, 2006.</w:t>
      </w:r>
    </w:p>
    <w:p>
      <w:pPr>
        <w:ind w:firstLine="324"/>
        <w:spacing w:after="0" w:line="281" w:lineRule="auto"/>
        <w:rPr>
          <w:sz w:val="20"/>
          <w:szCs w:val="20"/>
          <w:color w:val="auto"/>
        </w:rPr>
      </w:pPr>
      <w:r>
        <w:rPr>
          <w:rFonts w:ascii="Arial" w:cs="Arial" w:eastAsia="Arial" w:hAnsi="Arial"/>
          <w:sz w:val="16"/>
          <w:szCs w:val="16"/>
          <w:color w:val="auto"/>
        </w:rPr>
        <w:t>Net income for the first quarter was $7.9 million, compared to net income of $14.6 million for the first quarter of fiscal 2006. On a diluted per share basis, the Company earned 25 cents a share for the first quarter of fiscal 2007, compared to 44 cents a share for the first quarter last year.</w:t>
      </w:r>
    </w:p>
    <w:p>
      <w:pPr>
        <w:spacing w:after="0" w:line="1" w:lineRule="exact"/>
        <w:rPr>
          <w:sz w:val="20"/>
          <w:szCs w:val="20"/>
          <w:color w:val="auto"/>
        </w:rPr>
      </w:pPr>
    </w:p>
    <w:p>
      <w:pPr>
        <w:ind w:right="140" w:firstLine="324"/>
        <w:spacing w:after="0" w:line="250" w:lineRule="auto"/>
        <w:rPr>
          <w:sz w:val="20"/>
          <w:szCs w:val="20"/>
          <w:color w:val="auto"/>
        </w:rPr>
      </w:pPr>
      <w:r>
        <w:rPr>
          <w:rFonts w:ascii="Arial" w:cs="Arial" w:eastAsia="Arial" w:hAnsi="Arial"/>
          <w:sz w:val="18"/>
          <w:szCs w:val="18"/>
          <w:color w:val="auto"/>
        </w:rPr>
        <w:t>Revenues for the first quarter ended November 25, 2006 were $201.8 million, a decrease of 13 percent, compared to revenues of $232.3 million for the first quarter of fiscal 2006.</w:t>
      </w:r>
    </w:p>
    <w:p>
      <w:pPr>
        <w:spacing w:after="0" w:line="1" w:lineRule="exact"/>
        <w:rPr>
          <w:sz w:val="20"/>
          <w:szCs w:val="20"/>
          <w:color w:val="auto"/>
        </w:rPr>
      </w:pPr>
    </w:p>
    <w:p>
      <w:pPr>
        <w:ind w:right="60" w:firstLine="324"/>
        <w:spacing w:after="0" w:line="281" w:lineRule="auto"/>
        <w:rPr>
          <w:sz w:val="20"/>
          <w:szCs w:val="20"/>
          <w:color w:val="auto"/>
        </w:rPr>
      </w:pPr>
      <w:r>
        <w:rPr>
          <w:rFonts w:ascii="Arial" w:cs="Arial" w:eastAsia="Arial" w:hAnsi="Arial"/>
          <w:sz w:val="16"/>
          <w:szCs w:val="16"/>
          <w:color w:val="auto"/>
        </w:rPr>
        <w:t>“While we remained solidly profitable, the motor home market continues to be challenging,” said Winnebago Industries’ Chairman and CEO Bruce Hertzke. “The first quarter of fiscal 2007 was negatively impacted by lower motor home deliveries, particularly of higher priced models in all of our product classes.”</w:t>
      </w:r>
    </w:p>
    <w:p>
      <w:pPr>
        <w:spacing w:after="0" w:line="1" w:lineRule="exact"/>
        <w:rPr>
          <w:sz w:val="20"/>
          <w:szCs w:val="20"/>
          <w:color w:val="auto"/>
        </w:rPr>
      </w:pPr>
    </w:p>
    <w:p>
      <w:pPr>
        <w:ind w:right="80" w:firstLine="324"/>
        <w:spacing w:after="0" w:line="300" w:lineRule="auto"/>
        <w:rPr>
          <w:sz w:val="20"/>
          <w:szCs w:val="20"/>
          <w:color w:val="auto"/>
        </w:rPr>
      </w:pPr>
      <w:r>
        <w:rPr>
          <w:rFonts w:ascii="Arial" w:cs="Arial" w:eastAsia="Arial" w:hAnsi="Arial"/>
          <w:sz w:val="15"/>
          <w:szCs w:val="15"/>
          <w:color w:val="auto"/>
        </w:rPr>
        <w:t>Other factors negatively impacting the quarter were increases in retail promotional programs, raw material commodities, health care costs, as well as general and administrative costs that resulted primarily from an increase in stock-based compensation in the first quarter of fiscal 2007. While stock-based compensation expense was higher in the first quarter as a result of accelerated vesting due to an increase of retirement eligible employees, it is anticipated to be lower for the full fiscal year 2007 than fiscal 2006. These increased expenses were partially offset by increased financial income and a reduction in the effective tax rate.</w:t>
      </w:r>
    </w:p>
    <w:p>
      <w:pPr>
        <w:spacing w:after="0" w:line="2" w:lineRule="exact"/>
        <w:rPr>
          <w:sz w:val="20"/>
          <w:szCs w:val="20"/>
          <w:color w:val="auto"/>
        </w:rPr>
      </w:pPr>
    </w:p>
    <w:p>
      <w:pPr>
        <w:ind w:right="280" w:firstLine="324"/>
        <w:spacing w:after="0" w:line="250" w:lineRule="auto"/>
        <w:rPr>
          <w:sz w:val="20"/>
          <w:szCs w:val="20"/>
          <w:color w:val="auto"/>
        </w:rPr>
      </w:pPr>
      <w:r>
        <w:rPr>
          <w:rFonts w:ascii="Arial" w:cs="Arial" w:eastAsia="Arial" w:hAnsi="Arial"/>
          <w:sz w:val="18"/>
          <w:szCs w:val="18"/>
          <w:color w:val="auto"/>
        </w:rPr>
        <w:t>“We expect continued weakness in our seasonally slower second quarter due to a challenging market environment and reluctance on the part of our dealer partners to increase inventory during the winter months,” said Hertzke.</w:t>
      </w:r>
    </w:p>
    <w:p>
      <w:pPr>
        <w:spacing w:after="0" w:line="1" w:lineRule="exact"/>
        <w:rPr>
          <w:sz w:val="20"/>
          <w:szCs w:val="20"/>
          <w:color w:val="auto"/>
        </w:rPr>
      </w:pPr>
    </w:p>
    <w:p>
      <w:pPr>
        <w:ind w:right="280" w:firstLine="324"/>
        <w:spacing w:after="0" w:line="281" w:lineRule="auto"/>
        <w:rPr>
          <w:sz w:val="20"/>
          <w:szCs w:val="20"/>
          <w:color w:val="auto"/>
        </w:rPr>
      </w:pPr>
      <w:r>
        <w:rPr>
          <w:rFonts w:ascii="Arial" w:cs="Arial" w:eastAsia="Arial" w:hAnsi="Arial"/>
          <w:sz w:val="16"/>
          <w:szCs w:val="16"/>
          <w:color w:val="auto"/>
        </w:rPr>
        <w:t>“Dealer reaction to Winnebago Industries’ new products introduced at the Recreation Vehicle Industry Association show in Louisville, Kentucky in late November was very positive,” said Winnebago Industries’ President Ed Barker. “The new value-priced Class A gas Winnebago Vista and Itasca Sunstar are in production now and will be arriving at our dealer locations in coming weeks. The exciting new 2008 Class A rear-engine, gas and diesel pusher Winnebago Destination and Itasca Latitude will begin arriving at our dealer locations in early spring.”</w:t>
      </w:r>
    </w:p>
    <w:p>
      <w:pPr>
        <w:spacing w:after="0" w:line="3" w:lineRule="exact"/>
        <w:rPr>
          <w:sz w:val="20"/>
          <w:szCs w:val="20"/>
          <w:color w:val="auto"/>
        </w:rPr>
      </w:pPr>
    </w:p>
    <w:p>
      <w:pPr>
        <w:ind w:left="340" w:right="160"/>
        <w:spacing w:after="0" w:line="300" w:lineRule="auto"/>
        <w:rPr>
          <w:sz w:val="20"/>
          <w:szCs w:val="20"/>
          <w:color w:val="auto"/>
        </w:rPr>
      </w:pPr>
      <w:r>
        <w:rPr>
          <w:rFonts w:ascii="Arial" w:cs="Arial" w:eastAsia="Arial" w:hAnsi="Arial"/>
          <w:sz w:val="15"/>
          <w:szCs w:val="15"/>
          <w:color w:val="auto"/>
        </w:rPr>
        <w:t>As of November 25, 2006, $22.2 million remains available under the April 12, 2006 Board of Directors common stock repurchase authorization. Winnebago Industries will conduct a conference call in conjunction with this release at 9 a.m. Central Time today, Thursday, December 14, 2006. Members</w:t>
      </w:r>
    </w:p>
    <w:p>
      <w:pPr>
        <w:spacing w:after="0" w:line="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 xml:space="preserve">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9" w:lineRule="exact"/>
        <w:rPr>
          <w:sz w:val="20"/>
          <w:szCs w:val="20"/>
          <w:color w:val="auto"/>
        </w:rPr>
      </w:pPr>
    </w:p>
    <w:p>
      <w:pPr>
        <w:ind w:right="260" w:firstLine="324"/>
        <w:spacing w:after="0" w:line="281" w:lineRule="auto"/>
        <w:rPr>
          <w:sz w:val="20"/>
          <w:szCs w:val="20"/>
          <w:color w:val="auto"/>
        </w:rPr>
      </w:pPr>
      <w:r>
        <w:rPr>
          <w:rFonts w:ascii="Arial" w:cs="Arial" w:eastAsia="Arial" w:hAnsi="Arial"/>
          <w:sz w:val="16"/>
          <w:szCs w:val="16"/>
          <w:color w:val="auto"/>
        </w:rPr>
        <w:t xml:space="preserve">Winnebago Industries, Inc. is a leading U.S.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Chicago and NYSE Arca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firstLine="324"/>
        <w:spacing w:after="0" w:line="283"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the effect of global tensions, a decline in consumer confidence, availability and price of fuel, a significant increase in interest rates, a slowdown in the economy, availability of chassis and other key component parts, sales order cancellations, slower than anticipated sales of new or existing products, new product introductions by competitors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2680970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Unaudited Consolidated Statements of Income</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5"/>
          <w:szCs w:val="15"/>
          <w:color w:val="auto"/>
        </w:rPr>
        <w:t>(In thousands, except percent and per share data)</w:t>
      </w:r>
    </w:p>
    <w:p>
      <w:pPr>
        <w:sectPr>
          <w:pgSz w:w="11900" w:h="16838" w:orient="portrait"/>
          <w:cols w:equalWidth="0" w:num="1">
            <w:col w:w="11420"/>
          </w:cols>
          <w:pgMar w:left="240" w:top="355"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6"/>
              </w:rPr>
              <w:t>Nov. 25, 2006</w:t>
            </w:r>
          </w:p>
        </w:tc>
        <w:tc>
          <w:tcPr>
            <w:tcW w:w="560" w:type="dxa"/>
            <w:vAlign w:val="bottom"/>
            <w:tcBorders>
              <w:bottom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9"/>
              </w:rPr>
              <w:t>Nov. 26, 2005</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201,765</w:t>
            </w:r>
          </w:p>
        </w:tc>
        <w:tc>
          <w:tcPr>
            <w:tcW w:w="440" w:type="dxa"/>
            <w:vAlign w:val="bottom"/>
            <w:shd w:val="clear" w:color="auto" w:fill="D6F3E8"/>
          </w:tcPr>
          <w:p>
            <w:pPr>
              <w:spacing w:after="0"/>
              <w:rPr>
                <w:sz w:val="18"/>
                <w:szCs w:val="18"/>
                <w:color w:val="auto"/>
              </w:rPr>
            </w:pPr>
          </w:p>
        </w:tc>
        <w:tc>
          <w:tcPr>
            <w:tcW w:w="5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232,255</w:t>
            </w:r>
          </w:p>
        </w:tc>
        <w:tc>
          <w:tcPr>
            <w:tcW w:w="460" w:type="dxa"/>
            <w:vAlign w:val="bottom"/>
            <w:shd w:val="clear" w:color="auto" w:fill="D6F3E8"/>
          </w:tcPr>
          <w:p>
            <w:pPr>
              <w:spacing w:after="0"/>
              <w:rPr>
                <w:sz w:val="18"/>
                <w:szCs w:val="18"/>
                <w:color w:val="auto"/>
              </w:rPr>
            </w:pPr>
          </w:p>
        </w:tc>
        <w:tc>
          <w:tcPr>
            <w:tcW w:w="5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180,381</w:t>
            </w:r>
          </w:p>
        </w:tc>
        <w:tc>
          <w:tcPr>
            <w:tcW w:w="4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10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201,091</w:t>
            </w:r>
          </w:p>
        </w:tc>
        <w:tc>
          <w:tcPr>
            <w:tcW w:w="4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D6F3E8"/>
          </w:tcPr>
          <w:p>
            <w:pPr>
              <w:spacing w:after="0"/>
              <w:rPr>
                <w:sz w:val="18"/>
                <w:szCs w:val="18"/>
                <w:color w:val="auto"/>
              </w:rPr>
            </w:pPr>
          </w:p>
        </w:tc>
        <w:tc>
          <w:tcPr>
            <w:tcW w:w="8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21,384</w:t>
            </w:r>
          </w:p>
        </w:tc>
        <w:tc>
          <w:tcPr>
            <w:tcW w:w="440" w:type="dxa"/>
            <w:vAlign w:val="bottom"/>
            <w:shd w:val="clear" w:color="auto" w:fill="D6F3E8"/>
          </w:tcPr>
          <w:p>
            <w:pPr>
              <w:spacing w:after="0"/>
              <w:rPr>
                <w:sz w:val="18"/>
                <w:szCs w:val="18"/>
                <w:color w:val="auto"/>
              </w:rPr>
            </w:pPr>
          </w:p>
        </w:tc>
        <w:tc>
          <w:tcPr>
            <w:tcW w:w="5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10.6</w:t>
            </w:r>
          </w:p>
        </w:tc>
        <w:tc>
          <w:tcPr>
            <w:tcW w:w="1040" w:type="dxa"/>
            <w:vAlign w:val="bottom"/>
            <w:shd w:val="clear" w:color="auto" w:fill="D6F3E8"/>
          </w:tcPr>
          <w:p>
            <w:pPr>
              <w:spacing w:after="0"/>
              <w:rPr>
                <w:sz w:val="18"/>
                <w:szCs w:val="18"/>
                <w:color w:val="auto"/>
              </w:rPr>
            </w:pPr>
          </w:p>
        </w:tc>
        <w:tc>
          <w:tcPr>
            <w:tcW w:w="320" w:type="dxa"/>
            <w:vAlign w:val="bottom"/>
            <w:tcBorders>
              <w:bottom w:val="single" w:sz="8" w:color="auto"/>
            </w:tcBorders>
            <w:shd w:val="clear" w:color="auto" w:fill="D6F3E8"/>
          </w:tcPr>
          <w:p>
            <w:pPr>
              <w:spacing w:after="0"/>
              <w:rPr>
                <w:sz w:val="18"/>
                <w:szCs w:val="18"/>
                <w:color w:val="auto"/>
              </w:rPr>
            </w:pPr>
          </w:p>
        </w:tc>
        <w:tc>
          <w:tcPr>
            <w:tcW w:w="8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31,164</w:t>
            </w:r>
          </w:p>
        </w:tc>
        <w:tc>
          <w:tcPr>
            <w:tcW w:w="460" w:type="dxa"/>
            <w:vAlign w:val="bottom"/>
            <w:shd w:val="clear" w:color="auto" w:fill="D6F3E8"/>
          </w:tcPr>
          <w:p>
            <w:pPr>
              <w:spacing w:after="0"/>
              <w:rPr>
                <w:sz w:val="18"/>
                <w:szCs w:val="18"/>
                <w:color w:val="auto"/>
              </w:rPr>
            </w:pPr>
          </w:p>
        </w:tc>
        <w:tc>
          <w:tcPr>
            <w:tcW w:w="5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80"/>
              <w:spacing w:after="0"/>
              <w:rPr>
                <w:sz w:val="20"/>
                <w:szCs w:val="20"/>
                <w:color w:val="auto"/>
              </w:rPr>
            </w:pPr>
            <w:r>
              <w:rPr>
                <w:rFonts w:ascii="Arial" w:cs="Arial" w:eastAsia="Arial" w:hAnsi="Arial"/>
                <w:sz w:val="18"/>
                <w:szCs w:val="18"/>
                <w:color w:val="auto"/>
              </w:rPr>
              <w:t>Selling</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4,727</w:t>
            </w:r>
          </w:p>
        </w:tc>
        <w:tc>
          <w:tcPr>
            <w:tcW w:w="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4,673</w:t>
            </w:r>
          </w:p>
        </w:tc>
        <w:tc>
          <w:tcPr>
            <w:tcW w:w="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D6F3E8"/>
          </w:tcPr>
          <w:p>
            <w:pPr>
              <w:spacing w:after="0"/>
              <w:rPr>
                <w:sz w:val="18"/>
                <w:szCs w:val="18"/>
                <w:color w:val="auto"/>
              </w:rPr>
            </w:pPr>
          </w:p>
        </w:tc>
        <w:tc>
          <w:tcPr>
            <w:tcW w:w="8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6,517</w:t>
            </w:r>
          </w:p>
        </w:tc>
        <w:tc>
          <w:tcPr>
            <w:tcW w:w="440" w:type="dxa"/>
            <w:vAlign w:val="bottom"/>
            <w:shd w:val="clear" w:color="auto" w:fill="D6F3E8"/>
          </w:tcPr>
          <w:p>
            <w:pPr>
              <w:spacing w:after="0"/>
              <w:rPr>
                <w:sz w:val="18"/>
                <w:szCs w:val="18"/>
                <w:color w:val="auto"/>
              </w:rPr>
            </w:pPr>
          </w:p>
        </w:tc>
        <w:tc>
          <w:tcPr>
            <w:tcW w:w="5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w:t>
            </w:r>
          </w:p>
        </w:tc>
        <w:tc>
          <w:tcPr>
            <w:tcW w:w="1040" w:type="dxa"/>
            <w:vAlign w:val="bottom"/>
            <w:shd w:val="clear" w:color="auto" w:fill="D6F3E8"/>
          </w:tcPr>
          <w:p>
            <w:pPr>
              <w:spacing w:after="0"/>
              <w:rPr>
                <w:sz w:val="18"/>
                <w:szCs w:val="18"/>
                <w:color w:val="auto"/>
              </w:rPr>
            </w:pPr>
          </w:p>
        </w:tc>
        <w:tc>
          <w:tcPr>
            <w:tcW w:w="320" w:type="dxa"/>
            <w:vAlign w:val="bottom"/>
            <w:tcBorders>
              <w:bottom w:val="single" w:sz="8" w:color="auto"/>
            </w:tcBorders>
            <w:shd w:val="clear" w:color="auto" w:fill="D6F3E8"/>
          </w:tcPr>
          <w:p>
            <w:pPr>
              <w:spacing w:after="0"/>
              <w:rPr>
                <w:sz w:val="18"/>
                <w:szCs w:val="18"/>
                <w:color w:val="auto"/>
              </w:rPr>
            </w:pPr>
          </w:p>
        </w:tc>
        <w:tc>
          <w:tcPr>
            <w:tcW w:w="8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5,049</w:t>
            </w:r>
          </w:p>
        </w:tc>
        <w:tc>
          <w:tcPr>
            <w:tcW w:w="460" w:type="dxa"/>
            <w:vAlign w:val="bottom"/>
            <w:shd w:val="clear" w:color="auto" w:fill="D6F3E8"/>
          </w:tcPr>
          <w:p>
            <w:pPr>
              <w:spacing w:after="0"/>
              <w:rPr>
                <w:sz w:val="18"/>
                <w:szCs w:val="18"/>
                <w:color w:val="auto"/>
              </w:rPr>
            </w:pPr>
          </w:p>
        </w:tc>
        <w:tc>
          <w:tcPr>
            <w:tcW w:w="5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11,244</w:t>
            </w:r>
          </w:p>
        </w:tc>
        <w:tc>
          <w:tcPr>
            <w:tcW w:w="4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9,722</w:t>
            </w:r>
          </w:p>
        </w:tc>
        <w:tc>
          <w:tcPr>
            <w:tcW w:w="4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5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10,140</w:t>
            </w:r>
          </w:p>
        </w:tc>
        <w:tc>
          <w:tcPr>
            <w:tcW w:w="440" w:type="dxa"/>
            <w:vAlign w:val="bottom"/>
            <w:shd w:val="clear" w:color="auto" w:fill="D6F3E8"/>
          </w:tcPr>
          <w:p>
            <w:pPr>
              <w:spacing w:after="0"/>
              <w:rPr>
                <w:sz w:val="18"/>
                <w:szCs w:val="18"/>
                <w:color w:val="auto"/>
              </w:rPr>
            </w:pPr>
          </w:p>
        </w:tc>
        <w:tc>
          <w:tcPr>
            <w:tcW w:w="5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w:t>
            </w:r>
          </w:p>
        </w:tc>
        <w:tc>
          <w:tcPr>
            <w:tcW w:w="10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21,442</w:t>
            </w:r>
          </w:p>
        </w:tc>
        <w:tc>
          <w:tcPr>
            <w:tcW w:w="460" w:type="dxa"/>
            <w:vAlign w:val="bottom"/>
            <w:shd w:val="clear" w:color="auto" w:fill="D6F3E8"/>
          </w:tcPr>
          <w:p>
            <w:pPr>
              <w:spacing w:after="0"/>
              <w:rPr>
                <w:sz w:val="18"/>
                <w:szCs w:val="18"/>
                <w:color w:val="auto"/>
              </w:rPr>
            </w:pPr>
          </w:p>
        </w:tc>
        <w:tc>
          <w:tcPr>
            <w:tcW w:w="5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Financial income</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4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46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11,703</w:t>
            </w:r>
          </w:p>
        </w:tc>
        <w:tc>
          <w:tcPr>
            <w:tcW w:w="440" w:type="dxa"/>
            <w:vAlign w:val="bottom"/>
            <w:shd w:val="clear" w:color="auto" w:fill="D6F3E8"/>
          </w:tcPr>
          <w:p>
            <w:pPr>
              <w:spacing w:after="0"/>
              <w:rPr>
                <w:sz w:val="18"/>
                <w:szCs w:val="18"/>
                <w:color w:val="auto"/>
              </w:rPr>
            </w:pPr>
          </w:p>
        </w:tc>
        <w:tc>
          <w:tcPr>
            <w:tcW w:w="5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5.8</w:t>
            </w:r>
          </w:p>
        </w:tc>
        <w:tc>
          <w:tcPr>
            <w:tcW w:w="10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22,364</w:t>
            </w:r>
          </w:p>
        </w:tc>
        <w:tc>
          <w:tcPr>
            <w:tcW w:w="460" w:type="dxa"/>
            <w:vAlign w:val="bottom"/>
            <w:shd w:val="clear" w:color="auto" w:fill="D6F3E8"/>
          </w:tcPr>
          <w:p>
            <w:pPr>
              <w:spacing w:after="0"/>
              <w:rPr>
                <w:sz w:val="18"/>
                <w:szCs w:val="18"/>
                <w:color w:val="auto"/>
              </w:rPr>
            </w:pPr>
          </w:p>
        </w:tc>
        <w:tc>
          <w:tcPr>
            <w:tcW w:w="5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Provision for taxes</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4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7,794</w:t>
            </w:r>
          </w:p>
        </w:tc>
        <w:tc>
          <w:tcPr>
            <w:tcW w:w="46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7,936</w:t>
            </w:r>
          </w:p>
        </w:tc>
        <w:tc>
          <w:tcPr>
            <w:tcW w:w="440" w:type="dxa"/>
            <w:vAlign w:val="bottom"/>
            <w:shd w:val="clear" w:color="auto" w:fill="D6F3E8"/>
          </w:tcPr>
          <w:p>
            <w:pPr>
              <w:spacing w:after="0"/>
              <w:rPr>
                <w:sz w:val="18"/>
                <w:szCs w:val="18"/>
                <w:color w:val="auto"/>
              </w:rPr>
            </w:pPr>
          </w:p>
        </w:tc>
        <w:tc>
          <w:tcPr>
            <w:tcW w:w="5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w:t>
            </w:r>
          </w:p>
        </w:tc>
        <w:tc>
          <w:tcPr>
            <w:tcW w:w="13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14,570</w:t>
            </w:r>
          </w:p>
        </w:tc>
        <w:tc>
          <w:tcPr>
            <w:tcW w:w="460" w:type="dxa"/>
            <w:vAlign w:val="bottom"/>
            <w:shd w:val="clear" w:color="auto" w:fill="D6F3E8"/>
          </w:tcPr>
          <w:p>
            <w:pPr>
              <w:spacing w:after="0"/>
              <w:rPr>
                <w:sz w:val="18"/>
                <w:szCs w:val="18"/>
                <w:color w:val="auto"/>
              </w:rPr>
            </w:pPr>
          </w:p>
        </w:tc>
        <w:tc>
          <w:tcPr>
            <w:tcW w:w="5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Income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59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0.25</w:t>
            </w: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0.44</w:t>
            </w: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0.25</w:t>
            </w:r>
          </w:p>
        </w:tc>
        <w:tc>
          <w:tcPr>
            <w:tcW w:w="44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0.44</w:t>
            </w:r>
          </w:p>
        </w:tc>
        <w:tc>
          <w:tcPr>
            <w:tcW w:w="46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590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31,249</w:t>
            </w: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32,934</w:t>
            </w: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31,587</w:t>
            </w:r>
          </w:p>
        </w:tc>
        <w:tc>
          <w:tcPr>
            <w:tcW w:w="44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33,221</w:t>
            </w:r>
          </w:p>
        </w:tc>
        <w:tc>
          <w:tcPr>
            <w:tcW w:w="46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1456055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Nov. 25, 2006</w:t>
            </w:r>
          </w:p>
        </w:tc>
        <w:tc>
          <w:tcPr>
            <w:tcW w:w="1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Aug. 26, 2006</w:t>
            </w:r>
          </w:p>
        </w:tc>
        <w:tc>
          <w:tcPr>
            <w:tcW w:w="0" w:type="dxa"/>
            <w:vAlign w:val="bottom"/>
          </w:tcPr>
          <w:p>
            <w:pPr>
              <w:spacing w:after="0"/>
              <w:rPr>
                <w:sz w:val="1"/>
                <w:szCs w:val="1"/>
                <w:color w:val="auto"/>
              </w:rPr>
            </w:pPr>
          </w:p>
        </w:tc>
      </w:tr>
      <w:tr>
        <w:trPr>
          <w:trHeight w:val="201"/>
        </w:trPr>
        <w:tc>
          <w:tcPr>
            <w:tcW w:w="8240" w:type="dxa"/>
            <w:vAlign w:val="bottom"/>
            <w:gridSpan w:val="2"/>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D6F3E8"/>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12,954</w:t>
            </w:r>
          </w:p>
        </w:tc>
        <w:tc>
          <w:tcPr>
            <w:tcW w:w="440" w:type="dxa"/>
            <w:vAlign w:val="bottom"/>
            <w:shd w:val="clear" w:color="auto" w:fill="D6F3E8"/>
          </w:tcPr>
          <w:p>
            <w:pPr>
              <w:spacing w:after="0"/>
              <w:rPr>
                <w:sz w:val="18"/>
                <w:szCs w:val="18"/>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24,934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129,950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129,950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D6F3E8"/>
          </w:tcPr>
          <w:p>
            <w:pPr>
              <w:ind w:left="120"/>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23,517</w:t>
            </w:r>
          </w:p>
        </w:tc>
        <w:tc>
          <w:tcPr>
            <w:tcW w:w="4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20,859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97,168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77,081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D6F3E8"/>
          </w:tcPr>
          <w:p>
            <w:pPr>
              <w:ind w:left="120"/>
              <w:spacing w:after="0"/>
              <w:rPr>
                <w:sz w:val="20"/>
                <w:szCs w:val="20"/>
                <w:color w:val="auto"/>
              </w:rPr>
            </w:pPr>
            <w:r>
              <w:rPr>
                <w:rFonts w:ascii="Arial" w:cs="Arial" w:eastAsia="Arial" w:hAnsi="Arial"/>
                <w:sz w:val="18"/>
                <w:szCs w:val="18"/>
                <w:color w:val="auto"/>
              </w:rPr>
              <w:t>Prepaid and other</w:t>
            </w:r>
          </w:p>
        </w:tc>
        <w:tc>
          <w:tcPr>
            <w:tcW w:w="200" w:type="dxa"/>
            <w:vAlign w:val="bottom"/>
            <w:tcBorders>
              <w:bottom w:val="single" w:sz="8" w:color="auto"/>
            </w:tcBorders>
            <w:shd w:val="clear" w:color="auto" w:fill="D6F3E8"/>
          </w:tcPr>
          <w:p>
            <w:pPr>
              <w:spacing w:after="0"/>
              <w:rPr>
                <w:sz w:val="18"/>
                <w:szCs w:val="18"/>
                <w:color w:val="auto"/>
              </w:rPr>
            </w:pPr>
          </w:p>
        </w:tc>
        <w:tc>
          <w:tcPr>
            <w:tcW w:w="10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15,676</w:t>
            </w:r>
          </w:p>
        </w:tc>
        <w:tc>
          <w:tcPr>
            <w:tcW w:w="440" w:type="dxa"/>
            <w:vAlign w:val="bottom"/>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14,336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279,265</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267,160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8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D6F3E8"/>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55,594</w:t>
            </w:r>
          </w:p>
        </w:tc>
        <w:tc>
          <w:tcPr>
            <w:tcW w:w="4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56,907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24,678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D6F3E8"/>
          </w:tcPr>
          <w:p>
            <w:pPr>
              <w:spacing w:after="0"/>
              <w:rPr>
                <w:sz w:val="20"/>
                <w:szCs w:val="20"/>
                <w:color w:val="auto"/>
              </w:rPr>
            </w:pPr>
            <w:r>
              <w:rPr>
                <w:rFonts w:ascii="Arial" w:cs="Arial" w:eastAsia="Arial" w:hAnsi="Arial"/>
                <w:sz w:val="18"/>
                <w:szCs w:val="18"/>
                <w:color w:val="auto"/>
              </w:rPr>
              <w:t>Investment in life insurance</w:t>
            </w:r>
          </w:p>
        </w:tc>
        <w:tc>
          <w:tcPr>
            <w:tcW w:w="20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19,669</w:t>
            </w:r>
          </w:p>
        </w:tc>
        <w:tc>
          <w:tcPr>
            <w:tcW w:w="4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20,814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16,362</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D6F3E8"/>
          </w:tcPr>
          <w:p>
            <w:pPr>
              <w:ind w:left="2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395,568</w:t>
            </w:r>
          </w:p>
        </w:tc>
        <w:tc>
          <w:tcPr>
            <w:tcW w:w="440" w:type="dxa"/>
            <w:vAlign w:val="bottom"/>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384,715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82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26,675</w:t>
            </w:r>
          </w:p>
        </w:tc>
        <w:tc>
          <w:tcPr>
            <w:tcW w:w="4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27,923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D6F3E8"/>
          </w:tcPr>
          <w:p>
            <w:pPr>
              <w:ind w:left="12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9,799</w:t>
            </w:r>
          </w:p>
        </w:tc>
        <w:tc>
          <w:tcPr>
            <w:tcW w:w="4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7,876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42,707</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D6F3E8"/>
          </w:tcPr>
          <w:p>
            <w:pPr>
              <w:ind w:left="24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79,181</w:t>
            </w:r>
          </w:p>
        </w:tc>
        <w:tc>
          <w:tcPr>
            <w:tcW w:w="4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80,122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8240" w:type="dxa"/>
            <w:vAlign w:val="bottom"/>
            <w:gridSpan w:val="2"/>
          </w:tcPr>
          <w:p>
            <w:pPr>
              <w:spacing w:after="0"/>
              <w:rPr>
                <w:sz w:val="20"/>
                <w:szCs w:val="20"/>
                <w:color w:val="auto"/>
              </w:rPr>
            </w:pPr>
            <w:r>
              <w:rPr>
                <w:rFonts w:ascii="Arial" w:cs="Arial" w:eastAsia="Arial" w:hAnsi="Arial"/>
                <w:sz w:val="18"/>
                <w:szCs w:val="18"/>
                <w:color w:val="auto"/>
              </w:rPr>
              <w:t>Postretirement health care and deferred</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20" w:type="dxa"/>
            <w:vAlign w:val="bottom"/>
          </w:tcPr>
          <w:p>
            <w:pPr>
              <w:ind w:left="80"/>
              <w:spacing w:after="0"/>
              <w:rPr>
                <w:sz w:val="20"/>
                <w:szCs w:val="20"/>
                <w:color w:val="auto"/>
              </w:rPr>
            </w:pPr>
            <w:r>
              <w:rPr>
                <w:rFonts w:ascii="Arial" w:cs="Arial" w:eastAsia="Arial" w:hAnsi="Arial"/>
                <w:sz w:val="18"/>
                <w:szCs w:val="18"/>
                <w:color w:val="auto"/>
              </w:rPr>
              <w:t>compensation benefits, net of current portion</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87,128</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86,271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shd w:val="clear" w:color="auto" w:fill="D6F3E8"/>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shd w:val="clear" w:color="auto" w:fill="D6F3E8"/>
          </w:tcPr>
          <w:p>
            <w:pPr>
              <w:spacing w:after="0"/>
              <w:rPr>
                <w:sz w:val="18"/>
                <w:szCs w:val="18"/>
                <w:color w:val="auto"/>
              </w:rPr>
            </w:pPr>
          </w:p>
        </w:tc>
        <w:tc>
          <w:tcPr>
            <w:tcW w:w="10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229,259</w:t>
            </w:r>
          </w:p>
        </w:tc>
        <w:tc>
          <w:tcPr>
            <w:tcW w:w="440" w:type="dxa"/>
            <w:vAlign w:val="bottom"/>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218,322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395,568</w:t>
            </w:r>
          </w:p>
        </w:tc>
        <w:tc>
          <w:tcPr>
            <w:tcW w:w="4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7" w:right="239" w:bottom="36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1235710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Pr>
          <w:p>
            <w:pPr>
              <w:spacing w:after="0"/>
              <w:rPr>
                <w:sz w:val="12"/>
                <w:szCs w:val="12"/>
                <w:color w:val="auto"/>
              </w:rPr>
            </w:pPr>
          </w:p>
        </w:tc>
        <w:tc>
          <w:tcPr>
            <w:tcW w:w="1820" w:type="dxa"/>
            <w:vAlign w:val="bottom"/>
            <w:gridSpan w:val="2"/>
          </w:tcPr>
          <w:p>
            <w:pPr>
              <w:jc w:val="right"/>
              <w:ind w:right="1060"/>
              <w:spacing w:after="0" w:line="142" w:lineRule="exact"/>
              <w:rPr>
                <w:sz w:val="20"/>
                <w:szCs w:val="20"/>
                <w:color w:val="auto"/>
              </w:rPr>
            </w:pPr>
            <w:r>
              <w:rPr>
                <w:rFonts w:ascii="Arial" w:cs="Arial" w:eastAsia="Arial" w:hAnsi="Arial"/>
                <w:sz w:val="14"/>
                <w:szCs w:val="14"/>
                <w:b w:val="1"/>
                <w:bCs w:val="1"/>
                <w:color w:val="auto"/>
                <w:w w:val="83"/>
              </w:rPr>
              <w:t>Nov. 25, 2006</w:t>
            </w:r>
          </w:p>
        </w:tc>
        <w:tc>
          <w:tcPr>
            <w:tcW w:w="100" w:type="dxa"/>
            <w:vAlign w:val="bottom"/>
          </w:tcPr>
          <w:p>
            <w:pPr>
              <w:spacing w:after="0"/>
              <w:rPr>
                <w:sz w:val="12"/>
                <w:szCs w:val="12"/>
                <w:color w:val="auto"/>
              </w:rPr>
            </w:pPr>
          </w:p>
        </w:tc>
        <w:tc>
          <w:tcPr>
            <w:tcW w:w="90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5"/>
              </w:rPr>
              <w:t>Nov. 26, 2005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4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D6F3E8"/>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D6F3E8"/>
          </w:tcPr>
          <w:p>
            <w:pPr>
              <w:jc w:val="right"/>
              <w:ind w:right="920"/>
              <w:spacing w:after="0"/>
              <w:rPr>
                <w:sz w:val="20"/>
                <w:szCs w:val="20"/>
                <w:color w:val="auto"/>
              </w:rPr>
            </w:pPr>
            <w:r>
              <w:rPr>
                <w:rFonts w:ascii="Arial" w:cs="Arial" w:eastAsia="Arial" w:hAnsi="Arial"/>
                <w:sz w:val="18"/>
                <w:szCs w:val="18"/>
                <w:color w:val="auto"/>
              </w:rPr>
              <w:t>7,936</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14,570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20" w:type="dxa"/>
            <w:vAlign w:val="bottom"/>
          </w:tcPr>
          <w:p>
            <w:pPr>
              <w:ind w:left="60"/>
              <w:spacing w:after="0"/>
              <w:rPr>
                <w:sz w:val="20"/>
                <w:szCs w:val="20"/>
                <w:color w:val="auto"/>
              </w:rPr>
            </w:pPr>
            <w:r>
              <w:rPr>
                <w:rFonts w:ascii="Arial" w:cs="Arial" w:eastAsia="Arial" w:hAnsi="Arial"/>
                <w:sz w:val="18"/>
                <w:szCs w:val="18"/>
                <w:color w:val="auto"/>
              </w:rPr>
              <w:t>Adjustments to reconcile net income to net cash</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provided by operating activities: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D6F3E8"/>
          </w:tcPr>
          <w:p>
            <w:pPr>
              <w:ind w:left="16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D6F3E8"/>
          </w:tcPr>
          <w:p>
            <w:pPr>
              <w:spacing w:after="0"/>
              <w:rPr>
                <w:sz w:val="18"/>
                <w:szCs w:val="18"/>
                <w:color w:val="auto"/>
              </w:rPr>
            </w:pPr>
          </w:p>
        </w:tc>
        <w:tc>
          <w:tcPr>
            <w:tcW w:w="1820" w:type="dxa"/>
            <w:vAlign w:val="bottom"/>
            <w:gridSpan w:val="2"/>
            <w:shd w:val="clear" w:color="auto" w:fill="D6F3E8"/>
          </w:tcPr>
          <w:p>
            <w:pPr>
              <w:jc w:val="right"/>
              <w:ind w:right="920"/>
              <w:spacing w:after="0"/>
              <w:rPr>
                <w:sz w:val="20"/>
                <w:szCs w:val="20"/>
                <w:color w:val="auto"/>
              </w:rPr>
            </w:pPr>
            <w:r>
              <w:rPr>
                <w:rFonts w:ascii="Arial" w:cs="Arial" w:eastAsia="Arial" w:hAnsi="Arial"/>
                <w:sz w:val="18"/>
                <w:szCs w:val="18"/>
                <w:color w:val="auto"/>
              </w:rPr>
              <w:t>2,654</w:t>
            </w:r>
          </w:p>
        </w:tc>
        <w:tc>
          <w:tcPr>
            <w:tcW w:w="10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2,662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820" w:type="dxa"/>
            <w:vAlign w:val="bottom"/>
            <w:gridSpan w:val="2"/>
          </w:tcPr>
          <w:p>
            <w:pPr>
              <w:jc w:val="right"/>
              <w:ind w:right="920"/>
              <w:spacing w:after="0"/>
              <w:rPr>
                <w:sz w:val="20"/>
                <w:szCs w:val="20"/>
                <w:color w:val="auto"/>
              </w:rPr>
            </w:pPr>
            <w:r>
              <w:rPr>
                <w:rFonts w:ascii="Arial" w:cs="Arial" w:eastAsia="Arial" w:hAnsi="Arial"/>
                <w:sz w:val="18"/>
                <w:szCs w:val="18"/>
                <w:color w:val="auto"/>
              </w:rPr>
              <w:t>2,817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Post retirement benefit income and deferred</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D6F3E8"/>
          </w:tcPr>
          <w:p>
            <w:pPr>
              <w:ind w:left="260"/>
              <w:spacing w:after="0"/>
              <w:rPr>
                <w:sz w:val="20"/>
                <w:szCs w:val="20"/>
                <w:color w:val="auto"/>
              </w:rPr>
            </w:pPr>
            <w:r>
              <w:rPr>
                <w:rFonts w:ascii="Arial" w:cs="Arial" w:eastAsia="Arial" w:hAnsi="Arial"/>
                <w:sz w:val="18"/>
                <w:szCs w:val="18"/>
                <w:color w:val="auto"/>
              </w:rPr>
              <w:t>compensation expense</w:t>
            </w:r>
          </w:p>
        </w:tc>
        <w:tc>
          <w:tcPr>
            <w:tcW w:w="140" w:type="dxa"/>
            <w:vAlign w:val="bottom"/>
            <w:shd w:val="clear" w:color="auto" w:fill="D6F3E8"/>
          </w:tcPr>
          <w:p>
            <w:pPr>
              <w:spacing w:after="0"/>
              <w:rPr>
                <w:sz w:val="18"/>
                <w:szCs w:val="18"/>
                <w:color w:val="auto"/>
              </w:rPr>
            </w:pPr>
          </w:p>
        </w:tc>
        <w:tc>
          <w:tcPr>
            <w:tcW w:w="1820" w:type="dxa"/>
            <w:vAlign w:val="bottom"/>
            <w:gridSpan w:val="2"/>
            <w:shd w:val="clear" w:color="auto" w:fill="D6F3E8"/>
          </w:tcPr>
          <w:p>
            <w:pPr>
              <w:jc w:val="right"/>
              <w:ind w:right="92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D6F3E8"/>
          </w:tcPr>
          <w:p>
            <w:pPr>
              <w:ind w:left="160"/>
              <w:spacing w:after="0"/>
              <w:rPr>
                <w:sz w:val="20"/>
                <w:szCs w:val="20"/>
                <w:color w:val="auto"/>
              </w:rPr>
            </w:pPr>
            <w:r>
              <w:rPr>
                <w:rFonts w:ascii="Arial" w:cs="Arial" w:eastAsia="Arial" w:hAnsi="Arial"/>
                <w:sz w:val="18"/>
                <w:szCs w:val="18"/>
                <w:color w:val="auto"/>
              </w:rPr>
              <w:t>Increase in cash surrender value of life insurance policies</w:t>
            </w:r>
          </w:p>
        </w:tc>
        <w:tc>
          <w:tcPr>
            <w:tcW w:w="140" w:type="dxa"/>
            <w:vAlign w:val="bottom"/>
            <w:shd w:val="clear" w:color="auto" w:fill="D6F3E8"/>
          </w:tcPr>
          <w:p>
            <w:pPr>
              <w:spacing w:after="0"/>
              <w:rPr>
                <w:sz w:val="18"/>
                <w:szCs w:val="18"/>
                <w:color w:val="auto"/>
              </w:rPr>
            </w:pPr>
          </w:p>
        </w:tc>
        <w:tc>
          <w:tcPr>
            <w:tcW w:w="1820" w:type="dxa"/>
            <w:vAlign w:val="bottom"/>
            <w:gridSpan w:val="2"/>
            <w:shd w:val="clear" w:color="auto" w:fill="D6F3E8"/>
          </w:tcPr>
          <w:p>
            <w:pPr>
              <w:jc w:val="right"/>
              <w:ind w:right="86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Excess tax benefit of stock options</w:t>
            </w:r>
          </w:p>
        </w:tc>
        <w:tc>
          <w:tcPr>
            <w:tcW w:w="140" w:type="dxa"/>
            <w:vAlign w:val="bottom"/>
          </w:tcPr>
          <w:p>
            <w:pPr>
              <w:spacing w:after="0"/>
              <w:rPr>
                <w:sz w:val="18"/>
                <w:szCs w:val="18"/>
                <w:color w:val="auto"/>
              </w:rPr>
            </w:pP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D6F3E8"/>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D6F3E8"/>
          </w:tcPr>
          <w:p>
            <w:pPr>
              <w:spacing w:after="0"/>
              <w:rPr>
                <w:sz w:val="18"/>
                <w:szCs w:val="18"/>
                <w:color w:val="auto"/>
              </w:rPr>
            </w:pPr>
          </w:p>
        </w:tc>
        <w:tc>
          <w:tcPr>
            <w:tcW w:w="1820" w:type="dxa"/>
            <w:vAlign w:val="bottom"/>
            <w:gridSpan w:val="2"/>
            <w:shd w:val="clear" w:color="auto" w:fill="D6F3E8"/>
          </w:tcPr>
          <w:p>
            <w:pPr>
              <w:jc w:val="right"/>
              <w:ind w:right="92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20" w:type="dxa"/>
            <w:vAlign w:val="bottom"/>
          </w:tcPr>
          <w:p>
            <w:pPr>
              <w:ind w:left="80"/>
              <w:spacing w:after="0"/>
              <w:rPr>
                <w:sz w:val="20"/>
                <w:szCs w:val="20"/>
                <w:color w:val="auto"/>
              </w:rPr>
            </w:pPr>
            <w:r>
              <w:rPr>
                <w:rFonts w:ascii="Arial" w:cs="Arial" w:eastAsia="Arial" w:hAnsi="Arial"/>
                <w:sz w:val="18"/>
                <w:szCs w:val="18"/>
                <w:color w:val="auto"/>
              </w:rPr>
              <w:t>Change in assets and liabilities: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(20,087)</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6,629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D6F3E8"/>
          </w:tcPr>
          <w:p>
            <w:pPr>
              <w:ind w:left="160"/>
              <w:spacing w:after="0"/>
              <w:rPr>
                <w:sz w:val="20"/>
                <w:szCs w:val="20"/>
                <w:color w:val="auto"/>
              </w:rPr>
            </w:pPr>
            <w:r>
              <w:rPr>
                <w:rFonts w:ascii="Arial" w:cs="Arial" w:eastAsia="Arial" w:hAnsi="Arial"/>
                <w:sz w:val="18"/>
                <w:szCs w:val="18"/>
                <w:color w:val="auto"/>
              </w:rPr>
              <w:t>Receivables and prepaid assets</w:t>
            </w:r>
          </w:p>
        </w:tc>
        <w:tc>
          <w:tcPr>
            <w:tcW w:w="140" w:type="dxa"/>
            <w:vAlign w:val="bottom"/>
            <w:shd w:val="clear" w:color="auto" w:fill="D6F3E8"/>
          </w:tcPr>
          <w:p>
            <w:pPr>
              <w:spacing w:after="0"/>
              <w:rPr>
                <w:sz w:val="18"/>
                <w:szCs w:val="18"/>
                <w:color w:val="auto"/>
              </w:rPr>
            </w:pPr>
          </w:p>
        </w:tc>
        <w:tc>
          <w:tcPr>
            <w:tcW w:w="1820" w:type="dxa"/>
            <w:vAlign w:val="bottom"/>
            <w:gridSpan w:val="2"/>
            <w:shd w:val="clear" w:color="auto" w:fill="D6F3E8"/>
          </w:tcPr>
          <w:p>
            <w:pPr>
              <w:jc w:val="right"/>
              <w:ind w:right="860"/>
              <w:spacing w:after="0"/>
              <w:rPr>
                <w:sz w:val="20"/>
                <w:szCs w:val="20"/>
                <w:color w:val="auto"/>
              </w:rPr>
            </w:pPr>
            <w:r>
              <w:rPr>
                <w:rFonts w:ascii="Arial" w:cs="Arial" w:eastAsia="Arial" w:hAnsi="Arial"/>
                <w:sz w:val="18"/>
                <w:szCs w:val="18"/>
                <w:color w:val="auto"/>
              </w:rPr>
              <w:t>(3,034)</w:t>
            </w:r>
          </w:p>
        </w:tc>
        <w:tc>
          <w:tcPr>
            <w:tcW w:w="10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15,284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1820" w:type="dxa"/>
            <w:vAlign w:val="bottom"/>
            <w:gridSpan w:val="2"/>
          </w:tcPr>
          <w:p>
            <w:pPr>
              <w:jc w:val="right"/>
              <w:ind w:right="920"/>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D6F3E8"/>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D6F3E8"/>
          </w:tcPr>
          <w:p>
            <w:pPr>
              <w:spacing w:after="0"/>
              <w:rPr>
                <w:sz w:val="18"/>
                <w:szCs w:val="18"/>
                <w:color w:val="auto"/>
              </w:rPr>
            </w:pPr>
          </w:p>
        </w:tc>
        <w:tc>
          <w:tcPr>
            <w:tcW w:w="1820" w:type="dxa"/>
            <w:vAlign w:val="bottom"/>
            <w:gridSpan w:val="2"/>
            <w:shd w:val="clear" w:color="auto" w:fill="D6F3E8"/>
          </w:tcPr>
          <w:p>
            <w:pPr>
              <w:jc w:val="right"/>
              <w:ind w:right="860"/>
              <w:spacing w:after="0"/>
              <w:rPr>
                <w:sz w:val="20"/>
                <w:szCs w:val="20"/>
                <w:color w:val="auto"/>
              </w:rPr>
            </w:pPr>
            <w:r>
              <w:rPr>
                <w:rFonts w:ascii="Arial" w:cs="Arial" w:eastAsia="Arial" w:hAnsi="Arial"/>
                <w:sz w:val="18"/>
                <w:szCs w:val="18"/>
                <w:color w:val="auto"/>
              </w:rPr>
              <w:t>(3,112)</w:t>
            </w:r>
          </w:p>
        </w:tc>
        <w:tc>
          <w:tcPr>
            <w:tcW w:w="10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(16,162)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Postretirement and deferred compensation benefits</w:t>
            </w:r>
          </w:p>
        </w:tc>
        <w:tc>
          <w:tcPr>
            <w:tcW w:w="140" w:type="dxa"/>
            <w:vAlign w:val="bottom"/>
          </w:tcPr>
          <w:p>
            <w:pPr>
              <w:spacing w:after="0"/>
              <w:rPr>
                <w:sz w:val="18"/>
                <w:szCs w:val="18"/>
                <w:color w:val="auto"/>
              </w:rPr>
            </w:pP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D6F3E8"/>
          </w:tcPr>
          <w:p>
            <w:pPr>
              <w:ind w:left="80"/>
              <w:spacing w:after="0"/>
              <w:rPr>
                <w:sz w:val="20"/>
                <w:szCs w:val="20"/>
                <w:color w:val="auto"/>
              </w:rPr>
            </w:pPr>
            <w:r>
              <w:rPr>
                <w:rFonts w:ascii="Arial" w:cs="Arial" w:eastAsia="Arial" w:hAnsi="Arial"/>
                <w:sz w:val="18"/>
                <w:szCs w:val="18"/>
                <w:color w:val="auto"/>
              </w:rPr>
              <w:t>Net cash (used in) provided by operating activities</w:t>
            </w:r>
          </w:p>
        </w:tc>
        <w:tc>
          <w:tcPr>
            <w:tcW w:w="140" w:type="dxa"/>
            <w:vAlign w:val="bottom"/>
            <w:shd w:val="clear" w:color="auto" w:fill="D6F3E8"/>
          </w:tcPr>
          <w:p>
            <w:pPr>
              <w:spacing w:after="0"/>
              <w:rPr>
                <w:sz w:val="18"/>
                <w:szCs w:val="18"/>
                <w:color w:val="auto"/>
              </w:rPr>
            </w:pPr>
          </w:p>
        </w:tc>
        <w:tc>
          <w:tcPr>
            <w:tcW w:w="1820" w:type="dxa"/>
            <w:vAlign w:val="bottom"/>
            <w:gridSpan w:val="2"/>
            <w:shd w:val="clear" w:color="auto" w:fill="D6F3E8"/>
          </w:tcPr>
          <w:p>
            <w:pPr>
              <w:jc w:val="right"/>
              <w:ind w:right="860"/>
              <w:spacing w:after="0"/>
              <w:rPr>
                <w:sz w:val="20"/>
                <w:szCs w:val="20"/>
                <w:color w:val="auto"/>
              </w:rPr>
            </w:pPr>
            <w:r>
              <w:rPr>
                <w:rFonts w:ascii="Arial" w:cs="Arial" w:eastAsia="Arial" w:hAnsi="Arial"/>
                <w:sz w:val="18"/>
                <w:szCs w:val="18"/>
                <w:color w:val="auto"/>
              </w:rPr>
              <w:t>(11,577)</w:t>
            </w:r>
          </w:p>
        </w:tc>
        <w:tc>
          <w:tcPr>
            <w:tcW w:w="10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32,389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80"/>
              <w:spacing w:after="0"/>
              <w:rPr>
                <w:sz w:val="20"/>
                <w:szCs w:val="20"/>
                <w:color w:val="auto"/>
              </w:rPr>
            </w:pPr>
            <w:r>
              <w:rPr>
                <w:rFonts w:ascii="Arial" w:cs="Arial" w:eastAsia="Arial" w:hAnsi="Arial"/>
                <w:sz w:val="18"/>
                <w:szCs w:val="18"/>
                <w:color w:val="auto"/>
              </w:rPr>
              <w:t>Purchases of short-term investments</w:t>
            </w:r>
          </w:p>
        </w:tc>
        <w:tc>
          <w:tcPr>
            <w:tcW w:w="140" w:type="dxa"/>
            <w:vAlign w:val="bottom"/>
          </w:tcPr>
          <w:p>
            <w:pPr>
              <w:spacing w:after="0"/>
              <w:rPr>
                <w:sz w:val="19"/>
                <w:szCs w:val="19"/>
                <w:color w:val="auto"/>
              </w:rPr>
            </w:pP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(80,449)</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(49,500)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D6F3E8"/>
          </w:tcPr>
          <w:p>
            <w:pPr>
              <w:ind w:left="80"/>
              <w:spacing w:after="0"/>
              <w:rPr>
                <w:sz w:val="20"/>
                <w:szCs w:val="20"/>
                <w:color w:val="auto"/>
              </w:rPr>
            </w:pPr>
            <w:r>
              <w:rPr>
                <w:rFonts w:ascii="Arial" w:cs="Arial" w:eastAsia="Arial" w:hAnsi="Arial"/>
                <w:sz w:val="18"/>
                <w:szCs w:val="18"/>
                <w:color w:val="auto"/>
              </w:rPr>
              <w:t>Proceeds from the sale or maturity of short-term investments</w:t>
            </w:r>
          </w:p>
        </w:tc>
        <w:tc>
          <w:tcPr>
            <w:tcW w:w="140" w:type="dxa"/>
            <w:vAlign w:val="bottom"/>
            <w:shd w:val="clear" w:color="auto" w:fill="D6F3E8"/>
          </w:tcPr>
          <w:p>
            <w:pPr>
              <w:spacing w:after="0"/>
              <w:rPr>
                <w:sz w:val="18"/>
                <w:szCs w:val="18"/>
                <w:color w:val="auto"/>
              </w:rPr>
            </w:pPr>
          </w:p>
        </w:tc>
        <w:tc>
          <w:tcPr>
            <w:tcW w:w="1820" w:type="dxa"/>
            <w:vAlign w:val="bottom"/>
            <w:gridSpan w:val="2"/>
            <w:shd w:val="clear" w:color="auto" w:fill="D6F3E8"/>
          </w:tcPr>
          <w:p>
            <w:pPr>
              <w:jc w:val="right"/>
              <w:ind w:right="920"/>
              <w:spacing w:after="0"/>
              <w:rPr>
                <w:sz w:val="20"/>
                <w:szCs w:val="20"/>
                <w:color w:val="auto"/>
              </w:rPr>
            </w:pPr>
            <w:r>
              <w:rPr>
                <w:rFonts w:ascii="Arial" w:cs="Arial" w:eastAsia="Arial" w:hAnsi="Arial"/>
                <w:sz w:val="18"/>
                <w:szCs w:val="18"/>
                <w:color w:val="auto"/>
              </w:rPr>
              <w:t>80,449</w:t>
            </w:r>
          </w:p>
        </w:tc>
        <w:tc>
          <w:tcPr>
            <w:tcW w:w="10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32,600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8"/>
                <w:szCs w:val="18"/>
                <w:color w:val="auto"/>
              </w:rPr>
            </w:pP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D6F3E8"/>
          </w:tcPr>
          <w:p>
            <w:pPr>
              <w:ind w:left="8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D6F3E8"/>
          </w:tcPr>
          <w:p>
            <w:pPr>
              <w:spacing w:after="0"/>
              <w:rPr>
                <w:sz w:val="18"/>
                <w:szCs w:val="18"/>
                <w:color w:val="auto"/>
              </w:rPr>
            </w:pPr>
          </w:p>
        </w:tc>
        <w:tc>
          <w:tcPr>
            <w:tcW w:w="1820" w:type="dxa"/>
            <w:vAlign w:val="bottom"/>
            <w:gridSpan w:val="2"/>
            <w:shd w:val="clear" w:color="auto" w:fill="D6F3E8"/>
          </w:tcPr>
          <w:p>
            <w:pPr>
              <w:jc w:val="right"/>
              <w:ind w:right="920"/>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(18,136)</w:t>
            </w:r>
          </w:p>
        </w:tc>
        <w:tc>
          <w:tcPr>
            <w:tcW w:w="0" w:type="dxa"/>
            <w:vAlign w:val="bottom"/>
          </w:tcPr>
          <w:p>
            <w:pPr>
              <w:spacing w:after="0"/>
              <w:rPr>
                <w:sz w:val="1"/>
                <w:szCs w:val="1"/>
                <w:color w:val="auto"/>
              </w:rPr>
            </w:pPr>
          </w:p>
        </w:tc>
      </w:tr>
      <w:tr>
        <w:trPr>
          <w:trHeight w:val="467"/>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D6F3E8"/>
          </w:tcPr>
          <w:p>
            <w:pPr>
              <w:ind w:left="80"/>
              <w:spacing w:after="0"/>
              <w:rPr>
                <w:sz w:val="20"/>
                <w:szCs w:val="20"/>
                <w:color w:val="auto"/>
              </w:rPr>
            </w:pPr>
            <w:r>
              <w:rPr>
                <w:rFonts w:ascii="Arial" w:cs="Arial" w:eastAsia="Arial" w:hAnsi="Arial"/>
                <w:sz w:val="18"/>
                <w:szCs w:val="18"/>
                <w:color w:val="auto"/>
              </w:rPr>
              <w:t>Payments for purchase of common stock</w:t>
            </w:r>
          </w:p>
        </w:tc>
        <w:tc>
          <w:tcPr>
            <w:tcW w:w="140" w:type="dxa"/>
            <w:vAlign w:val="bottom"/>
            <w:shd w:val="clear" w:color="auto" w:fill="D6F3E8"/>
          </w:tcPr>
          <w:p>
            <w:pPr>
              <w:spacing w:after="0"/>
              <w:rPr>
                <w:sz w:val="18"/>
                <w:szCs w:val="18"/>
                <w:color w:val="auto"/>
              </w:rPr>
            </w:pPr>
          </w:p>
        </w:tc>
        <w:tc>
          <w:tcPr>
            <w:tcW w:w="1820" w:type="dxa"/>
            <w:vAlign w:val="bottom"/>
            <w:gridSpan w:val="2"/>
            <w:shd w:val="clear" w:color="auto" w:fill="D6F3E8"/>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0"/>
              <w:spacing w:after="0"/>
              <w:rPr>
                <w:sz w:val="20"/>
                <w:szCs w:val="20"/>
                <w:color w:val="auto"/>
              </w:rPr>
            </w:pPr>
            <w:r>
              <w:rPr>
                <w:rFonts w:ascii="Arial" w:cs="Arial" w:eastAsia="Arial" w:hAnsi="Arial"/>
                <w:sz w:val="18"/>
                <w:szCs w:val="18"/>
                <w:color w:val="auto"/>
              </w:rPr>
              <w:t>Payments of cash dividends</w:t>
            </w:r>
          </w:p>
        </w:tc>
        <w:tc>
          <w:tcPr>
            <w:tcW w:w="140" w:type="dxa"/>
            <w:vAlign w:val="bottom"/>
          </w:tcPr>
          <w:p>
            <w:pPr>
              <w:spacing w:after="0"/>
              <w:rPr>
                <w:sz w:val="18"/>
                <w:szCs w:val="18"/>
                <w:color w:val="auto"/>
              </w:rPr>
            </w:pP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D6F3E8"/>
          </w:tcPr>
          <w:p>
            <w:pPr>
              <w:ind w:left="8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D6F3E8"/>
          </w:tcPr>
          <w:p>
            <w:pPr>
              <w:spacing w:after="0"/>
              <w:rPr>
                <w:sz w:val="18"/>
                <w:szCs w:val="18"/>
                <w:color w:val="auto"/>
              </w:rPr>
            </w:pPr>
          </w:p>
        </w:tc>
        <w:tc>
          <w:tcPr>
            <w:tcW w:w="1820" w:type="dxa"/>
            <w:vAlign w:val="bottom"/>
            <w:gridSpan w:val="2"/>
            <w:shd w:val="clear" w:color="auto" w:fill="D6F3E8"/>
          </w:tcPr>
          <w:p>
            <w:pPr>
              <w:jc w:val="right"/>
              <w:ind w:right="920"/>
              <w:spacing w:after="0"/>
              <w:rPr>
                <w:sz w:val="20"/>
                <w:szCs w:val="20"/>
                <w:color w:val="auto"/>
              </w:rPr>
            </w:pPr>
            <w:r>
              <w:rPr>
                <w:rFonts w:ascii="Arial" w:cs="Arial" w:eastAsia="Arial" w:hAnsi="Arial"/>
                <w:sz w:val="18"/>
                <w:szCs w:val="18"/>
                <w:color w:val="auto"/>
              </w:rPr>
              <w:t>2,798</w:t>
            </w:r>
          </w:p>
        </w:tc>
        <w:tc>
          <w:tcPr>
            <w:tcW w:w="10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0"/>
              <w:spacing w:after="0"/>
              <w:rPr>
                <w:sz w:val="20"/>
                <w:szCs w:val="20"/>
                <w:color w:val="auto"/>
              </w:rPr>
            </w:pPr>
            <w:r>
              <w:rPr>
                <w:rFonts w:ascii="Arial" w:cs="Arial" w:eastAsia="Arial" w:hAnsi="Arial"/>
                <w:sz w:val="18"/>
                <w:szCs w:val="18"/>
                <w:color w:val="auto"/>
              </w:rPr>
              <w:t>Excess tax benefit of stock options</w:t>
            </w:r>
          </w:p>
        </w:tc>
        <w:tc>
          <w:tcPr>
            <w:tcW w:w="140" w:type="dxa"/>
            <w:vAlign w:val="bottom"/>
          </w:tcPr>
          <w:p>
            <w:pPr>
              <w:spacing w:after="0"/>
              <w:rPr>
                <w:sz w:val="18"/>
                <w:szCs w:val="18"/>
                <w:color w:val="auto"/>
              </w:rPr>
            </w:pPr>
          </w:p>
        </w:tc>
        <w:tc>
          <w:tcPr>
            <w:tcW w:w="1820" w:type="dxa"/>
            <w:vAlign w:val="bottom"/>
            <w:gridSpan w:val="2"/>
          </w:tcPr>
          <w:p>
            <w:pPr>
              <w:jc w:val="right"/>
              <w:ind w:right="92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D6F3E8"/>
          </w:tcPr>
          <w:p>
            <w:pPr>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shd w:val="clear" w:color="auto" w:fill="D6F3E8"/>
          </w:tcPr>
          <w:p>
            <w:pPr>
              <w:spacing w:after="0"/>
              <w:rPr>
                <w:sz w:val="18"/>
                <w:szCs w:val="18"/>
                <w:color w:val="auto"/>
              </w:rPr>
            </w:pPr>
          </w:p>
        </w:tc>
        <w:tc>
          <w:tcPr>
            <w:tcW w:w="1820" w:type="dxa"/>
            <w:vAlign w:val="bottom"/>
            <w:gridSpan w:val="2"/>
            <w:shd w:val="clear" w:color="auto" w:fill="D6F3E8"/>
          </w:tcPr>
          <w:p>
            <w:pPr>
              <w:jc w:val="right"/>
              <w:ind w:right="92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20"/>
        </w:trPr>
        <w:tc>
          <w:tcPr>
            <w:tcW w:w="82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82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tcPr>
          <w:p>
            <w:pPr>
              <w:spacing w:after="0"/>
              <w:rPr>
                <w:sz w:val="24"/>
                <w:szCs w:val="24"/>
                <w:color w:val="auto"/>
              </w:rPr>
            </w:pP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(11,980)</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8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D6F3E8"/>
          </w:tcPr>
          <w:p>
            <w:pPr>
              <w:spacing w:after="0"/>
              <w:rPr>
                <w:sz w:val="18"/>
                <w:szCs w:val="18"/>
                <w:color w:val="auto"/>
              </w:rPr>
            </w:pPr>
          </w:p>
        </w:tc>
        <w:tc>
          <w:tcPr>
            <w:tcW w:w="1820" w:type="dxa"/>
            <w:vAlign w:val="bottom"/>
            <w:gridSpan w:val="2"/>
            <w:shd w:val="clear" w:color="auto" w:fill="D6F3E8"/>
          </w:tcPr>
          <w:p>
            <w:pPr>
              <w:jc w:val="right"/>
              <w:ind w:right="920"/>
              <w:spacing w:after="0"/>
              <w:rPr>
                <w:sz w:val="20"/>
                <w:szCs w:val="20"/>
                <w:color w:val="auto"/>
              </w:rPr>
            </w:pPr>
            <w:r>
              <w:rPr>
                <w:rFonts w:ascii="Arial" w:cs="Arial" w:eastAsia="Arial" w:hAnsi="Arial"/>
                <w:sz w:val="18"/>
                <w:szCs w:val="18"/>
                <w:color w:val="auto"/>
              </w:rPr>
              <w:t>24,934</w:t>
            </w:r>
          </w:p>
        </w:tc>
        <w:tc>
          <w:tcPr>
            <w:tcW w:w="10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19,484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82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ind w:right="920"/>
              <w:spacing w:after="0"/>
              <w:rPr>
                <w:sz w:val="20"/>
                <w:szCs w:val="20"/>
                <w:color w:val="auto"/>
              </w:rPr>
            </w:pPr>
            <w:r>
              <w:rPr>
                <w:rFonts w:ascii="Arial" w:cs="Arial" w:eastAsia="Arial" w:hAnsi="Arial"/>
                <w:sz w:val="18"/>
                <w:szCs w:val="18"/>
                <w:color w:val="auto"/>
              </w:rPr>
              <w:t>12,954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25,766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82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359410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Unaudited Motor Home Deliveries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160" w:type="dxa"/>
            <w:vAlign w:val="bottom"/>
            <w:gridSpan w:val="4"/>
          </w:tcPr>
          <w:p>
            <w:pPr>
              <w:ind w:left="740"/>
              <w:spacing w:after="0"/>
              <w:rPr>
                <w:sz w:val="20"/>
                <w:szCs w:val="20"/>
                <w:color w:val="auto"/>
              </w:rPr>
            </w:pPr>
            <w:r>
              <w:rPr>
                <w:rFonts w:ascii="Arial" w:cs="Arial" w:eastAsia="Arial" w:hAnsi="Arial"/>
                <w:sz w:val="14"/>
                <w:szCs w:val="14"/>
                <w:b w:val="1"/>
                <w:bCs w:val="1"/>
                <w:color w:val="auto"/>
              </w:rPr>
              <w:t>Quarter Ended</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3"/>
          </w:tcPr>
          <w:p>
            <w:pPr>
              <w:jc w:val="right"/>
              <w:ind w:right="118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5660" w:type="dxa"/>
            <w:vAlign w:val="bottom"/>
            <w:vMerge w:val="restart"/>
          </w:tcPr>
          <w:p>
            <w:pPr>
              <w:spacing w:after="0"/>
              <w:rPr>
                <w:sz w:val="20"/>
                <w:szCs w:val="20"/>
                <w:color w:val="auto"/>
              </w:rPr>
            </w:pPr>
            <w:r>
              <w:rPr>
                <w:rFonts w:ascii="Arial" w:cs="Arial" w:eastAsia="Arial" w:hAnsi="Arial"/>
                <w:sz w:val="18"/>
                <w:szCs w:val="18"/>
                <w:color w:val="auto"/>
              </w:rPr>
              <w:t>Motor home unit deliveries</w:t>
            </w:r>
          </w:p>
        </w:tc>
        <w:tc>
          <w:tcPr>
            <w:tcW w:w="146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Nov. 25, 2006</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Nov. 26, 2005</w:t>
            </w:r>
          </w:p>
        </w:tc>
        <w:tc>
          <w:tcPr>
            <w:tcW w:w="78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Units</w:t>
            </w:r>
          </w:p>
        </w:tc>
        <w:tc>
          <w:tcPr>
            <w:tcW w:w="140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vMerge w:val="continue"/>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Class A Gas</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772</w:t>
            </w:r>
          </w:p>
        </w:tc>
        <w:tc>
          <w:tcPr>
            <w:tcW w:w="560" w:type="dxa"/>
            <w:vAlign w:val="bottom"/>
            <w:shd w:val="clear" w:color="auto" w:fill="D6F3E8"/>
          </w:tcPr>
          <w:p>
            <w:pPr>
              <w:spacing w:after="0"/>
              <w:rPr>
                <w:sz w:val="18"/>
                <w:szCs w:val="18"/>
                <w:color w:val="auto"/>
              </w:rPr>
            </w:pPr>
          </w:p>
        </w:tc>
        <w:tc>
          <w:tcPr>
            <w:tcW w:w="1700" w:type="dxa"/>
            <w:vAlign w:val="bottom"/>
            <w:gridSpan w:val="2"/>
            <w:shd w:val="clear" w:color="auto" w:fill="D6F3E8"/>
          </w:tcPr>
          <w:p>
            <w:pPr>
              <w:jc w:val="right"/>
              <w:ind w:right="780"/>
              <w:spacing w:after="0"/>
              <w:rPr>
                <w:sz w:val="20"/>
                <w:szCs w:val="20"/>
                <w:color w:val="auto"/>
              </w:rPr>
            </w:pPr>
            <w:r>
              <w:rPr>
                <w:rFonts w:ascii="Arial" w:cs="Arial" w:eastAsia="Arial" w:hAnsi="Arial"/>
                <w:sz w:val="18"/>
                <w:szCs w:val="18"/>
                <w:color w:val="auto"/>
              </w:rPr>
              <w:t>901</w:t>
            </w:r>
          </w:p>
        </w:tc>
        <w:tc>
          <w:tcPr>
            <w:tcW w:w="9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(129)</w:t>
            </w:r>
          </w:p>
        </w:tc>
        <w:tc>
          <w:tcPr>
            <w:tcW w:w="1620" w:type="dxa"/>
            <w:vAlign w:val="bottom"/>
            <w:gridSpan w:val="3"/>
            <w:shd w:val="clear" w:color="auto" w:fill="D6F3E8"/>
          </w:tcPr>
          <w:p>
            <w:pPr>
              <w:jc w:val="right"/>
              <w:ind w:right="1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5660" w:type="dxa"/>
            <w:vAlign w:val="bottom"/>
          </w:tcPr>
          <w:p>
            <w:pPr>
              <w:ind w:left="100"/>
              <w:spacing w:after="0"/>
              <w:rPr>
                <w:sz w:val="20"/>
                <w:szCs w:val="20"/>
                <w:color w:val="auto"/>
              </w:rPr>
            </w:pPr>
            <w:r>
              <w:rPr>
                <w:rFonts w:ascii="Arial" w:cs="Arial" w:eastAsia="Arial" w:hAnsi="Arial"/>
                <w:sz w:val="18"/>
                <w:szCs w:val="18"/>
                <w:color w:val="auto"/>
              </w:rPr>
              <w:t>Class A Diesel</w:t>
            </w:r>
          </w:p>
        </w:tc>
        <w:tc>
          <w:tcPr>
            <w:tcW w:w="900" w:type="dxa"/>
            <w:vAlign w:val="bottom"/>
          </w:tcPr>
          <w:p>
            <w:pPr>
              <w:jc w:val="right"/>
              <w:spacing w:after="0"/>
              <w:rPr>
                <w:sz w:val="20"/>
                <w:szCs w:val="20"/>
                <w:color w:val="auto"/>
              </w:rPr>
            </w:pPr>
            <w:r>
              <w:rPr>
                <w:rFonts w:ascii="Arial" w:cs="Arial" w:eastAsia="Arial" w:hAnsi="Arial"/>
                <w:sz w:val="18"/>
                <w:szCs w:val="18"/>
                <w:color w:val="auto"/>
              </w:rPr>
              <w:t>341</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w:t>
            </w:r>
          </w:p>
        </w:tc>
        <w:tc>
          <w:tcPr>
            <w:tcW w:w="7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Total Class A</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1,113</w:t>
            </w:r>
          </w:p>
        </w:tc>
        <w:tc>
          <w:tcPr>
            <w:tcW w:w="5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1,323</w:t>
            </w:r>
          </w:p>
        </w:tc>
        <w:tc>
          <w:tcPr>
            <w:tcW w:w="78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(210)</w:t>
            </w:r>
          </w:p>
        </w:tc>
        <w:tc>
          <w:tcPr>
            <w:tcW w:w="1620" w:type="dxa"/>
            <w:vAlign w:val="bottom"/>
            <w:gridSpan w:val="3"/>
            <w:shd w:val="clear" w:color="auto" w:fill="D6F3E8"/>
          </w:tcPr>
          <w:p>
            <w:pPr>
              <w:jc w:val="right"/>
              <w:ind w:right="1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5660" w:type="dxa"/>
            <w:vAlign w:val="bottom"/>
          </w:tcPr>
          <w:p>
            <w:pPr>
              <w:ind w:left="100"/>
              <w:spacing w:after="0"/>
              <w:rPr>
                <w:sz w:val="20"/>
                <w:szCs w:val="20"/>
                <w:color w:val="auto"/>
              </w:rPr>
            </w:pPr>
            <w:r>
              <w:rPr>
                <w:rFonts w:ascii="Arial" w:cs="Arial" w:eastAsia="Arial" w:hAnsi="Arial"/>
                <w:sz w:val="18"/>
                <w:szCs w:val="18"/>
                <w:color w:val="auto"/>
              </w:rPr>
              <w:t>Class C</w:t>
            </w:r>
          </w:p>
        </w:tc>
        <w:tc>
          <w:tcPr>
            <w:tcW w:w="900" w:type="dxa"/>
            <w:vAlign w:val="bottom"/>
          </w:tcPr>
          <w:p>
            <w:pPr>
              <w:jc w:val="right"/>
              <w:spacing w:after="0"/>
              <w:rPr>
                <w:sz w:val="20"/>
                <w:szCs w:val="20"/>
                <w:color w:val="auto"/>
              </w:rPr>
            </w:pPr>
            <w:r>
              <w:rPr>
                <w:rFonts w:ascii="Arial" w:cs="Arial" w:eastAsia="Arial" w:hAnsi="Arial"/>
                <w:sz w:val="18"/>
                <w:szCs w:val="18"/>
                <w:color w:val="auto"/>
              </w:rPr>
              <w:t>1,096</w:t>
            </w:r>
          </w:p>
        </w:tc>
        <w:tc>
          <w:tcPr>
            <w:tcW w:w="560" w:type="dxa"/>
            <w:vAlign w:val="bottom"/>
          </w:tcPr>
          <w:p>
            <w:pPr>
              <w:spacing w:after="0"/>
              <w:rPr>
                <w:sz w:val="19"/>
                <w:szCs w:val="19"/>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1,171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2"/>
        </w:trPr>
        <w:tc>
          <w:tcPr>
            <w:tcW w:w="5660" w:type="dxa"/>
            <w:vAlign w:val="bottom"/>
            <w:shd w:val="clear" w:color="auto" w:fill="D6F3E8"/>
          </w:tcPr>
          <w:p>
            <w:pPr>
              <w:spacing w:after="0"/>
              <w:rPr>
                <w:sz w:val="16"/>
                <w:szCs w:val="16"/>
                <w:color w:val="auto"/>
              </w:rPr>
            </w:pPr>
          </w:p>
        </w:tc>
        <w:tc>
          <w:tcPr>
            <w:tcW w:w="900" w:type="dxa"/>
            <w:vAlign w:val="bottom"/>
            <w:tcBorders>
              <w:top w:val="single" w:sz="8" w:color="auto"/>
            </w:tcBorders>
            <w:shd w:val="clear" w:color="auto" w:fill="D6F3E8"/>
          </w:tcPr>
          <w:p>
            <w:pPr>
              <w:spacing w:after="0"/>
              <w:rPr>
                <w:sz w:val="16"/>
                <w:szCs w:val="16"/>
                <w:color w:val="auto"/>
              </w:rPr>
            </w:pPr>
          </w:p>
        </w:tc>
        <w:tc>
          <w:tcPr>
            <w:tcW w:w="560" w:type="dxa"/>
            <w:vAlign w:val="bottom"/>
            <w:shd w:val="clear" w:color="auto" w:fill="D6F3E8"/>
          </w:tcPr>
          <w:p>
            <w:pPr>
              <w:spacing w:after="0"/>
              <w:rPr>
                <w:sz w:val="16"/>
                <w:szCs w:val="16"/>
                <w:color w:val="auto"/>
              </w:rPr>
            </w:pPr>
          </w:p>
        </w:tc>
        <w:tc>
          <w:tcPr>
            <w:tcW w:w="920" w:type="dxa"/>
            <w:vAlign w:val="bottom"/>
            <w:tcBorders>
              <w:top w:val="single" w:sz="8" w:color="auto"/>
            </w:tcBorders>
            <w:shd w:val="clear" w:color="auto" w:fill="D6F3E8"/>
          </w:tcPr>
          <w:p>
            <w:pPr>
              <w:spacing w:after="0"/>
              <w:rPr>
                <w:sz w:val="16"/>
                <w:szCs w:val="16"/>
                <w:color w:val="auto"/>
              </w:rPr>
            </w:pPr>
          </w:p>
        </w:tc>
        <w:tc>
          <w:tcPr>
            <w:tcW w:w="780" w:type="dxa"/>
            <w:vAlign w:val="bottom"/>
            <w:shd w:val="clear" w:color="auto" w:fill="D6F3E8"/>
          </w:tcPr>
          <w:p>
            <w:pPr>
              <w:spacing w:after="0"/>
              <w:rPr>
                <w:sz w:val="16"/>
                <w:szCs w:val="16"/>
                <w:color w:val="auto"/>
              </w:rPr>
            </w:pPr>
          </w:p>
        </w:tc>
        <w:tc>
          <w:tcPr>
            <w:tcW w:w="920" w:type="dxa"/>
            <w:vAlign w:val="bottom"/>
            <w:tcBorders>
              <w:top w:val="single" w:sz="8" w:color="auto"/>
            </w:tcBorders>
            <w:shd w:val="clear" w:color="auto" w:fill="D6F3E8"/>
          </w:tcPr>
          <w:p>
            <w:pPr>
              <w:spacing w:after="0"/>
              <w:rPr>
                <w:sz w:val="16"/>
                <w:szCs w:val="16"/>
                <w:color w:val="auto"/>
              </w:rPr>
            </w:pPr>
          </w:p>
        </w:tc>
        <w:tc>
          <w:tcPr>
            <w:tcW w:w="60" w:type="dxa"/>
            <w:vAlign w:val="bottom"/>
            <w:shd w:val="clear" w:color="auto" w:fill="D6F3E8"/>
          </w:tcPr>
          <w:p>
            <w:pPr>
              <w:spacing w:after="0"/>
              <w:rPr>
                <w:sz w:val="16"/>
                <w:szCs w:val="16"/>
                <w:color w:val="auto"/>
              </w:rPr>
            </w:pPr>
          </w:p>
        </w:tc>
        <w:tc>
          <w:tcPr>
            <w:tcW w:w="500" w:type="dxa"/>
            <w:vAlign w:val="bottom"/>
            <w:shd w:val="clear" w:color="auto" w:fill="D6F3E8"/>
          </w:tcPr>
          <w:p>
            <w:pPr>
              <w:spacing w:after="0"/>
              <w:rPr>
                <w:sz w:val="16"/>
                <w:szCs w:val="16"/>
                <w:color w:val="auto"/>
              </w:rPr>
            </w:pPr>
          </w:p>
        </w:tc>
        <w:tc>
          <w:tcPr>
            <w:tcW w:w="900" w:type="dxa"/>
            <w:vAlign w:val="bottom"/>
            <w:tcBorders>
              <w:top w:val="single" w:sz="8" w:color="auto"/>
            </w:tcBorders>
            <w:shd w:val="clear" w:color="auto" w:fill="D6F3E8"/>
          </w:tcPr>
          <w:p>
            <w:pPr>
              <w:spacing w:after="0"/>
              <w:rPr>
                <w:sz w:val="16"/>
                <w:szCs w:val="16"/>
                <w:color w:val="auto"/>
              </w:rPr>
            </w:pPr>
          </w:p>
        </w:tc>
        <w:tc>
          <w:tcPr>
            <w:tcW w:w="220" w:type="dxa"/>
            <w:vAlign w:val="bottom"/>
            <w:shd w:val="clear" w:color="auto" w:fill="D6F3E8"/>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40"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Total deliveries</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2,209</w:t>
            </w:r>
          </w:p>
        </w:tc>
        <w:tc>
          <w:tcPr>
            <w:tcW w:w="2260" w:type="dxa"/>
            <w:vAlign w:val="bottom"/>
            <w:gridSpan w:val="3"/>
            <w:shd w:val="clear" w:color="auto" w:fill="D6F3E8"/>
          </w:tcPr>
          <w:p>
            <w:pPr>
              <w:jc w:val="right"/>
              <w:ind w:right="780"/>
              <w:spacing w:after="0"/>
              <w:rPr>
                <w:sz w:val="20"/>
                <w:szCs w:val="20"/>
                <w:color w:val="auto"/>
              </w:rPr>
            </w:pPr>
            <w:r>
              <w:rPr>
                <w:rFonts w:ascii="Arial" w:cs="Arial" w:eastAsia="Arial" w:hAnsi="Arial"/>
                <w:sz w:val="18"/>
                <w:szCs w:val="18"/>
                <w:color w:val="auto"/>
              </w:rPr>
              <w:t>2,494</w:t>
            </w:r>
          </w:p>
        </w:tc>
        <w:tc>
          <w:tcPr>
            <w:tcW w:w="1480" w:type="dxa"/>
            <w:vAlign w:val="bottom"/>
            <w:gridSpan w:val="2"/>
            <w:shd w:val="clear" w:color="auto" w:fill="D6F3E8"/>
          </w:tcPr>
          <w:p>
            <w:pPr>
              <w:jc w:val="right"/>
              <w:ind w:right="500"/>
              <w:spacing w:after="0"/>
              <w:rPr>
                <w:sz w:val="20"/>
                <w:szCs w:val="20"/>
                <w:color w:val="auto"/>
              </w:rPr>
            </w:pPr>
            <w:r>
              <w:rPr>
                <w:rFonts w:ascii="Arial" w:cs="Arial" w:eastAsia="Arial" w:hAnsi="Arial"/>
                <w:sz w:val="18"/>
                <w:szCs w:val="18"/>
                <w:color w:val="auto"/>
              </w:rPr>
              <w:t>(285)</w:t>
            </w:r>
          </w:p>
        </w:tc>
        <w:tc>
          <w:tcPr>
            <w:tcW w:w="11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(11.4)</w:t>
            </w:r>
          </w:p>
        </w:tc>
      </w:tr>
      <w:tr>
        <w:trPr>
          <w:trHeight w:val="20"/>
        </w:trPr>
        <w:tc>
          <w:tcPr>
            <w:tcW w:w="5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Backlog and Dealer Inventory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60" w:type="dxa"/>
            <w:vAlign w:val="bottom"/>
            <w:gridSpan w:val="3"/>
          </w:tcPr>
          <w:p>
            <w:pPr>
              <w:ind w:left="140"/>
              <w:spacing w:after="0"/>
              <w:rPr>
                <w:sz w:val="20"/>
                <w:szCs w:val="20"/>
                <w:color w:val="auto"/>
              </w:rPr>
            </w:pPr>
            <w:r>
              <w:rPr>
                <w:rFonts w:ascii="Arial" w:cs="Arial" w:eastAsia="Arial" w:hAnsi="Arial"/>
                <w:sz w:val="14"/>
                <w:szCs w:val="14"/>
                <w:b w:val="1"/>
                <w:bCs w:val="1"/>
                <w:color w:val="auto"/>
              </w:rPr>
              <w:t>As of</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3"/>
          </w:tcPr>
          <w:p>
            <w:pPr>
              <w:jc w:val="right"/>
              <w:ind w:right="118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Sales order backlog</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Nov. 25, 2006</w:t>
            </w:r>
          </w:p>
        </w:tc>
        <w:tc>
          <w:tcPr>
            <w:tcW w:w="5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Nov. 26, 2005</w:t>
            </w:r>
          </w:p>
        </w:tc>
        <w:tc>
          <w:tcPr>
            <w:tcW w:w="78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Units/$</w:t>
            </w:r>
          </w:p>
        </w:tc>
        <w:tc>
          <w:tcPr>
            <w:tcW w:w="1400" w:type="dxa"/>
            <w:vAlign w:val="bottom"/>
            <w:tcBorders>
              <w:top w:val="single" w:sz="8" w:color="auto"/>
            </w:tcBorders>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gridSpan w:val="2"/>
            <w:vMerge w:val="continue"/>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D6F3E8"/>
          </w:tcPr>
          <w:p>
            <w:pPr>
              <w:ind w:left="80"/>
              <w:spacing w:after="0"/>
              <w:rPr>
                <w:sz w:val="20"/>
                <w:szCs w:val="20"/>
                <w:color w:val="auto"/>
              </w:rPr>
            </w:pPr>
            <w:r>
              <w:rPr>
                <w:rFonts w:ascii="Arial" w:cs="Arial" w:eastAsia="Arial" w:hAnsi="Arial"/>
                <w:sz w:val="18"/>
                <w:szCs w:val="18"/>
                <w:color w:val="auto"/>
              </w:rPr>
              <w:t>Class A Gas</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552</w:t>
            </w:r>
          </w:p>
        </w:tc>
        <w:tc>
          <w:tcPr>
            <w:tcW w:w="2260" w:type="dxa"/>
            <w:vAlign w:val="bottom"/>
            <w:gridSpan w:val="3"/>
            <w:shd w:val="clear" w:color="auto" w:fill="D6F3E8"/>
          </w:tcPr>
          <w:p>
            <w:pPr>
              <w:jc w:val="right"/>
              <w:ind w:right="780"/>
              <w:spacing w:after="0"/>
              <w:rPr>
                <w:sz w:val="20"/>
                <w:szCs w:val="20"/>
                <w:color w:val="auto"/>
              </w:rPr>
            </w:pPr>
            <w:r>
              <w:rPr>
                <w:rFonts w:ascii="Arial" w:cs="Arial" w:eastAsia="Arial" w:hAnsi="Arial"/>
                <w:sz w:val="18"/>
                <w:szCs w:val="18"/>
                <w:color w:val="auto"/>
              </w:rPr>
              <w:t>494</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D6F3E8"/>
          </w:tcPr>
          <w:p>
            <w:pPr>
              <w:spacing w:after="0"/>
              <w:rPr>
                <w:sz w:val="18"/>
                <w:szCs w:val="18"/>
                <w:color w:val="auto"/>
              </w:rPr>
            </w:pPr>
          </w:p>
        </w:tc>
        <w:tc>
          <w:tcPr>
            <w:tcW w:w="14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18"/>
                <w:szCs w:val="18"/>
                <w:color w:val="auto"/>
              </w:rPr>
              <w:t>Class A Diesel</w:t>
            </w:r>
          </w:p>
        </w:tc>
        <w:tc>
          <w:tcPr>
            <w:tcW w:w="900" w:type="dxa"/>
            <w:vAlign w:val="bottom"/>
          </w:tcPr>
          <w:p>
            <w:pPr>
              <w:jc w:val="right"/>
              <w:spacing w:after="0"/>
              <w:rPr>
                <w:sz w:val="20"/>
                <w:szCs w:val="20"/>
                <w:color w:val="auto"/>
              </w:rPr>
            </w:pPr>
            <w:r>
              <w:rPr>
                <w:rFonts w:ascii="Arial" w:cs="Arial" w:eastAsia="Arial" w:hAnsi="Arial"/>
                <w:sz w:val="18"/>
                <w:szCs w:val="18"/>
                <w:color w:val="auto"/>
              </w:rPr>
              <w:t>466</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w:t>
            </w:r>
          </w:p>
        </w:tc>
        <w:tc>
          <w:tcPr>
            <w:tcW w:w="7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D6F3E8"/>
          </w:tcPr>
          <w:p>
            <w:pPr>
              <w:ind w:left="160"/>
              <w:spacing w:after="0"/>
              <w:rPr>
                <w:sz w:val="20"/>
                <w:szCs w:val="20"/>
                <w:color w:val="auto"/>
              </w:rPr>
            </w:pPr>
            <w:r>
              <w:rPr>
                <w:rFonts w:ascii="Arial" w:cs="Arial" w:eastAsia="Arial" w:hAnsi="Arial"/>
                <w:sz w:val="18"/>
                <w:szCs w:val="18"/>
                <w:color w:val="auto"/>
              </w:rPr>
              <w:t>Total Class A</w:t>
            </w: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1,018</w:t>
            </w:r>
          </w:p>
        </w:tc>
        <w:tc>
          <w:tcPr>
            <w:tcW w:w="560" w:type="dxa"/>
            <w:vAlign w:val="bottom"/>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989</w:t>
            </w:r>
          </w:p>
        </w:tc>
        <w:tc>
          <w:tcPr>
            <w:tcW w:w="780" w:type="dxa"/>
            <w:vAlign w:val="bottom"/>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80"/>
              <w:spacing w:after="0"/>
              <w:rPr>
                <w:sz w:val="20"/>
                <w:szCs w:val="20"/>
                <w:color w:val="auto"/>
              </w:rPr>
            </w:pPr>
            <w:r>
              <w:rPr>
                <w:rFonts w:ascii="Arial" w:cs="Arial" w:eastAsia="Arial" w:hAnsi="Arial"/>
                <w:sz w:val="18"/>
                <w:szCs w:val="18"/>
                <w:color w:val="auto"/>
              </w:rPr>
              <w:t>Class C</w:t>
            </w:r>
          </w:p>
        </w:tc>
        <w:tc>
          <w:tcPr>
            <w:tcW w:w="900" w:type="dxa"/>
            <w:vAlign w:val="bottom"/>
          </w:tcPr>
          <w:p>
            <w:pPr>
              <w:jc w:val="right"/>
              <w:spacing w:after="0"/>
              <w:rPr>
                <w:sz w:val="20"/>
                <w:szCs w:val="20"/>
                <w:color w:val="auto"/>
              </w:rPr>
            </w:pPr>
            <w:r>
              <w:rPr>
                <w:rFonts w:ascii="Arial" w:cs="Arial" w:eastAsia="Arial" w:hAnsi="Arial"/>
                <w:sz w:val="18"/>
                <w:szCs w:val="18"/>
                <w:color w:val="auto"/>
              </w:rPr>
              <w:t>727</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1,024</w:t>
            </w:r>
          </w:p>
        </w:tc>
        <w:tc>
          <w:tcPr>
            <w:tcW w:w="7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D6F3E8"/>
          </w:tcPr>
          <w:p>
            <w:pPr>
              <w:ind w:left="160"/>
              <w:spacing w:after="0"/>
              <w:rPr>
                <w:sz w:val="20"/>
                <w:szCs w:val="20"/>
                <w:color w:val="auto"/>
              </w:rPr>
            </w:pPr>
            <w:r>
              <w:rPr>
                <w:rFonts w:ascii="Arial" w:cs="Arial" w:eastAsia="Arial" w:hAnsi="Arial"/>
                <w:sz w:val="18"/>
                <w:szCs w:val="18"/>
                <w:color w:val="auto"/>
              </w:rPr>
              <w:t>Total backlog*</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1,745</w:t>
            </w:r>
          </w:p>
        </w:tc>
        <w:tc>
          <w:tcPr>
            <w:tcW w:w="5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2,013</w:t>
            </w:r>
          </w:p>
        </w:tc>
        <w:tc>
          <w:tcPr>
            <w:tcW w:w="78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(268)</w:t>
            </w:r>
          </w:p>
        </w:tc>
        <w:tc>
          <w:tcPr>
            <w:tcW w:w="1620" w:type="dxa"/>
            <w:vAlign w:val="bottom"/>
            <w:gridSpan w:val="3"/>
            <w:shd w:val="clear" w:color="auto" w:fill="D6F3E8"/>
          </w:tcPr>
          <w:p>
            <w:pPr>
              <w:jc w:val="right"/>
              <w:ind w:right="1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66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660" w:type="dxa"/>
            <w:vAlign w:val="bottom"/>
            <w:gridSpan w:val="2"/>
          </w:tcPr>
          <w:p>
            <w:pPr>
              <w:spacing w:after="0"/>
              <w:rPr>
                <w:sz w:val="20"/>
                <w:szCs w:val="20"/>
                <w:color w:val="auto"/>
              </w:rPr>
            </w:pPr>
            <w:r>
              <w:rPr>
                <w:rFonts w:ascii="Arial" w:cs="Arial" w:eastAsia="Arial" w:hAnsi="Arial"/>
                <w:sz w:val="18"/>
                <w:szCs w:val="18"/>
                <w:color w:val="auto"/>
              </w:rPr>
              <w:t>Total approximate revenue dollars (in thousands)</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   166,905</w:t>
            </w:r>
          </w:p>
        </w:tc>
        <w:tc>
          <w:tcPr>
            <w:tcW w:w="2260" w:type="dxa"/>
            <w:vAlign w:val="bottom"/>
            <w:gridSpan w:val="3"/>
          </w:tcPr>
          <w:p>
            <w:pPr>
              <w:jc w:val="right"/>
              <w:ind w:right="780"/>
              <w:spacing w:after="0"/>
              <w:rPr>
                <w:sz w:val="20"/>
                <w:szCs w:val="20"/>
                <w:color w:val="auto"/>
              </w:rPr>
            </w:pPr>
            <w:r>
              <w:rPr>
                <w:rFonts w:ascii="Arial" w:cs="Arial" w:eastAsia="Arial" w:hAnsi="Arial"/>
                <w:sz w:val="18"/>
                <w:szCs w:val="18"/>
                <w:color w:val="auto"/>
              </w:rPr>
              <w:t>$   184,500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(17,595)</w:t>
            </w: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D6F3E8"/>
          </w:tcPr>
          <w:p>
            <w:pPr>
              <w:spacing w:after="0"/>
              <w:rPr>
                <w:sz w:val="20"/>
                <w:szCs w:val="20"/>
                <w:color w:val="auto"/>
              </w:rPr>
            </w:pPr>
            <w:r>
              <w:rPr>
                <w:rFonts w:ascii="Arial" w:cs="Arial" w:eastAsia="Arial" w:hAnsi="Arial"/>
                <w:sz w:val="18"/>
                <w:szCs w:val="18"/>
                <w:color w:val="auto"/>
              </w:rPr>
              <w:t>Dealer inventory</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4,551</w:t>
            </w:r>
          </w:p>
        </w:tc>
        <w:tc>
          <w:tcPr>
            <w:tcW w:w="2260" w:type="dxa"/>
            <w:vAlign w:val="bottom"/>
            <w:gridSpan w:val="3"/>
            <w:shd w:val="clear" w:color="auto" w:fill="D6F3E8"/>
          </w:tcPr>
          <w:p>
            <w:pPr>
              <w:jc w:val="right"/>
              <w:ind w:right="780"/>
              <w:spacing w:after="0"/>
              <w:rPr>
                <w:sz w:val="20"/>
                <w:szCs w:val="20"/>
                <w:color w:val="auto"/>
              </w:rPr>
            </w:pPr>
            <w:r>
              <w:rPr>
                <w:rFonts w:ascii="Arial" w:cs="Arial" w:eastAsia="Arial" w:hAnsi="Arial"/>
                <w:sz w:val="18"/>
                <w:szCs w:val="18"/>
                <w:color w:val="auto"/>
              </w:rPr>
              <w:t>5,036</w:t>
            </w:r>
          </w:p>
        </w:tc>
        <w:tc>
          <w:tcPr>
            <w:tcW w:w="9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(485)</w:t>
            </w:r>
          </w:p>
        </w:tc>
        <w:tc>
          <w:tcPr>
            <w:tcW w:w="1620" w:type="dxa"/>
            <w:vAlign w:val="bottom"/>
            <w:gridSpan w:val="3"/>
            <w:shd w:val="clear" w:color="auto" w:fill="D6F3E8"/>
          </w:tcPr>
          <w:p>
            <w:pPr>
              <w:jc w:val="right"/>
              <w:ind w:right="1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740" w:firstLine="8"/>
        <w:spacing w:after="0" w:line="370" w:lineRule="auto"/>
        <w:tabs>
          <w:tab w:leader="none" w:pos="132"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Company includes in its backlog all accepted orders from dealers to be shipped within the next six months. Orders in backlog can be cancelled or postponed at the option of the purchaser at any time without penalty and, therefore, backlog may not necessarily be an accurate measure of future sales.</w:t>
      </w:r>
    </w:p>
    <w:p>
      <w:pPr>
        <w:spacing w:after="0" w:line="116" w:lineRule="exact"/>
        <w:rPr>
          <w:rFonts w:ascii="Arial" w:cs="Arial" w:eastAsia="Arial" w:hAnsi="Arial"/>
          <w:sz w:val="15"/>
          <w:szCs w:val="15"/>
          <w:color w:val="auto"/>
        </w:rPr>
      </w:pPr>
    </w:p>
    <w:p>
      <w:pPr>
        <w:ind w:left="5680" w:hanging="142"/>
        <w:spacing w:after="0"/>
        <w:tabs>
          <w:tab w:leader="none" w:pos="5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1449705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2019-12-13T08:24:02Z</dcterms:created>
  <dcterms:modified xsi:type="dcterms:W3CDTF">2019-12-13T08:24:02Z</dcterms:modified>
</cp:coreProperties>
</file>