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As filed with the Securities Exchange Commission on April 8, 2016</w:t>
      </w:r>
    </w:p>
    <w:p>
      <w:pPr>
        <w:spacing w:after="0" w:line="181" w:lineRule="exact"/>
        <w:rPr>
          <w:sz w:val="24"/>
          <w:szCs w:val="24"/>
          <w:color w:val="auto"/>
        </w:rPr>
      </w:pPr>
    </w:p>
    <w:p>
      <w:pPr>
        <w:ind w:left="9080"/>
        <w:spacing w:after="0"/>
        <w:rPr>
          <w:sz w:val="20"/>
          <w:szCs w:val="20"/>
          <w:color w:val="auto"/>
        </w:rPr>
      </w:pPr>
      <w:r>
        <w:rPr>
          <w:rFonts w:ascii="Arial" w:cs="Arial" w:eastAsia="Arial" w:hAnsi="Arial"/>
          <w:sz w:val="16"/>
          <w:szCs w:val="16"/>
          <w:color w:val="auto"/>
        </w:rPr>
        <w:t>Registration No. 333-_________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229235</wp:posOffset>
            </wp:positionV>
            <wp:extent cx="1166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42545</wp:posOffset>
            </wp:positionV>
            <wp:extent cx="1166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2089150</wp:posOffset>
            </wp:positionH>
            <wp:positionV relativeFrom="paragraph">
              <wp:posOffset>151765</wp:posOffset>
            </wp:positionV>
            <wp:extent cx="308737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737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6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680" w:type="dxa"/>
            <w:vAlign w:val="bottom"/>
          </w:tcPr>
          <w:p>
            <w:pPr>
              <w:spacing w:after="0"/>
              <w:rPr>
                <w:sz w:val="19"/>
                <w:szCs w:val="19"/>
                <w:color w:val="auto"/>
              </w:rPr>
            </w:pPr>
          </w:p>
        </w:tc>
        <w:tc>
          <w:tcPr>
            <w:tcW w:w="4320" w:type="dxa"/>
            <w:vAlign w:val="bottom"/>
            <w:tcBorders>
              <w:bottom w:val="single" w:sz="8" w:color="auto"/>
            </w:tcBorders>
          </w:tcPr>
          <w:p>
            <w:pPr>
              <w:jc w:val="right"/>
              <w:ind w:right="163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2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 O. Box 152, Forest City, Iowa</w:t>
            </w:r>
          </w:p>
        </w:tc>
        <w:tc>
          <w:tcPr>
            <w:tcW w:w="680" w:type="dxa"/>
            <w:vAlign w:val="bottom"/>
          </w:tcPr>
          <w:p>
            <w:pPr>
              <w:spacing w:after="0"/>
              <w:rPr>
                <w:sz w:val="24"/>
                <w:szCs w:val="24"/>
                <w:color w:val="auto"/>
              </w:rPr>
            </w:pPr>
          </w:p>
        </w:tc>
        <w:tc>
          <w:tcPr>
            <w:tcW w:w="4320" w:type="dxa"/>
            <w:vAlign w:val="bottom"/>
            <w:tcBorders>
              <w:bottom w:val="single" w:sz="8" w:color="auto"/>
            </w:tcBorders>
          </w:tcPr>
          <w:p>
            <w:pPr>
              <w:jc w:val="right"/>
              <w:ind w:right="1859"/>
              <w:spacing w:after="0"/>
              <w:rPr>
                <w:sz w:val="20"/>
                <w:szCs w:val="20"/>
                <w:color w:val="auto"/>
              </w:rPr>
            </w:pPr>
            <w:r>
              <w:rPr>
                <w:rFonts w:ascii="Arial" w:cs="Arial" w:eastAsia="Arial" w:hAnsi="Arial"/>
                <w:sz w:val="16"/>
                <w:szCs w:val="16"/>
                <w:b w:val="1"/>
                <w:bCs w:val="1"/>
                <w:color w:val="auto"/>
              </w:rPr>
              <w:t>50436</w:t>
            </w:r>
          </w:p>
        </w:tc>
      </w:tr>
      <w:tr>
        <w:trPr>
          <w:trHeight w:val="237"/>
        </w:trPr>
        <w:tc>
          <w:tcPr>
            <w:tcW w:w="4980" w:type="dxa"/>
            <w:vAlign w:val="bottom"/>
            <w:gridSpan w:val="2"/>
          </w:tcPr>
          <w:p>
            <w:pPr>
              <w:jc w:val="center"/>
              <w:ind w:right="680"/>
              <w:spacing w:after="0"/>
              <w:rPr>
                <w:sz w:val="20"/>
                <w:szCs w:val="20"/>
                <w:color w:val="auto"/>
              </w:rPr>
            </w:pPr>
            <w:r>
              <w:rPr>
                <w:rFonts w:ascii="Arial" w:cs="Arial" w:eastAsia="Arial" w:hAnsi="Arial"/>
                <w:sz w:val="16"/>
                <w:szCs w:val="16"/>
                <w:color w:val="auto"/>
              </w:rPr>
              <w:t>(Address of principal executive offices)</w:t>
            </w:r>
          </w:p>
        </w:tc>
        <w:tc>
          <w:tcPr>
            <w:tcW w:w="432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31750</wp:posOffset>
            </wp:positionV>
            <wp:extent cx="23583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Scott C. Folkers, Esq.</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Vice President, General Counsel and Secretary</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 Box 152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Forest City, Iowa 50436</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585-6809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Copies of Communications To:</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Jonathan B. Levy, Esq.</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Lindquist &amp; Vennum LLP</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4200 IDS Center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 South Eighth Street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Minneapolis, Minnesota 55402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(612) 371-3211</w:t>
      </w:r>
    </w:p>
    <w:p>
      <w:pPr>
        <w:spacing w:after="0" w:line="174"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4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box</w:t>
      </w:r>
      <w:r>
        <w:rPr>
          <w:rFonts w:ascii="Arial" w:cs="Arial" w:eastAsia="Arial" w:hAnsi="Arial"/>
          <w:sz w:val="18"/>
          <w:szCs w:val="18"/>
          <w:color w:val="auto"/>
        </w:rPr>
        <w:t>. o</w:t>
      </w:r>
    </w:p>
    <w:p>
      <w:pPr>
        <w:spacing w:after="0" w:line="139" w:lineRule="exact"/>
        <w:rPr>
          <w:sz w:val="24"/>
          <w:szCs w:val="24"/>
          <w:color w:val="auto"/>
        </w:rPr>
      </w:pPr>
    </w:p>
    <w:p>
      <w:pPr>
        <w:ind w:right="80" w:firstLine="648"/>
        <w:spacing w:after="0" w:line="269"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w:t>
      </w:r>
      <w:r>
        <w:rPr>
          <w:rFonts w:ascii="Arial" w:cs="Arial" w:eastAsia="Arial" w:hAnsi="Arial"/>
          <w:sz w:val="18"/>
          <w:szCs w:val="18"/>
          <w:color w:val="auto"/>
        </w:rPr>
        <w:t>. x</w:t>
      </w:r>
    </w:p>
    <w:p>
      <w:pPr>
        <w:spacing w:after="0" w:line="102" w:lineRule="exact"/>
        <w:rPr>
          <w:sz w:val="24"/>
          <w:szCs w:val="24"/>
          <w:color w:val="auto"/>
        </w:rPr>
      </w:pPr>
    </w:p>
    <w:p>
      <w:pPr>
        <w:ind w:right="60" w:firstLine="648"/>
        <w:spacing w:after="0" w:line="269" w:lineRule="auto"/>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18"/>
          <w:szCs w:val="18"/>
          <w:color w:val="auto"/>
        </w:rPr>
        <w:t>o</w:t>
      </w:r>
    </w:p>
    <w:p>
      <w:pPr>
        <w:sectPr>
          <w:pgSz w:w="11900" w:h="16838" w:orient="portrait"/>
          <w:cols w:equalWidth="0" w:num="1">
            <w:col w:w="11420"/>
          </w:cols>
          <w:pgMar w:left="240" w:top="709" w:right="239" w:bottom="1440" w:gutter="0" w:footer="0" w:header="0"/>
        </w:sectPr>
      </w:pPr>
    </w:p>
    <w:bookmarkStart w:id="1" w:name="page2"/>
    <w:bookmarkEnd w:id="1"/>
    <w:p>
      <w:pPr>
        <w:ind w:right="280" w:firstLine="648"/>
        <w:spacing w:after="0" w:line="269" w:lineRule="auto"/>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8"/>
          <w:szCs w:val="18"/>
          <w:color w:val="auto"/>
        </w:rPr>
        <w:t>o</w:t>
      </w:r>
    </w:p>
    <w:p>
      <w:pPr>
        <w:spacing w:after="0" w:line="102" w:lineRule="exact"/>
        <w:rPr>
          <w:sz w:val="20"/>
          <w:szCs w:val="20"/>
          <w:color w:val="auto"/>
        </w:rPr>
      </w:pPr>
    </w:p>
    <w:p>
      <w:pPr>
        <w:ind w:right="340" w:firstLine="648"/>
        <w:spacing w:after="0" w:line="269" w:lineRule="auto"/>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Arial" w:cs="Arial" w:eastAsia="Arial" w:hAnsi="Arial"/>
          <w:sz w:val="18"/>
          <w:szCs w:val="18"/>
          <w:color w:val="auto"/>
        </w:rPr>
        <w:t>o</w:t>
      </w:r>
    </w:p>
    <w:p>
      <w:pPr>
        <w:spacing w:after="0" w:line="102" w:lineRule="exact"/>
        <w:rPr>
          <w:sz w:val="20"/>
          <w:szCs w:val="20"/>
          <w:color w:val="auto"/>
        </w:rPr>
      </w:pPr>
    </w:p>
    <w:p>
      <w:pPr>
        <w:ind w:right="160" w:firstLine="648"/>
        <w:spacing w:after="0" w:line="269" w:lineRule="auto"/>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Arial" w:cs="Arial" w:eastAsia="Arial" w:hAnsi="Arial"/>
          <w:sz w:val="18"/>
          <w:szCs w:val="18"/>
          <w:color w:val="auto"/>
        </w:rPr>
        <w:t>o</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See the definitions of “large accelerated filer,” “accelerated filer” and “smaller reporting company” in Rule 12b-2 of the Exchange Act. (Check one):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ind w:left="660"/>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p>
        </w:tc>
        <w:tc>
          <w:tcPr>
            <w:tcW w:w="1580" w:type="dxa"/>
            <w:vAlign w:val="bottom"/>
          </w:tcPr>
          <w:p>
            <w:pPr>
              <w:ind w:left="200"/>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8"/>
                <w:szCs w:val="18"/>
                <w:color w:val="auto"/>
              </w:rPr>
              <w:t>x</w:t>
            </w:r>
          </w:p>
        </w:tc>
        <w:tc>
          <w:tcPr>
            <w:tcW w:w="19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43"/>
        </w:trPr>
        <w:tc>
          <w:tcPr>
            <w:tcW w:w="2540" w:type="dxa"/>
            <w:vAlign w:val="bottom"/>
          </w:tcPr>
          <w:p>
            <w:pPr>
              <w:ind w:left="660"/>
              <w:spacing w:after="0"/>
              <w:rPr>
                <w:sz w:val="20"/>
                <w:szCs w:val="20"/>
                <w:color w:val="auto"/>
              </w:rPr>
            </w:pPr>
            <w:r>
              <w:rPr>
                <w:rFonts w:ascii="Arial" w:cs="Arial" w:eastAsia="Arial" w:hAnsi="Arial"/>
                <w:sz w:val="16"/>
                <w:szCs w:val="16"/>
                <w:color w:val="auto"/>
              </w:rPr>
              <w:t xml:space="preserve">Non-accelerated filer </w:t>
            </w:r>
            <w:r>
              <w:rPr>
                <w:rFonts w:ascii="Arial" w:cs="Arial" w:eastAsia="Arial" w:hAnsi="Arial"/>
                <w:sz w:val="18"/>
                <w:szCs w:val="18"/>
                <w:color w:val="auto"/>
              </w:rPr>
              <w:t>o</w:t>
            </w:r>
          </w:p>
        </w:tc>
        <w:tc>
          <w:tcPr>
            <w:tcW w:w="3520" w:type="dxa"/>
            <w:vAlign w:val="bottom"/>
            <w:gridSpan w:val="2"/>
          </w:tcPr>
          <w:p>
            <w:pPr>
              <w:ind w:left="160"/>
              <w:spacing w:after="0"/>
              <w:rPr>
                <w:sz w:val="20"/>
                <w:szCs w:val="20"/>
                <w:color w:val="auto"/>
              </w:rPr>
            </w:pPr>
            <w:r>
              <w:rPr>
                <w:rFonts w:ascii="Arial" w:cs="Arial" w:eastAsia="Arial" w:hAnsi="Arial"/>
                <w:sz w:val="16"/>
                <w:szCs w:val="16"/>
                <w:color w:val="auto"/>
              </w:rPr>
              <w:t>(Do not check if a smaller reporting company)</w:t>
            </w:r>
          </w:p>
        </w:tc>
        <w:tc>
          <w:tcPr>
            <w:tcW w:w="3700" w:type="dxa"/>
            <w:vAlign w:val="bottom"/>
            <w:gridSpan w:val="2"/>
          </w:tcPr>
          <w:p>
            <w:pPr>
              <w:ind w:left="80"/>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tc>
        <w:tc>
          <w:tcPr>
            <w:tcW w:w="1660" w:type="dxa"/>
            <w:vAlign w:val="bottom"/>
          </w:tcPr>
          <w:p>
            <w:pPr>
              <w:spacing w:after="0"/>
              <w:rPr>
                <w:sz w:val="21"/>
                <w:szCs w:val="21"/>
                <w:color w:val="auto"/>
              </w:rPr>
            </w:pPr>
          </w:p>
        </w:tc>
      </w:tr>
      <w:tr>
        <w:trPr>
          <w:trHeight w:val="440"/>
        </w:trPr>
        <w:tc>
          <w:tcPr>
            <w:tcW w:w="2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60" w:type="dxa"/>
            <w:vAlign w:val="bottom"/>
            <w:gridSpan w:val="2"/>
          </w:tcPr>
          <w:p>
            <w:pPr>
              <w:ind w:left="80"/>
              <w:spacing w:after="0"/>
              <w:rPr>
                <w:sz w:val="20"/>
                <w:szCs w:val="20"/>
                <w:color w:val="auto"/>
              </w:rPr>
            </w:pPr>
            <w:r>
              <w:rPr>
                <w:rFonts w:ascii="Arial" w:cs="Arial" w:eastAsia="Arial" w:hAnsi="Arial"/>
                <w:sz w:val="16"/>
                <w:szCs w:val="16"/>
                <w:b w:val="1"/>
                <w:bCs w:val="1"/>
                <w:color w:val="auto"/>
              </w:rPr>
              <w:t>CALCULATION OF REGISTRATION FEE</w:t>
            </w:r>
          </w:p>
        </w:tc>
        <w:tc>
          <w:tcPr>
            <w:tcW w:w="19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17"/>
        </w:trPr>
        <w:tc>
          <w:tcPr>
            <w:tcW w:w="2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r>
        <w:trPr>
          <w:trHeight w:val="211"/>
        </w:trPr>
        <w:tc>
          <w:tcPr>
            <w:tcW w:w="2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20" w:type="dxa"/>
            <w:vAlign w:val="bottom"/>
          </w:tcPr>
          <w:p>
            <w:pPr>
              <w:jc w:val="center"/>
              <w:ind w:right="39"/>
              <w:spacing w:after="0"/>
              <w:rPr>
                <w:sz w:val="20"/>
                <w:szCs w:val="20"/>
                <w:color w:val="auto"/>
              </w:rPr>
            </w:pPr>
            <w:r>
              <w:rPr>
                <w:rFonts w:ascii="Arial" w:cs="Arial" w:eastAsia="Arial" w:hAnsi="Arial"/>
                <w:sz w:val="16"/>
                <w:szCs w:val="16"/>
                <w:color w:val="auto"/>
              </w:rPr>
              <w:t>Proposed maximum</w:t>
            </w:r>
          </w:p>
        </w:tc>
        <w:tc>
          <w:tcPr>
            <w:tcW w:w="1980" w:type="dxa"/>
            <w:vAlign w:val="bottom"/>
          </w:tcPr>
          <w:p>
            <w:pPr>
              <w:jc w:val="center"/>
              <w:ind w:right="99"/>
              <w:spacing w:after="0"/>
              <w:rPr>
                <w:sz w:val="20"/>
                <w:szCs w:val="20"/>
                <w:color w:val="auto"/>
              </w:rPr>
            </w:pPr>
            <w:r>
              <w:rPr>
                <w:rFonts w:ascii="Arial" w:cs="Arial" w:eastAsia="Arial" w:hAnsi="Arial"/>
                <w:sz w:val="16"/>
                <w:szCs w:val="16"/>
                <w:color w:val="auto"/>
              </w:rPr>
              <w:t>Proposed maximum</w:t>
            </w:r>
          </w:p>
        </w:tc>
        <w:tc>
          <w:tcPr>
            <w:tcW w:w="1660" w:type="dxa"/>
            <w:vAlign w:val="bottom"/>
          </w:tcPr>
          <w:p>
            <w:pPr>
              <w:jc w:val="center"/>
              <w:ind w:right="79"/>
              <w:spacing w:after="0"/>
              <w:rPr>
                <w:sz w:val="20"/>
                <w:szCs w:val="20"/>
                <w:color w:val="auto"/>
              </w:rPr>
            </w:pPr>
            <w:r>
              <w:rPr>
                <w:rFonts w:ascii="Arial" w:cs="Arial" w:eastAsia="Arial" w:hAnsi="Arial"/>
                <w:sz w:val="16"/>
                <w:szCs w:val="16"/>
                <w:color w:val="auto"/>
              </w:rPr>
              <w:t>Amount of</w:t>
            </w:r>
          </w:p>
        </w:tc>
      </w:tr>
      <w:tr>
        <w:trPr>
          <w:trHeight w:val="184"/>
        </w:trPr>
        <w:tc>
          <w:tcPr>
            <w:tcW w:w="4120" w:type="dxa"/>
            <w:vAlign w:val="bottom"/>
            <w:gridSpan w:val="2"/>
          </w:tcPr>
          <w:p>
            <w:pPr>
              <w:jc w:val="center"/>
              <w:spacing w:after="0"/>
              <w:rPr>
                <w:sz w:val="20"/>
                <w:szCs w:val="20"/>
                <w:color w:val="auto"/>
              </w:rPr>
            </w:pPr>
            <w:r>
              <w:rPr>
                <w:rFonts w:ascii="Arial" w:cs="Arial" w:eastAsia="Arial" w:hAnsi="Arial"/>
                <w:sz w:val="16"/>
                <w:szCs w:val="16"/>
                <w:color w:val="auto"/>
              </w:rPr>
              <w:t>Title of each class of</w:t>
            </w:r>
          </w:p>
        </w:tc>
        <w:tc>
          <w:tcPr>
            <w:tcW w:w="1940" w:type="dxa"/>
            <w:vAlign w:val="bottom"/>
          </w:tcPr>
          <w:p>
            <w:pPr>
              <w:jc w:val="center"/>
              <w:ind w:right="19"/>
              <w:spacing w:after="0"/>
              <w:rPr>
                <w:sz w:val="20"/>
                <w:szCs w:val="20"/>
                <w:color w:val="auto"/>
              </w:rPr>
            </w:pPr>
            <w:r>
              <w:rPr>
                <w:rFonts w:ascii="Arial" w:cs="Arial" w:eastAsia="Arial" w:hAnsi="Arial"/>
                <w:sz w:val="16"/>
                <w:szCs w:val="16"/>
                <w:color w:val="auto"/>
              </w:rPr>
              <w:t>Amount to be</w:t>
            </w:r>
          </w:p>
        </w:tc>
        <w:tc>
          <w:tcPr>
            <w:tcW w:w="1720" w:type="dxa"/>
            <w:vAlign w:val="bottom"/>
          </w:tcPr>
          <w:p>
            <w:pPr>
              <w:jc w:val="center"/>
              <w:ind w:right="39"/>
              <w:spacing w:after="0"/>
              <w:rPr>
                <w:sz w:val="20"/>
                <w:szCs w:val="20"/>
                <w:color w:val="auto"/>
              </w:rPr>
            </w:pPr>
            <w:r>
              <w:rPr>
                <w:rFonts w:ascii="Arial" w:cs="Arial" w:eastAsia="Arial" w:hAnsi="Arial"/>
                <w:sz w:val="16"/>
                <w:szCs w:val="16"/>
                <w:color w:val="auto"/>
                <w:w w:val="99"/>
              </w:rPr>
              <w:t>offering price</w:t>
            </w:r>
          </w:p>
        </w:tc>
        <w:tc>
          <w:tcPr>
            <w:tcW w:w="1980" w:type="dxa"/>
            <w:vAlign w:val="bottom"/>
          </w:tcPr>
          <w:p>
            <w:pPr>
              <w:jc w:val="center"/>
              <w:ind w:right="99"/>
              <w:spacing w:after="0"/>
              <w:rPr>
                <w:sz w:val="20"/>
                <w:szCs w:val="20"/>
                <w:color w:val="auto"/>
              </w:rPr>
            </w:pPr>
            <w:r>
              <w:rPr>
                <w:rFonts w:ascii="Arial" w:cs="Arial" w:eastAsia="Arial" w:hAnsi="Arial"/>
                <w:sz w:val="16"/>
                <w:szCs w:val="16"/>
                <w:color w:val="auto"/>
                <w:w w:val="99"/>
              </w:rPr>
              <w:t>aggregate</w:t>
            </w:r>
          </w:p>
        </w:tc>
        <w:tc>
          <w:tcPr>
            <w:tcW w:w="1660" w:type="dxa"/>
            <w:vAlign w:val="bottom"/>
          </w:tcPr>
          <w:p>
            <w:pPr>
              <w:jc w:val="center"/>
              <w:ind w:right="99"/>
              <w:spacing w:after="0"/>
              <w:rPr>
                <w:sz w:val="20"/>
                <w:szCs w:val="20"/>
                <w:color w:val="auto"/>
              </w:rPr>
            </w:pPr>
            <w:r>
              <w:rPr>
                <w:rFonts w:ascii="Arial" w:cs="Arial" w:eastAsia="Arial" w:hAnsi="Arial"/>
                <w:sz w:val="16"/>
                <w:szCs w:val="16"/>
                <w:color w:val="auto"/>
              </w:rPr>
              <w:t>registration</w:t>
            </w:r>
          </w:p>
        </w:tc>
      </w:tr>
      <w:tr>
        <w:trPr>
          <w:trHeight w:val="219"/>
        </w:trPr>
        <w:tc>
          <w:tcPr>
            <w:tcW w:w="4120" w:type="dxa"/>
            <w:vAlign w:val="bottom"/>
            <w:tcBorders>
              <w:bottom w:val="single" w:sz="8" w:color="auto"/>
            </w:tcBorders>
            <w:gridSpan w:val="2"/>
          </w:tcPr>
          <w:p>
            <w:pPr>
              <w:jc w:val="center"/>
              <w:spacing w:after="0" w:line="219" w:lineRule="exact"/>
              <w:rPr>
                <w:sz w:val="20"/>
                <w:szCs w:val="20"/>
                <w:color w:val="auto"/>
              </w:rPr>
            </w:pPr>
            <w:r>
              <w:rPr>
                <w:rFonts w:ascii="Arial" w:cs="Arial" w:eastAsia="Arial" w:hAnsi="Arial"/>
                <w:sz w:val="16"/>
                <w:szCs w:val="16"/>
                <w:color w:val="auto"/>
                <w:w w:val="98"/>
              </w:rPr>
              <w:t xml:space="preserve">securities to be registered </w:t>
            </w:r>
            <w:r>
              <w:rPr>
                <w:rFonts w:ascii="Arial" w:cs="Arial" w:eastAsia="Arial" w:hAnsi="Arial"/>
                <w:sz w:val="21"/>
                <w:szCs w:val="21"/>
                <w:color w:val="auto"/>
                <w:w w:val="98"/>
                <w:vertAlign w:val="superscript"/>
              </w:rPr>
              <w:t>(1)</w:t>
            </w:r>
          </w:p>
        </w:tc>
        <w:tc>
          <w:tcPr>
            <w:tcW w:w="1940" w:type="dxa"/>
            <w:vAlign w:val="bottom"/>
            <w:tcBorders>
              <w:bottom w:val="single" w:sz="8" w:color="auto"/>
            </w:tcBorders>
          </w:tcPr>
          <w:p>
            <w:pPr>
              <w:jc w:val="center"/>
              <w:ind w:right="19"/>
              <w:spacing w:after="0" w:line="219" w:lineRule="exact"/>
              <w:rPr>
                <w:sz w:val="20"/>
                <w:szCs w:val="20"/>
                <w:color w:val="auto"/>
              </w:rPr>
            </w:pPr>
            <w:r>
              <w:rPr>
                <w:rFonts w:ascii="Arial" w:cs="Arial" w:eastAsia="Arial" w:hAnsi="Arial"/>
                <w:sz w:val="16"/>
                <w:szCs w:val="16"/>
                <w:color w:val="auto"/>
                <w:w w:val="94"/>
              </w:rPr>
              <w:t xml:space="preserve">registered </w:t>
            </w:r>
            <w:r>
              <w:rPr>
                <w:rFonts w:ascii="Arial" w:cs="Arial" w:eastAsia="Arial" w:hAnsi="Arial"/>
                <w:sz w:val="21"/>
                <w:szCs w:val="21"/>
                <w:color w:val="auto"/>
                <w:w w:val="94"/>
                <w:vertAlign w:val="superscript"/>
              </w:rPr>
              <w:t>(1)</w:t>
            </w:r>
          </w:p>
        </w:tc>
        <w:tc>
          <w:tcPr>
            <w:tcW w:w="1720" w:type="dxa"/>
            <w:vAlign w:val="bottom"/>
            <w:tcBorders>
              <w:bottom w:val="single" w:sz="8" w:color="auto"/>
            </w:tcBorders>
          </w:tcPr>
          <w:p>
            <w:pPr>
              <w:jc w:val="center"/>
              <w:ind w:right="39"/>
              <w:spacing w:after="0" w:line="219" w:lineRule="exact"/>
              <w:rPr>
                <w:sz w:val="20"/>
                <w:szCs w:val="20"/>
                <w:color w:val="auto"/>
              </w:rPr>
            </w:pPr>
            <w:r>
              <w:rPr>
                <w:rFonts w:ascii="Arial" w:cs="Arial" w:eastAsia="Arial" w:hAnsi="Arial"/>
                <w:sz w:val="16"/>
                <w:szCs w:val="16"/>
                <w:color w:val="auto"/>
                <w:w w:val="94"/>
              </w:rPr>
              <w:t xml:space="preserve">per share </w:t>
            </w:r>
            <w:r>
              <w:rPr>
                <w:rFonts w:ascii="Arial" w:cs="Arial" w:eastAsia="Arial" w:hAnsi="Arial"/>
                <w:sz w:val="21"/>
                <w:szCs w:val="21"/>
                <w:color w:val="auto"/>
                <w:w w:val="94"/>
                <w:vertAlign w:val="superscript"/>
              </w:rPr>
              <w:t>(1)</w:t>
            </w:r>
          </w:p>
        </w:tc>
        <w:tc>
          <w:tcPr>
            <w:tcW w:w="1980" w:type="dxa"/>
            <w:vAlign w:val="bottom"/>
            <w:tcBorders>
              <w:bottom w:val="single" w:sz="8" w:color="auto"/>
            </w:tcBorders>
          </w:tcPr>
          <w:p>
            <w:pPr>
              <w:jc w:val="center"/>
              <w:ind w:right="79"/>
              <w:spacing w:after="0" w:line="219" w:lineRule="exact"/>
              <w:rPr>
                <w:sz w:val="20"/>
                <w:szCs w:val="20"/>
                <w:color w:val="auto"/>
              </w:rPr>
            </w:pPr>
            <w:r>
              <w:rPr>
                <w:rFonts w:ascii="Arial" w:cs="Arial" w:eastAsia="Arial" w:hAnsi="Arial"/>
                <w:sz w:val="16"/>
                <w:szCs w:val="16"/>
                <w:color w:val="auto"/>
                <w:w w:val="96"/>
              </w:rPr>
              <w:t xml:space="preserve">offering price </w:t>
            </w:r>
            <w:r>
              <w:rPr>
                <w:rFonts w:ascii="Arial" w:cs="Arial" w:eastAsia="Arial" w:hAnsi="Arial"/>
                <w:sz w:val="21"/>
                <w:szCs w:val="21"/>
                <w:color w:val="auto"/>
                <w:w w:val="96"/>
                <w:vertAlign w:val="superscript"/>
              </w:rPr>
              <w:t>(1)</w:t>
            </w:r>
          </w:p>
        </w:tc>
        <w:tc>
          <w:tcPr>
            <w:tcW w:w="1660" w:type="dxa"/>
            <w:vAlign w:val="bottom"/>
            <w:tcBorders>
              <w:bottom w:val="single" w:sz="8" w:color="auto"/>
            </w:tcBorders>
          </w:tcPr>
          <w:p>
            <w:pPr>
              <w:jc w:val="center"/>
              <w:ind w:right="99"/>
              <w:spacing w:after="0" w:line="219" w:lineRule="exact"/>
              <w:rPr>
                <w:sz w:val="20"/>
                <w:szCs w:val="20"/>
                <w:color w:val="auto"/>
              </w:rPr>
            </w:pPr>
            <w:r>
              <w:rPr>
                <w:rFonts w:ascii="Arial" w:cs="Arial" w:eastAsia="Arial" w:hAnsi="Arial"/>
                <w:sz w:val="16"/>
                <w:szCs w:val="16"/>
                <w:color w:val="auto"/>
                <w:w w:val="91"/>
              </w:rPr>
              <w:t xml:space="preserve">fee </w:t>
            </w:r>
            <w:r>
              <w:rPr>
                <w:rFonts w:ascii="Arial" w:cs="Arial" w:eastAsia="Arial" w:hAnsi="Arial"/>
                <w:sz w:val="21"/>
                <w:szCs w:val="21"/>
                <w:color w:val="auto"/>
                <w:w w:val="91"/>
                <w:vertAlign w:val="superscript"/>
              </w:rPr>
              <w:t>(2)</w:t>
            </w:r>
          </w:p>
        </w:tc>
      </w:tr>
      <w:tr>
        <w:trPr>
          <w:trHeight w:val="230"/>
        </w:trPr>
        <w:tc>
          <w:tcPr>
            <w:tcW w:w="41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 par value $.50 per share</w:t>
            </w:r>
          </w:p>
        </w:tc>
        <w:tc>
          <w:tcPr>
            <w:tcW w:w="194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center"/>
              <w:ind w:right="79"/>
              <w:spacing w:after="0"/>
              <w:rPr>
                <w:sz w:val="20"/>
                <w:szCs w:val="20"/>
                <w:color w:val="auto"/>
              </w:rPr>
            </w:pPr>
            <w:r>
              <w:rPr>
                <w:rFonts w:ascii="Arial" w:cs="Arial" w:eastAsia="Arial" w:hAnsi="Arial"/>
                <w:sz w:val="16"/>
                <w:szCs w:val="16"/>
                <w:color w:val="auto"/>
              </w:rPr>
              <w:t>$35,000,000</w:t>
            </w:r>
          </w:p>
        </w:tc>
        <w:tc>
          <w:tcPr>
            <w:tcW w:w="1660" w:type="dxa"/>
            <w:vAlign w:val="bottom"/>
            <w:tcBorders>
              <w:bottom w:val="single" w:sz="8" w:color="auto"/>
            </w:tcBorders>
            <w:shd w:val="clear" w:color="auto" w:fill="CCEEFF"/>
          </w:tcPr>
          <w:p>
            <w:pPr>
              <w:jc w:val="center"/>
              <w:ind w:right="99"/>
              <w:spacing w:after="0"/>
              <w:rPr>
                <w:sz w:val="20"/>
                <w:szCs w:val="20"/>
                <w:color w:val="auto"/>
              </w:rPr>
            </w:pPr>
            <w:r>
              <w:rPr>
                <w:rFonts w:ascii="Arial" w:cs="Arial" w:eastAsia="Arial" w:hAnsi="Arial"/>
                <w:sz w:val="16"/>
                <w:szCs w:val="16"/>
                <w:color w:val="auto"/>
              </w:rPr>
              <w:t>$3,524.50</w:t>
            </w:r>
          </w:p>
        </w:tc>
      </w:tr>
    </w:tbl>
    <w:p>
      <w:pPr>
        <w:spacing w:after="0" w:line="191" w:lineRule="exact"/>
        <w:rPr>
          <w:sz w:val="20"/>
          <w:szCs w:val="20"/>
          <w:color w:val="auto"/>
        </w:rPr>
      </w:pPr>
    </w:p>
    <w:p>
      <w:pPr>
        <w:jc w:val="both"/>
        <w:ind w:left="660" w:right="140" w:hanging="652"/>
        <w:spacing w:after="0" w:line="253"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is registering an indeterminate number of the identified securities up to a proposed maximum aggregate offering price of $35,000,000, which may be offered from time to time at indeterminate prices. The registrant has estimated the proposed maximum aggregate offering price solely for the purpose of calculating the registration fee pursuant to Rule 457(o) under the Securities Act of 1933.</w:t>
      </w:r>
    </w:p>
    <w:p>
      <w:pPr>
        <w:spacing w:after="0" w:line="174" w:lineRule="exact"/>
        <w:rPr>
          <w:rFonts w:ascii="Arial" w:cs="Arial" w:eastAsia="Arial" w:hAnsi="Arial"/>
          <w:sz w:val="16"/>
          <w:szCs w:val="16"/>
          <w:color w:val="auto"/>
        </w:rPr>
      </w:pPr>
    </w:p>
    <w:p>
      <w:pPr>
        <w:ind w:left="660" w:right="80" w:hanging="652"/>
        <w:spacing w:after="0" w:line="25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457(p) under the Securities Act of 1933, the registrant is applying the filing fee of $4,774 associated with the unsold securities under its registration statement on Form S-3 (No. 333-187720) initially filed with the Securities and Exchange Commission on April 4, 2013, as amended by Amendment No. 1 to Form S-3 on April 30, 2013 against the total filing fee of $3,524.50 that would otherwise be due in connection with this registration statement.</w:t>
      </w:r>
    </w:p>
    <w:p>
      <w:pPr>
        <w:spacing w:after="0" w:line="1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APRIL 8, 2016</w:t>
      </w:r>
    </w:p>
    <w:p>
      <w:pPr>
        <w:spacing w:after="0" w:line="223" w:lineRule="exact"/>
        <w:rPr>
          <w:sz w:val="20"/>
          <w:szCs w:val="20"/>
          <w:color w:val="auto"/>
        </w:rPr>
      </w:pPr>
    </w:p>
    <w:p>
      <w:pPr>
        <w:ind w:right="140" w:firstLine="648"/>
        <w:spacing w:after="0" w:line="253" w:lineRule="auto"/>
        <w:rPr>
          <w:sz w:val="20"/>
          <w:szCs w:val="20"/>
          <w:color w:val="auto"/>
        </w:rPr>
      </w:pPr>
      <w:r>
        <w:rPr>
          <w:rFonts w:ascii="Arial" w:cs="Arial" w:eastAsia="Arial" w:hAnsi="Arial"/>
          <w:sz w:val="16"/>
          <w:szCs w:val="16"/>
          <w:color w:val="auto"/>
        </w:rPr>
        <w:t>The information in this prospectus is not complete and may be changed. These securities may not be sold nor may offers to buy be accepted prior to the time the registration statement filed with the Securities and Exchange Commission becomes effective. This prospectus is not an offer to sell these securities and is not soliciting an offer to buy these securities in any state or other jurisdiction where the offer or sale is not permitted.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194"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WINNEBAGO INDUSTRIES, INC.</w:t>
      </w:r>
    </w:p>
    <w:p>
      <w:pPr>
        <w:spacing w:after="0" w:line="113"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P.O. Box 152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Forest City Iowa, 50436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 $0.50 PAR VALUE PER SHARE</w:t>
      </w:r>
    </w:p>
    <w:p>
      <w:pPr>
        <w:spacing w:after="0" w:line="25"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________________________</w:t>
      </w:r>
    </w:p>
    <w:p>
      <w:pPr>
        <w:spacing w:after="0" w:line="194" w:lineRule="exact"/>
        <w:rPr>
          <w:sz w:val="20"/>
          <w:szCs w:val="20"/>
          <w:color w:val="auto"/>
        </w:rPr>
      </w:pPr>
    </w:p>
    <w:p>
      <w:pPr>
        <w:ind w:right="720" w:firstLine="648"/>
        <w:spacing w:after="0" w:line="260" w:lineRule="auto"/>
        <w:rPr>
          <w:sz w:val="20"/>
          <w:szCs w:val="20"/>
          <w:color w:val="auto"/>
        </w:rPr>
      </w:pPr>
      <w:r>
        <w:rPr>
          <w:rFonts w:ascii="Arial" w:cs="Arial" w:eastAsia="Arial" w:hAnsi="Arial"/>
          <w:sz w:val="16"/>
          <w:szCs w:val="16"/>
          <w:color w:val="auto"/>
        </w:rPr>
        <w:t>We may offer for sale from time to time in one or more issuances shares of our common stock with an aggregate initial offering price of up to $35,000,000. We will offer the shares of common stock in an amount and at prices to be determined by</w:t>
      </w:r>
    </w:p>
    <w:p>
      <w:pPr>
        <w:sectPr>
          <w:pgSz w:w="11900" w:h="16838" w:orient="portrait"/>
          <w:cols w:equalWidth="0" w:num="1">
            <w:col w:w="11420"/>
          </w:cols>
          <w:pgMar w:left="240" w:top="614" w:right="239" w:bottom="1440" w:gutter="0" w:footer="0" w:header="0"/>
        </w:sectPr>
      </w:pPr>
    </w:p>
    <w:bookmarkStart w:id="2" w:name="page3"/>
    <w:bookmarkEnd w:id="2"/>
    <w:p>
      <w:pPr>
        <w:spacing w:after="0" w:line="260" w:lineRule="auto"/>
        <w:rPr>
          <w:sz w:val="20"/>
          <w:szCs w:val="20"/>
          <w:color w:val="auto"/>
        </w:rPr>
      </w:pPr>
      <w:r>
        <w:rPr>
          <w:rFonts w:ascii="Arial" w:cs="Arial" w:eastAsia="Arial" w:hAnsi="Arial"/>
          <w:sz w:val="16"/>
          <w:szCs w:val="16"/>
          <w:color w:val="auto"/>
        </w:rPr>
        <w:t>market conditions at the time of the offering. We will provide the specific offering terms in supplements to this prospectus. You should read this prospectus and the applicable prospectus supplement carefully before you invest.</w:t>
      </w:r>
    </w:p>
    <w:p>
      <w:pPr>
        <w:spacing w:after="0" w:line="169" w:lineRule="exact"/>
        <w:rPr>
          <w:sz w:val="20"/>
          <w:szCs w:val="20"/>
          <w:color w:val="auto"/>
        </w:rPr>
      </w:pPr>
    </w:p>
    <w:p>
      <w:pPr>
        <w:ind w:right="220" w:firstLine="648"/>
        <w:spacing w:after="0" w:line="260" w:lineRule="auto"/>
        <w:rPr>
          <w:sz w:val="20"/>
          <w:szCs w:val="20"/>
          <w:color w:val="auto"/>
        </w:rPr>
      </w:pPr>
      <w:r>
        <w:rPr>
          <w:rFonts w:ascii="Arial" w:cs="Arial" w:eastAsia="Arial" w:hAnsi="Arial"/>
          <w:sz w:val="16"/>
          <w:szCs w:val="16"/>
          <w:color w:val="auto"/>
        </w:rPr>
        <w:t>Our common stock trades on the New York Stock Exchange and the Chicago Stock Exchange under the symbol “WGO.” On April 7, 2016, the last reported sale price of our common stock on the New York Stock Exchange was $20.45 per share.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This prospectus may not be used to sell shares of common stock unless accompanied by a prospectus supplement.</w:t>
      </w:r>
    </w:p>
    <w:p>
      <w:pPr>
        <w:spacing w:after="0" w:line="194" w:lineRule="exact"/>
        <w:rPr>
          <w:sz w:val="20"/>
          <w:szCs w:val="20"/>
          <w:color w:val="auto"/>
        </w:rPr>
      </w:pPr>
    </w:p>
    <w:p>
      <w:pPr>
        <w:ind w:right="80" w:firstLine="648"/>
        <w:spacing w:after="0" w:line="266" w:lineRule="auto"/>
        <w:rPr>
          <w:sz w:val="20"/>
          <w:szCs w:val="20"/>
          <w:color w:val="auto"/>
        </w:rPr>
      </w:pPr>
      <w:r>
        <w:rPr>
          <w:rFonts w:ascii="Arial" w:cs="Arial" w:eastAsia="Arial" w:hAnsi="Arial"/>
          <w:sz w:val="16"/>
          <w:szCs w:val="16"/>
          <w:b w:val="1"/>
          <w:bCs w:val="1"/>
          <w:color w:val="auto"/>
        </w:rPr>
        <w:t>Prior to making a decision about investing in our shares of common stock, you should consider carefully the risk factors beginning on page 3 of this prospectus, in any prospectus supplement relating to a specific offering, in our most recently filed Annual Report on Form 10-K and in other filings we may make from time to time with the Securities and Exchange Commission.</w:t>
      </w:r>
    </w:p>
    <w:p>
      <w:pPr>
        <w:spacing w:after="0" w:line="14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37"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The date of this prospectus is _________________.</w:t>
      </w:r>
    </w:p>
    <w:p>
      <w:pPr>
        <w:sectPr>
          <w:pgSz w:w="11900" w:h="16838" w:orient="portrait"/>
          <w:cols w:equalWidth="0" w:num="1">
            <w:col w:w="11340"/>
          </w:cols>
          <w:pgMar w:left="240" w:top="601"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1084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r>
      <w:tr>
        <w:trPr>
          <w:trHeight w:val="891"/>
        </w:trPr>
        <w:tc>
          <w:tcPr>
            <w:tcW w:w="10840" w:type="dxa"/>
            <w:vAlign w:val="bottom"/>
          </w:tcPr>
          <w:p>
            <w:pPr>
              <w:spacing w:after="0"/>
              <w:rPr>
                <w:sz w:val="20"/>
                <w:szCs w:val="20"/>
                <w:color w:val="auto"/>
              </w:rPr>
            </w:pPr>
            <w:r>
              <w:rPr>
                <w:rFonts w:ascii="Arial" w:cs="Arial" w:eastAsia="Arial" w:hAnsi="Arial"/>
                <w:sz w:val="16"/>
                <w:szCs w:val="16"/>
                <w:color w:val="auto"/>
              </w:rPr>
              <w:t>ABOUT THIS PROSPECTUS</w:t>
            </w: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1</w:t>
              </w:r>
            </w:hyperlink>
          </w:p>
        </w:tc>
      </w:tr>
      <w:tr>
        <w:trPr>
          <w:trHeight w:val="223"/>
        </w:trPr>
        <w:tc>
          <w:tcPr>
            <w:tcW w:w="10840" w:type="dxa"/>
            <w:vAlign w:val="bottom"/>
          </w:tcPr>
          <w:p>
            <w:pPr>
              <w:spacing w:after="0"/>
              <w:rPr>
                <w:sz w:val="20"/>
                <w:szCs w:val="20"/>
                <w:color w:val="auto"/>
              </w:rPr>
            </w:pPr>
            <w:r>
              <w:rPr>
                <w:rFonts w:ascii="Arial" w:cs="Arial" w:eastAsia="Arial" w:hAnsi="Arial"/>
                <w:sz w:val="16"/>
                <w:szCs w:val="16"/>
                <w:color w:val="auto"/>
              </w:rPr>
              <w:t>FORWARD-LOOKING STATEMENTS</w:t>
            </w: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1</w:t>
              </w:r>
            </w:hyperlink>
          </w:p>
        </w:tc>
      </w:tr>
      <w:tr>
        <w:trPr>
          <w:trHeight w:val="223"/>
        </w:trPr>
        <w:tc>
          <w:tcPr>
            <w:tcW w:w="10840" w:type="dxa"/>
            <w:vAlign w:val="bottom"/>
          </w:tcPr>
          <w:p>
            <w:pPr>
              <w:spacing w:after="0"/>
              <w:rPr>
                <w:sz w:val="20"/>
                <w:szCs w:val="20"/>
                <w:color w:val="auto"/>
              </w:rPr>
            </w:pPr>
            <w:r>
              <w:rPr>
                <w:rFonts w:ascii="Arial" w:cs="Arial" w:eastAsia="Arial" w:hAnsi="Arial"/>
                <w:sz w:val="16"/>
                <w:szCs w:val="16"/>
                <w:color w:val="auto"/>
              </w:rPr>
              <w:t>THE COMPANY</w:t>
            </w: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1</w:t>
              </w:r>
            </w:hyperlink>
          </w:p>
        </w:tc>
      </w:tr>
      <w:tr>
        <w:trPr>
          <w:trHeight w:val="223"/>
        </w:trPr>
        <w:tc>
          <w:tcPr>
            <w:tcW w:w="10840" w:type="dxa"/>
            <w:vAlign w:val="bottom"/>
          </w:tcPr>
          <w:p>
            <w:pPr>
              <w:spacing w:after="0"/>
              <w:rPr>
                <w:sz w:val="20"/>
                <w:szCs w:val="20"/>
                <w:color w:val="auto"/>
              </w:rPr>
            </w:pPr>
            <w:r>
              <w:rPr>
                <w:rFonts w:ascii="Arial" w:cs="Arial" w:eastAsia="Arial" w:hAnsi="Arial"/>
                <w:sz w:val="16"/>
                <w:szCs w:val="16"/>
                <w:color w:val="auto"/>
              </w:rPr>
              <w:t>RISK FACTORS</w:t>
            </w: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2</w:t>
              </w:r>
            </w:hyperlink>
          </w:p>
        </w:tc>
      </w:tr>
      <w:tr>
        <w:trPr>
          <w:trHeight w:val="223"/>
        </w:trPr>
        <w:tc>
          <w:tcPr>
            <w:tcW w:w="10840" w:type="dxa"/>
            <w:vAlign w:val="bottom"/>
          </w:tcPr>
          <w:p>
            <w:pPr>
              <w:spacing w:after="0"/>
              <w:rPr>
                <w:sz w:val="20"/>
                <w:szCs w:val="20"/>
                <w:color w:val="auto"/>
              </w:rPr>
            </w:pPr>
            <w:r>
              <w:rPr>
                <w:rFonts w:ascii="Arial" w:cs="Arial" w:eastAsia="Arial" w:hAnsi="Arial"/>
                <w:sz w:val="16"/>
                <w:szCs w:val="16"/>
                <w:color w:val="auto"/>
              </w:rPr>
              <w:t>USE OF PROCEEDS</w:t>
            </w: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7">
              <w:r>
                <w:rPr>
                  <w:rFonts w:ascii="Arial" w:cs="Arial" w:eastAsia="Arial" w:hAnsi="Arial"/>
                  <w:sz w:val="15"/>
                  <w:szCs w:val="15"/>
                  <w:color w:val="0000EE"/>
                  <w:w w:val="71"/>
                </w:rPr>
                <w:t>3</w:t>
              </w:r>
            </w:hyperlink>
          </w:p>
        </w:tc>
      </w:tr>
      <w:tr>
        <w:trPr>
          <w:trHeight w:val="223"/>
        </w:trPr>
        <w:tc>
          <w:tcPr>
            <w:tcW w:w="10840" w:type="dxa"/>
            <w:vAlign w:val="bottom"/>
          </w:tcPr>
          <w:p>
            <w:pPr>
              <w:spacing w:after="0"/>
              <w:rPr>
                <w:sz w:val="20"/>
                <w:szCs w:val="20"/>
                <w:color w:val="auto"/>
              </w:rPr>
            </w:pPr>
            <w:r>
              <w:rPr>
                <w:rFonts w:ascii="Arial" w:cs="Arial" w:eastAsia="Arial" w:hAnsi="Arial"/>
                <w:sz w:val="16"/>
                <w:szCs w:val="16"/>
                <w:color w:val="auto"/>
              </w:rPr>
              <w:t>DESCRIPTION OF CAPITAL STOCK</w:t>
            </w: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7">
              <w:r>
                <w:rPr>
                  <w:rFonts w:ascii="Arial" w:cs="Arial" w:eastAsia="Arial" w:hAnsi="Arial"/>
                  <w:sz w:val="15"/>
                  <w:szCs w:val="15"/>
                  <w:color w:val="0000EE"/>
                  <w:w w:val="71"/>
                </w:rPr>
                <w:t>3</w:t>
              </w:r>
            </w:hyperlink>
          </w:p>
        </w:tc>
      </w:tr>
      <w:tr>
        <w:trPr>
          <w:trHeight w:val="223"/>
        </w:trPr>
        <w:tc>
          <w:tcPr>
            <w:tcW w:w="10840" w:type="dxa"/>
            <w:vAlign w:val="bottom"/>
          </w:tcPr>
          <w:p>
            <w:pPr>
              <w:spacing w:after="0"/>
              <w:rPr>
                <w:sz w:val="20"/>
                <w:szCs w:val="20"/>
                <w:color w:val="auto"/>
              </w:rPr>
            </w:pPr>
            <w:r>
              <w:rPr>
                <w:rFonts w:ascii="Arial" w:cs="Arial" w:eastAsia="Arial" w:hAnsi="Arial"/>
                <w:sz w:val="16"/>
                <w:szCs w:val="16"/>
                <w:color w:val="auto"/>
              </w:rPr>
              <w:t>PLAN OF DISTRIBUTION</w:t>
            </w: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0">
              <w:r>
                <w:rPr>
                  <w:rFonts w:ascii="Arial" w:cs="Arial" w:eastAsia="Arial" w:hAnsi="Arial"/>
                  <w:sz w:val="15"/>
                  <w:szCs w:val="15"/>
                  <w:color w:val="0000EE"/>
                  <w:w w:val="71"/>
                </w:rPr>
                <w:t>6</w:t>
              </w:r>
            </w:hyperlink>
          </w:p>
        </w:tc>
      </w:tr>
      <w:tr>
        <w:trPr>
          <w:trHeight w:val="223"/>
        </w:trPr>
        <w:tc>
          <w:tcPr>
            <w:tcW w:w="10840" w:type="dxa"/>
            <w:vAlign w:val="bottom"/>
          </w:tcPr>
          <w:p>
            <w:pPr>
              <w:spacing w:after="0"/>
              <w:rPr>
                <w:sz w:val="20"/>
                <w:szCs w:val="20"/>
                <w:color w:val="auto"/>
              </w:rPr>
            </w:pPr>
            <w:r>
              <w:rPr>
                <w:rFonts w:ascii="Arial" w:cs="Arial" w:eastAsia="Arial" w:hAnsi="Arial"/>
                <w:sz w:val="16"/>
                <w:szCs w:val="16"/>
                <w:color w:val="auto"/>
              </w:rPr>
              <w:t>LEGAL OPINIONS</w:t>
            </w: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1">
              <w:r>
                <w:rPr>
                  <w:rFonts w:ascii="Arial" w:cs="Arial" w:eastAsia="Arial" w:hAnsi="Arial"/>
                  <w:sz w:val="15"/>
                  <w:szCs w:val="15"/>
                  <w:color w:val="0000EE"/>
                  <w:w w:val="71"/>
                </w:rPr>
                <w:t>7</w:t>
              </w:r>
            </w:hyperlink>
          </w:p>
        </w:tc>
      </w:tr>
      <w:tr>
        <w:trPr>
          <w:trHeight w:val="223"/>
        </w:trPr>
        <w:tc>
          <w:tcPr>
            <w:tcW w:w="10840" w:type="dxa"/>
            <w:vAlign w:val="bottom"/>
          </w:tcPr>
          <w:p>
            <w:pPr>
              <w:spacing w:after="0"/>
              <w:rPr>
                <w:sz w:val="20"/>
                <w:szCs w:val="20"/>
                <w:color w:val="auto"/>
              </w:rPr>
            </w:pPr>
            <w:r>
              <w:rPr>
                <w:rFonts w:ascii="Arial" w:cs="Arial" w:eastAsia="Arial" w:hAnsi="Arial"/>
                <w:sz w:val="16"/>
                <w:szCs w:val="16"/>
                <w:color w:val="auto"/>
              </w:rPr>
              <w:t>EXPERTS</w:t>
            </w: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1">
              <w:r>
                <w:rPr>
                  <w:rFonts w:ascii="Arial" w:cs="Arial" w:eastAsia="Arial" w:hAnsi="Arial"/>
                  <w:sz w:val="15"/>
                  <w:szCs w:val="15"/>
                  <w:color w:val="0000EE"/>
                  <w:w w:val="71"/>
                </w:rPr>
                <w:t>7</w:t>
              </w:r>
            </w:hyperlink>
          </w:p>
        </w:tc>
      </w:tr>
      <w:tr>
        <w:trPr>
          <w:trHeight w:val="223"/>
        </w:trPr>
        <w:tc>
          <w:tcPr>
            <w:tcW w:w="10840" w:type="dxa"/>
            <w:vAlign w:val="bottom"/>
          </w:tcPr>
          <w:p>
            <w:pPr>
              <w:spacing w:after="0"/>
              <w:rPr>
                <w:sz w:val="20"/>
                <w:szCs w:val="20"/>
                <w:color w:val="auto"/>
              </w:rPr>
            </w:pPr>
            <w:r>
              <w:rPr>
                <w:rFonts w:ascii="Arial" w:cs="Arial" w:eastAsia="Arial" w:hAnsi="Arial"/>
                <w:sz w:val="16"/>
                <w:szCs w:val="16"/>
                <w:color w:val="auto"/>
              </w:rPr>
              <w:t>WHERE YOU CAN FIND MORE INFORMATION</w:t>
            </w: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1">
              <w:r>
                <w:rPr>
                  <w:rFonts w:ascii="Arial" w:cs="Arial" w:eastAsia="Arial" w:hAnsi="Arial"/>
                  <w:sz w:val="15"/>
                  <w:szCs w:val="15"/>
                  <w:color w:val="0000EE"/>
                  <w:w w:val="71"/>
                </w:rPr>
                <w:t>7</w:t>
              </w:r>
            </w:hyperlink>
          </w:p>
        </w:tc>
      </w:tr>
      <w:tr>
        <w:trPr>
          <w:trHeight w:val="223"/>
        </w:trPr>
        <w:tc>
          <w:tcPr>
            <w:tcW w:w="10840" w:type="dxa"/>
            <w:vAlign w:val="bottom"/>
          </w:tcPr>
          <w:p>
            <w:pPr>
              <w:spacing w:after="0"/>
              <w:rPr>
                <w:sz w:val="20"/>
                <w:szCs w:val="20"/>
                <w:color w:val="auto"/>
              </w:rPr>
            </w:pPr>
            <w:r>
              <w:rPr>
                <w:rFonts w:ascii="Arial" w:cs="Arial" w:eastAsia="Arial" w:hAnsi="Arial"/>
                <w:sz w:val="16"/>
                <w:szCs w:val="16"/>
                <w:color w:val="auto"/>
              </w:rPr>
              <w:t>INCORPORATION OF CERTAIN INFORMATION BY REFERENCE</w:t>
            </w: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1">
              <w:r>
                <w:rPr>
                  <w:rFonts w:ascii="Arial" w:cs="Arial" w:eastAsia="Arial" w:hAnsi="Arial"/>
                  <w:sz w:val="15"/>
                  <w:szCs w:val="15"/>
                  <w:color w:val="0000EE"/>
                  <w:w w:val="71"/>
                </w:rPr>
                <w:t>8</w:t>
              </w:r>
            </w:hyperlink>
          </w:p>
        </w:tc>
      </w:tr>
    </w:tbl>
    <w:p>
      <w:pPr>
        <w:sectPr>
          <w:pgSz w:w="11900" w:h="16838" w:orient="portrait"/>
          <w:cols w:equalWidth="0" w:num="1">
            <w:col w:w="10920"/>
          </w:cols>
          <w:pgMar w:left="280" w:top="792" w:right="6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77" w:lineRule="exact"/>
        <w:rPr>
          <w:sz w:val="20"/>
          <w:szCs w:val="20"/>
          <w:color w:val="auto"/>
        </w:rPr>
      </w:pPr>
    </w:p>
    <w:p>
      <w:pPr>
        <w:ind w:right="200" w:firstLine="648"/>
        <w:spacing w:after="0" w:line="25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utilizing a "shelf" registration process. Under this shelf registration process, we may sell shares of our common stock in one or more offerings to the public up to a maximum aggregate offering of $35,000,000. This prospectus provides you with a general description of these securities. We will provide a prospectus supplement that contains specific information about any offering by us.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prospectus supplement also may add, update or change information contained in the prospectus. You should read both this prospectus, including the additional information described under the heading "WHERE YOU CAN FIND MORE INFORMATION," as well as the prospectus supplement related to any offering.</w:t>
      </w:r>
    </w:p>
    <w:p>
      <w:pPr>
        <w:spacing w:after="0" w:line="174" w:lineRule="exact"/>
        <w:rPr>
          <w:sz w:val="20"/>
          <w:szCs w:val="20"/>
          <w:color w:val="auto"/>
        </w:rPr>
      </w:pPr>
    </w:p>
    <w:p>
      <w:pPr>
        <w:ind w:right="60" w:firstLine="648"/>
        <w:spacing w:after="0" w:line="248" w:lineRule="auto"/>
        <w:rPr>
          <w:sz w:val="20"/>
          <w:szCs w:val="20"/>
          <w:color w:val="auto"/>
        </w:rPr>
      </w:pPr>
      <w:r>
        <w:rPr>
          <w:rFonts w:ascii="Arial" w:cs="Arial" w:eastAsia="Arial" w:hAnsi="Arial"/>
          <w:sz w:val="16"/>
          <w:szCs w:val="16"/>
          <w:color w:val="auto"/>
        </w:rPr>
        <w:t>We have not authorized anyone to provide you with information different from that contained or incorporated by reference in this prospectus or any accompanying prospectus supplement or any "free writing prospectus." We are offering to sell, and seeking offers to buy, securities only in jurisdictions in which offers and sales are permitted. The information contained in this prospectus and in any accompanying prospectus supplement is accurate only as of the date of their covers, regardless of the time of delivery of this prospectus or any prospectus supplement or of any sale of our securities. Our business, financial condition, results of operations and prospects may have changed since those dates. You should rely only on the information contained or incorporated by reference in this prospectus or any accompanying prospectus supplement.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 - for example, a document incorporated by reference into this prospectus or any prospectus supplement - the statement in the document having the later date modifies or supersedes the earlier statement.</w:t>
      </w:r>
    </w:p>
    <w:p>
      <w:pPr>
        <w:spacing w:after="0" w:line="160" w:lineRule="exact"/>
        <w:rPr>
          <w:sz w:val="20"/>
          <w:szCs w:val="20"/>
          <w:color w:val="auto"/>
        </w:rPr>
      </w:pPr>
    </w:p>
    <w:p>
      <w:pPr>
        <w:ind w:right="1280" w:firstLine="648"/>
        <w:spacing w:after="0" w:line="286" w:lineRule="auto"/>
        <w:rPr>
          <w:sz w:val="20"/>
          <w:szCs w:val="20"/>
          <w:color w:val="auto"/>
        </w:rPr>
      </w:pPr>
      <w:r>
        <w:rPr>
          <w:rFonts w:ascii="Arial" w:cs="Arial" w:eastAsia="Arial" w:hAnsi="Arial"/>
          <w:sz w:val="16"/>
          <w:szCs w:val="16"/>
          <w:b w:val="1"/>
          <w:bCs w:val="1"/>
          <w:color w:val="auto"/>
        </w:rPr>
        <w:t xml:space="preserve">Unless otherwise indicated or the context requires otherwise, all references to the </w:t>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our</w:t>
      </w:r>
      <w:r>
        <w:rPr>
          <w:rFonts w:ascii="Arial" w:cs="Arial" w:eastAsia="Arial" w:hAnsi="Arial"/>
          <w:sz w:val="16"/>
          <w:szCs w:val="16"/>
          <w:color w:val="auto"/>
        </w:rPr>
        <w:t>"</w:t>
      </w:r>
      <w:r>
        <w:rPr>
          <w:rFonts w:ascii="Arial" w:cs="Arial" w:eastAsia="Arial" w:hAnsi="Arial"/>
          <w:sz w:val="16"/>
          <w:szCs w:val="16"/>
          <w:b w:val="1"/>
          <w:bCs w:val="1"/>
          <w:color w:val="auto"/>
        </w:rPr>
        <w:t xml:space="preserve"> and </w:t>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w:t>
      </w:r>
      <w:r>
        <w:rPr>
          <w:rFonts w:ascii="Arial" w:cs="Arial" w:eastAsia="Arial" w:hAnsi="Arial"/>
          <w:sz w:val="16"/>
          <w:szCs w:val="16"/>
          <w:b w:val="1"/>
          <w:bCs w:val="1"/>
          <w:color w:val="auto"/>
        </w:rPr>
        <w:t xml:space="preserve"> are used interchangeably to refer to Winnebago Industries, Inc., an Iowa corporation.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77" w:lineRule="exact"/>
        <w:rPr>
          <w:sz w:val="20"/>
          <w:szCs w:val="20"/>
          <w:color w:val="auto"/>
        </w:rPr>
      </w:pPr>
    </w:p>
    <w:p>
      <w:pPr>
        <w:ind w:right="360" w:firstLine="648"/>
        <w:spacing w:after="0" w:line="251" w:lineRule="auto"/>
        <w:rPr>
          <w:sz w:val="20"/>
          <w:szCs w:val="20"/>
          <w:color w:val="auto"/>
        </w:rPr>
      </w:pPr>
      <w:r>
        <w:rPr>
          <w:rFonts w:ascii="Arial" w:cs="Arial" w:eastAsia="Arial" w:hAnsi="Arial"/>
          <w:sz w:val="16"/>
          <w:szCs w:val="16"/>
          <w:color w:val="auto"/>
        </w:rPr>
        <w:t>This prospectus and each prospectus supplement include and incorporate forward-looking statements within the meaning of Section 27A of the Securities Act of 1933, as amended (the "Securities Act") and Section 21E of the Securities Exchange Act of 1934, as amended (the "Exchange Act"). The words "anticipates," "believes," "could," "confident," "estimates," "expects," "forecasts," "hopes," "intends," "likely," "may," "plans," "possible," "potential," "predicts," "projects," "should," "will," "would" and variations of such words and similar expressions are intended to identify forward-looking statements.</w:t>
      </w:r>
    </w:p>
    <w:p>
      <w:pPr>
        <w:spacing w:after="0" w:line="18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Actual results or events could differ materially from the forward-looking statements we make. Factors that could cause actual results to differ materially include, but are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and the information described under the heading "RISK FACTORS" beginning on page 2 of this prospectus, the factors discussed under "Item 1A. Risk Factors," "Management's Discussion and Analysis of Financial Conditions and Results of Operations" and "Notes to Consolidated Financial Statements" in our Annual Report on Form 10-K for the fiscal year ended August 29, 2015 and any updates in subsequent reports filed with the SEC. We also will include or incorporate by reference in each prospectus supplement important factors that we believe could cause actual results or events to differ materially from the forward-looking statements that we make. Should one or more known or unknown risks or uncertainties materialize, or should underlying assumptions prove inaccurate, actual results could differ materially from past results and those anticipated, estimated, projected or implied by these forward-looking statements. You should consider these factors and the other cautionary statements made in this prospectus, any prospectus supplement or the documents we incorporate by reference in this prospectus as being applicable to all related forward-looking statements wherever they appear in this prospectus, any prospectus supplement or the documents incorporated by reference. While we may elect to update forward-looking statements wherever they appear in this prospectus, any prospectus supplement or the documents incorporated by reference, we do not assume, and specifically disclaim, any obligation to do so, whether as a result of new information, future events or otherwise.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77" w:lineRule="exact"/>
        <w:rPr>
          <w:sz w:val="20"/>
          <w:szCs w:val="20"/>
          <w:color w:val="auto"/>
        </w:rPr>
      </w:pPr>
    </w:p>
    <w:p>
      <w:pPr>
        <w:jc w:val="both"/>
        <w:ind w:right="160" w:firstLine="648"/>
        <w:spacing w:after="0" w:line="253"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recreation vehicles (RV) used primarily in leisure travel and outdoor recreation activities. We sell RVs through independent dealers, primarily throughout the United States and Canada. Our subsidiary, Winnebago of Indiana, LLC, manufactures travel trailers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92"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and fifth wheel RVs. Other products manufactured by us consist primarily of after-market component products and commercial vehicles.</w:t>
      </w:r>
    </w:p>
    <w:p>
      <w:pPr>
        <w:spacing w:after="0" w:line="221" w:lineRule="exact"/>
        <w:rPr>
          <w:sz w:val="20"/>
          <w:szCs w:val="20"/>
          <w:color w:val="auto"/>
        </w:rPr>
      </w:pPr>
    </w:p>
    <w:p>
      <w:pPr>
        <w:ind w:right="80" w:firstLine="648"/>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69" w:lineRule="exact"/>
        <w:rPr>
          <w:sz w:val="20"/>
          <w:szCs w:val="20"/>
          <w:color w:val="auto"/>
        </w:rPr>
      </w:pPr>
    </w:p>
    <w:p>
      <w:pPr>
        <w:ind w:right="80" w:firstLine="648"/>
        <w:spacing w:after="0" w:line="251" w:lineRule="auto"/>
        <w:rPr>
          <w:sz w:val="20"/>
          <w:szCs w:val="20"/>
          <w:color w:val="auto"/>
        </w:rPr>
      </w:pPr>
      <w:r>
        <w:rPr>
          <w:rFonts w:ascii="Arial" w:cs="Arial" w:eastAsia="Arial" w:hAnsi="Arial"/>
          <w:sz w:val="16"/>
          <w:szCs w:val="16"/>
          <w:color w:val="auto"/>
        </w:rPr>
        <w:t xml:space="preserve">Our website, located at </w:t>
      </w:r>
      <w:r>
        <w:rPr>
          <w:rFonts w:ascii="Arial" w:cs="Arial" w:eastAsia="Arial" w:hAnsi="Arial"/>
          <w:sz w:val="16"/>
          <w:szCs w:val="16"/>
          <w:u w:val="single" w:color="auto"/>
          <w:color w:val="0000FF"/>
        </w:rPr>
        <w:t>www.winnebagoind.com,</w:t>
      </w:r>
      <w:r>
        <w:rPr>
          <w:rFonts w:ascii="Arial" w:cs="Arial" w:eastAsia="Arial" w:hAnsi="Arial"/>
          <w:sz w:val="16"/>
          <w:szCs w:val="16"/>
          <w:color w:val="auto"/>
        </w:rPr>
        <w:t xml:space="preserve"> provides additional information about us. On our website, you can obtain, free of charge, our Annual Report on Form 10-K, Quarterly Reports on Form 10-Q, Current Reports on Form 8-K and all of our other filings with the SEC. Our recent press releases are also available on our website. Our website also contains important information regarding our corporate governance practices. Information contained on our website is not incorporated into this prospectus or any related prospectus supplement.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61" w:lineRule="exact"/>
        <w:rPr>
          <w:sz w:val="20"/>
          <w:szCs w:val="20"/>
          <w:color w:val="auto"/>
        </w:rPr>
      </w:pPr>
    </w:p>
    <w:p>
      <w:pPr>
        <w:ind w:right="20" w:firstLine="648"/>
        <w:spacing w:after="0" w:line="252" w:lineRule="auto"/>
        <w:rPr>
          <w:sz w:val="20"/>
          <w:szCs w:val="20"/>
          <w:color w:val="auto"/>
        </w:rPr>
      </w:pPr>
      <w:r>
        <w:rPr>
          <w:rFonts w:ascii="Arial" w:cs="Arial" w:eastAsia="Arial" w:hAnsi="Arial"/>
          <w:sz w:val="16"/>
          <w:szCs w:val="16"/>
          <w:i w:val="1"/>
          <w:iCs w:val="1"/>
          <w:color w:val="auto"/>
        </w:rPr>
        <w:t>An investment in our shares of common stock involves risk. Prior to making a decision about investing in our shares of common stock, you should carefully consider any risk factors described below, the risk factors contained in a prospectus supplement relating to a specific offering, as well as the risk factors set forth in our most recently filed Annual Report on Form 10-K and any updates in subsequent reports filed with the SEC, together with all of the information appearing in this prospectus or incorporated in this prospectus by reference and any prospectus supplement and other filings we may make from time to time with the SEC. Such factors could affect actual results and cause results to differ materially from those expressed in any forward-looking statements made by us or on our behalf. Additional risks and uncertainties not currently known to us or that we currently view as immaterial may also affect our business operations.</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price of our common stock can be volatile and may decline substantially.</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Stock price volatility may make it more difficult for you to resell your common stock when you want and at prices you find attractive. Our stock price can fluctuate significantly and may decline in response to a variety of factors, including:</w:t>
      </w:r>
    </w:p>
    <w:p>
      <w:pPr>
        <w:spacing w:after="0" w:line="8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actual or anticipated variations in quarterly results of operations;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developments in our business or the RV industry generally;</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recommendations by securities analysts;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availability of wholesale and retail credit to finance the purchase of RVs;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overall consumer confidence levels;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perceptions in the marketplace regarding us or our competitors;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new models or services offered by competitors; and</w:t>
      </w:r>
    </w:p>
    <w:p>
      <w:pPr>
        <w:spacing w:after="0" w:line="5"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significant acquisitions or business combinations, strategic partnerships, joint venture or capital commitments by or involving us, our competitors or our suppliers.</w:t>
      </w:r>
    </w:p>
    <w:p>
      <w:pPr>
        <w:spacing w:after="0" w:line="223" w:lineRule="exact"/>
        <w:rPr>
          <w:sz w:val="20"/>
          <w:szCs w:val="20"/>
          <w:color w:val="auto"/>
        </w:rPr>
      </w:pPr>
    </w:p>
    <w:p>
      <w:pPr>
        <w:ind w:right="100" w:firstLine="648"/>
        <w:spacing w:after="0" w:line="251" w:lineRule="auto"/>
        <w:rPr>
          <w:sz w:val="20"/>
          <w:szCs w:val="20"/>
          <w:color w:val="auto"/>
        </w:rPr>
      </w:pPr>
      <w:r>
        <w:rPr>
          <w:rFonts w:ascii="Arial" w:cs="Arial" w:eastAsia="Arial" w:hAnsi="Arial"/>
          <w:sz w:val="16"/>
          <w:szCs w:val="16"/>
          <w:color w:val="auto"/>
        </w:rPr>
        <w:t>General market fluctuations, general economic and political conditions and events, such as economic slowdowns or interest rate changes, could also cause our stock price to decrease regardless of operating results. Stock markets in general and our common stock in particular have experienced significant volatility over the past two years, and continue to experience significant price and volume volatility. As a result, the market price of our common stock may continue to be subject to similar market fluctuations that may be unrelated to our operating performance or prospects.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authorization to issue shares of preferred stock with greater rights than our common stock.</w:t>
      </w:r>
    </w:p>
    <w:p>
      <w:pPr>
        <w:spacing w:after="0" w:line="268" w:lineRule="exact"/>
        <w:rPr>
          <w:sz w:val="20"/>
          <w:szCs w:val="20"/>
          <w:color w:val="auto"/>
        </w:rPr>
      </w:pPr>
    </w:p>
    <w:p>
      <w:pPr>
        <w:ind w:right="220" w:firstLine="648"/>
        <w:spacing w:after="0" w:line="253" w:lineRule="auto"/>
        <w:rPr>
          <w:sz w:val="20"/>
          <w:szCs w:val="20"/>
          <w:color w:val="auto"/>
        </w:rPr>
      </w:pPr>
      <w:r>
        <w:rPr>
          <w:rFonts w:ascii="Arial" w:cs="Arial" w:eastAsia="Arial" w:hAnsi="Arial"/>
          <w:sz w:val="16"/>
          <w:szCs w:val="16"/>
          <w:color w:val="auto"/>
        </w:rPr>
        <w:t>Although we have no current plans, arrangements, understandings or agreements to do so, our articles of incorporation authorize the board of directors to issue one or more series of preferred stock and set the terms of the stock without seeking approval from holders of our common stock. Preferred stock that is issued may have preferential rights over the common stock, in terms of dividends, liquidation rights and voting rights.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equity issuances and exercises of outstanding options could result in dilution and depress stock prices.</w:t>
      </w:r>
    </w:p>
    <w:p>
      <w:pPr>
        <w:spacing w:after="0" w:line="268"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From time to time, we issue restricted stock and deferred stock units settled in our common stock and options to purchase our common stock to employees and directors as compensation and as incentives. Vesting of restricted stock and stock units and the exercises of options could result in dilution to existing shareholders. In addition, although we do not presently intend to do so, we may seek to raise capital from the equity markets at discounted prices, which could result in dilution to existing shareholders.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601"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In fiscal 2015 we began paying quarterly common stock dividends again, but we cannot assure you that we will pay dividends in the future.</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fiscal year 2015, our board of directors announced the reinstatement of a quarterly common stock dividend of $.09 per share and increased the dividend to $0.10 in fiscal 2016. The board had previously determined to suspend dividend payment from 2008 to 2015 to conserve capital and maintain liquidity. The fact that we began paying quarterly dividends again is no guarantee that we will continue to pay quarterly dividends. Any future dividends will be made at the discretion of our board of directors and will depend upon, among other things, the approval of the lenders participating in our credit facility, our earnings and financial condition and such other factors as our board of directors may deem relevant from time to time.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articles of incorporation and by-laws, as well as Iowa law, may have an anti-takeover effect.</w:t>
      </w:r>
    </w:p>
    <w:p>
      <w:pPr>
        <w:spacing w:after="0" w:line="268"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Provisions of our articles of incorporation, by-laws and the Iowa Business Corporation Act, or “Iowa law,”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will have broad discretion as to the use of the proceeds from this offering, and we may not use the proceeds effectively.</w:t>
      </w:r>
    </w:p>
    <w:p>
      <w:pPr>
        <w:spacing w:after="0" w:line="268" w:lineRule="exact"/>
        <w:rPr>
          <w:sz w:val="20"/>
          <w:szCs w:val="20"/>
          <w:color w:val="auto"/>
        </w:rPr>
      </w:pPr>
    </w:p>
    <w:p>
      <w:pPr>
        <w:ind w:right="220" w:firstLine="648"/>
        <w:spacing w:after="0" w:line="251" w:lineRule="auto"/>
        <w:rPr>
          <w:sz w:val="20"/>
          <w:szCs w:val="20"/>
          <w:color w:val="auto"/>
        </w:rPr>
      </w:pPr>
      <w:r>
        <w:rPr>
          <w:rFonts w:ascii="Arial" w:cs="Arial" w:eastAsia="Arial" w:hAnsi="Arial"/>
          <w:sz w:val="16"/>
          <w:szCs w:val="16"/>
          <w:color w:val="auto"/>
        </w:rPr>
        <w:t>We have not designated the amount of net proceeds from this offering that we will use for any particular purpose. Accordingly, our management will have broad discretion as to the application of the net proceeds. Our shareholders may not agree with the manner in which our management chooses to allocate and spend the net proceeds. Moreover, our management may use the net proceeds for corporate purposes that may not increase our profitability or market value.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77" w:lineRule="exact"/>
        <w:rPr>
          <w:sz w:val="20"/>
          <w:szCs w:val="20"/>
          <w:color w:val="auto"/>
        </w:rPr>
      </w:pPr>
    </w:p>
    <w:p>
      <w:pPr>
        <w:ind w:right="180" w:firstLine="648"/>
        <w:spacing w:after="0" w:line="251" w:lineRule="auto"/>
        <w:rPr>
          <w:sz w:val="20"/>
          <w:szCs w:val="20"/>
          <w:color w:val="auto"/>
        </w:rPr>
      </w:pPr>
      <w:r>
        <w:rPr>
          <w:rFonts w:ascii="Arial" w:cs="Arial" w:eastAsia="Arial" w:hAnsi="Arial"/>
          <w:sz w:val="16"/>
          <w:szCs w:val="16"/>
          <w:color w:val="auto"/>
        </w:rPr>
        <w:t>Except as may be otherwise set forth in any prospectus supplement accompanying this prospectus, we will use the net proceeds we receive from sales of common stock offered pursuant to this prospectus for working capital, capital expenditures and general corporate purposes, which may include the repayment of any indebtedness outstanding from time to time or for acquisitions. Pending these uses, the net proceeds may be temporarily invested in short-term securities.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77" w:lineRule="exact"/>
        <w:rPr>
          <w:sz w:val="20"/>
          <w:szCs w:val="20"/>
          <w:color w:val="auto"/>
        </w:rPr>
      </w:pPr>
    </w:p>
    <w:p>
      <w:pPr>
        <w:ind w:right="60" w:firstLine="648"/>
        <w:spacing w:after="0" w:line="190" w:lineRule="exact"/>
        <w:rPr>
          <w:sz w:val="20"/>
          <w:szCs w:val="20"/>
          <w:color w:val="auto"/>
        </w:rPr>
      </w:pPr>
      <w:r>
        <w:rPr>
          <w:rFonts w:ascii="Arial" w:cs="Arial" w:eastAsia="Arial" w:hAnsi="Arial"/>
          <w:sz w:val="16"/>
          <w:szCs w:val="16"/>
          <w:color w:val="auto"/>
        </w:rPr>
        <w:t>This section describes the general terms of our capital stock. A prospectus supplement may provide information that is different from this prospectus. If the information in the prospectus supplement differs from this prospectus, you should rely on the information in the prospectus supplement. The description of our capital stock in this prospectus and any description in a prospectus supplement may not be complete and is subject to and qualified in its entirety by reference to Iowa law, the actual terms and provisions contained in our articles of incorporation and by-laws, each as amended from time to time, and other documents incorporated in this prospectus by reference. A copy of our articles of incorporation and by</w:t>
      </w:r>
      <w:r>
        <w:rPr>
          <w:rFonts w:ascii="MS PGothic" w:cs="MS PGothic" w:eastAsia="MS PGothic" w:hAnsi="MS PGothic"/>
          <w:sz w:val="16"/>
          <w:szCs w:val="16"/>
          <w:color w:val="auto"/>
        </w:rPr>
        <w:t>‑</w:t>
      </w:r>
      <w:r>
        <w:rPr>
          <w:rFonts w:ascii="Arial" w:cs="Arial" w:eastAsia="Arial" w:hAnsi="Arial"/>
          <w:sz w:val="16"/>
          <w:szCs w:val="16"/>
          <w:color w:val="auto"/>
        </w:rPr>
        <w:t>laws, as amended, has been incorporated by reference from our filings with the SEC as exhibits to the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Shares</w:t>
      </w:r>
    </w:p>
    <w:p>
      <w:pPr>
        <w:spacing w:after="0" w:line="214" w:lineRule="exact"/>
        <w:rPr>
          <w:sz w:val="20"/>
          <w:szCs w:val="20"/>
          <w:color w:val="auto"/>
        </w:rPr>
      </w:pPr>
    </w:p>
    <w:p>
      <w:pPr>
        <w:ind w:right="100" w:firstLine="648"/>
        <w:spacing w:after="0" w:line="248" w:lineRule="auto"/>
        <w:rPr>
          <w:sz w:val="20"/>
          <w:szCs w:val="20"/>
          <w:color w:val="auto"/>
        </w:rPr>
      </w:pPr>
      <w:r>
        <w:rPr>
          <w:rFonts w:ascii="Arial" w:cs="Arial" w:eastAsia="Arial" w:hAnsi="Arial"/>
          <w:sz w:val="16"/>
          <w:szCs w:val="16"/>
          <w:color w:val="auto"/>
        </w:rPr>
        <w:t>Under our articles of incorporation, we are authorized to issue 60,000,000 shares of common stock, par value $.50 per share. As of April 7, 2016, 51,776,380 shares of our common stock were issued, of which 24,884,314 shares of common stock were held in treasury. Shares of common stock issued pursuant to this prospectus and any applicable prospectus supplement may consist in whole or in part of treasury shares. We are also authorized to issue 10,000,000 shares of preferred stock, par value $.01 per share. In 2000, we created a series of preferred stock designated as "Series A Preferred Stock" in connection with a shareholder rights plan. The number of shares constituting such series is 300,000. The shareholder rights plan expired in 2010, and no shares of such Series A Preferred Stock or any other preferred stock are currently outstanding. Without shareholder approval, we may issue preferred stock in the future in such series as may be designated by our board of directors. In creating any such series, our board of directors has the authority to fix the rights and preferences of each series with respect to, among other things, the dividend rate, redemption provisions, liquidation preferences, sinking fund provisions, conversion rights and voting rights. The terms of any series of preferred stock that we may issue in the future may provide the holders of such preferred stock with rights that are senior to the rights of the holders of our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14"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Each outstanding share of our common stock is entitled to one vote per share of record on all matters submitted to vote of shareholders and, except as otherwise required by law or in any certificate of designation creating a series of preferred stock, will vote together as a single class with the holders of any outstanding preferred stock and any other capital stock having general voting rights on all matters submitted to a vote of shareholders of the Company. At a meeting of shareholders at which a quorum</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824" w:right="239" w:bottom="1440" w:gutter="0" w:footer="0" w:header="0"/>
        </w:sectPr>
      </w:pPr>
    </w:p>
    <w:bookmarkStart w:id="7" w:name="page8"/>
    <w:bookmarkEnd w:id="7"/>
    <w:p>
      <w:pPr>
        <w:ind w:right="100"/>
        <w:spacing w:after="0" w:line="251" w:lineRule="auto"/>
        <w:rPr>
          <w:sz w:val="20"/>
          <w:szCs w:val="20"/>
          <w:color w:val="auto"/>
        </w:rPr>
      </w:pPr>
      <w:r>
        <w:rPr>
          <w:rFonts w:ascii="Arial" w:cs="Arial" w:eastAsia="Arial" w:hAnsi="Arial"/>
          <w:sz w:val="16"/>
          <w:szCs w:val="16"/>
          <w:color w:val="auto"/>
        </w:rPr>
        <w:t>is present, all questions other than the election of directors shall be decided by determining if the votes cast by shareholders favoring the action exceed the votes casts by shareholders opposing the action, unless the matter is one upon which a different vote is required by express provision of Iowa law, the New York Stock Exchange or our articles of incorporation or by-laws. Directors will be elected by a plurality of the votes of the shares present at a meeting at which a quorum is present. Holders of shares of common stock do not have cumulative voting rights with respect to the election of directors or any other matter.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Rights</w:t>
      </w:r>
    </w:p>
    <w:p>
      <w:pPr>
        <w:spacing w:after="0" w:line="21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Holders of our common stock are entitled to receive dividends or other distributions when, as and if declared by our board of directors. The right of our board of directors to declare dividends, however, is subject to the possible prior rights of holders of preferred stock that may be issued in the future, and the availability of sufficient funds under Iowa law to pay dividends. Whenever any dividends or other distributions payable on any outstanding Series A Preferred Stock are in arrears, no dividends or other distributions may be declared or paid on the common stock.</w:t>
      </w:r>
    </w:p>
    <w:p>
      <w:pPr>
        <w:spacing w:after="0" w:line="176"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Under our current credit facility with Wells Fargo Capital Finance, as agent, which was recently assigned from General Electric Capital Corporation, as agent, we may not make cash dividends, distributions or payments with respect to our common stock without the consent of Wells Fargo Capital Finance, as agent and any lenders thereunder, in their sole discretion. No consent is required for cash dividends and purchases of company stock up to $15 million annually as this is excluded from the Restricted Payment Basket.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Preemptive Rights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holders of our common stock do not have preemptive rights to purchase or subscribe for any of our capital stock or other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shares of our common stock are not subject to redemption by operation of a sinking fund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Liquidation Rights</w:t>
      </w:r>
    </w:p>
    <w:p>
      <w:pPr>
        <w:spacing w:after="0" w:line="214"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In the event of any liquidation, dissolution or winding up of the Company, subject to the rights of the holders of preferred stock that may be issued in the future, the holders of shares of our common stock are entitled to receive any of our remaining assets available for distribution to our shareholders ratably in proportion to the number of shares of common stock held by them.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Options, Restricted Shares and Deferred Stock Units</w:t>
      </w:r>
    </w:p>
    <w:p>
      <w:pPr>
        <w:spacing w:after="0" w:line="214"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As of April 7, 2016, we had outstanding (i) stock options to purchase 10,000 shares of our common stock, all of which were issuable upon exercise of vested stock options as of that date, (ii) 296,794 unvested restricted stock awards and (iii) 84,508 stock units held by certain of our directors, which are to be settled 100% in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is listed on the New York Stock Exchange and the Chicago Stock Exchange under the symbol "WGO."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14" w:lineRule="exact"/>
        <w:rPr>
          <w:sz w:val="20"/>
          <w:szCs w:val="20"/>
          <w:color w:val="auto"/>
        </w:rPr>
      </w:pPr>
    </w:p>
    <w:p>
      <w:pPr>
        <w:ind w:right="240" w:firstLine="648"/>
        <w:spacing w:after="0" w:line="260" w:lineRule="auto"/>
        <w:rPr>
          <w:sz w:val="20"/>
          <w:szCs w:val="20"/>
          <w:color w:val="auto"/>
        </w:rPr>
      </w:pPr>
      <w:r>
        <w:rPr>
          <w:rFonts w:ascii="Arial" w:cs="Arial" w:eastAsia="Arial" w:hAnsi="Arial"/>
          <w:sz w:val="16"/>
          <w:szCs w:val="16"/>
          <w:color w:val="auto"/>
        </w:rPr>
        <w:t>The transfer agent and registrar for our common stock is Wells Fargo Bank, N.A., Attention: Wells Fargo Shareowner Services, 161 North Concord Exchange, South St. Paul, Minnesota 55075-1139.</w:t>
      </w:r>
    </w:p>
    <w:p>
      <w:pPr>
        <w:spacing w:after="0" w:line="149"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Anti</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takeover Measures</w:t>
      </w:r>
    </w:p>
    <w:p>
      <w:pPr>
        <w:spacing w:after="0" w:line="214"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Certain provisions of our articles of incorporation and by-laws, as amended, and Iowa law, as well as other actions that the Company has taken, could make our acquisition by a third party, a change in our incumbent management or a similar change in control more difficult, including:</w:t>
      </w:r>
    </w:p>
    <w:p>
      <w:pPr>
        <w:spacing w:after="0" w:line="16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acquisition of us by means of a tender or exchange offer;</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acquisition of us by means of a proxy contest or otherwise; or</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removal of a majority or all of our incumbent officers and directors.</w:t>
      </w:r>
    </w:p>
    <w:p>
      <w:pPr>
        <w:spacing w:after="0" w:line="194" w:lineRule="exact"/>
        <w:rPr>
          <w:sz w:val="20"/>
          <w:szCs w:val="20"/>
          <w:color w:val="auto"/>
        </w:rPr>
      </w:pPr>
    </w:p>
    <w:p>
      <w:pPr>
        <w:ind w:right="140" w:firstLine="648"/>
        <w:spacing w:after="0" w:line="251" w:lineRule="auto"/>
        <w:rPr>
          <w:sz w:val="20"/>
          <w:szCs w:val="20"/>
          <w:color w:val="auto"/>
        </w:rPr>
      </w:pPr>
      <w:r>
        <w:rPr>
          <w:rFonts w:ascii="Arial" w:cs="Arial" w:eastAsia="Arial" w:hAnsi="Arial"/>
          <w:sz w:val="16"/>
          <w:szCs w:val="16"/>
          <w:color w:val="auto"/>
        </w:rPr>
        <w:t>These provisions, which are summarized below, are likely to discourage certain types of coercive takeover practices and inadequate takeover bids. These provisions are also designed to encourage persons seeking to acquire control of us to first negotiate with our board of directors. We believe that these provisions help to protect our potential ability to negotiate with the proponent of an unfriendly or unsolicited proposal to acquire or restructure us, and that this benefit outweighs the potential</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601" w:right="259" w:bottom="1440" w:gutter="0" w:footer="0" w:header="0"/>
        </w:sectPr>
      </w:pPr>
    </w:p>
    <w:bookmarkStart w:id="8" w:name="page9"/>
    <w:bookmarkEnd w:id="8"/>
    <w:p>
      <w:pPr>
        <w:ind w:right="20"/>
        <w:spacing w:after="0" w:line="252" w:lineRule="auto"/>
        <w:rPr>
          <w:sz w:val="20"/>
          <w:szCs w:val="20"/>
          <w:color w:val="auto"/>
        </w:rPr>
      </w:pPr>
      <w:r>
        <w:rPr>
          <w:rFonts w:ascii="Arial" w:cs="Arial" w:eastAsia="Arial" w:hAnsi="Arial"/>
          <w:sz w:val="16"/>
          <w:szCs w:val="16"/>
          <w:color w:val="auto"/>
        </w:rPr>
        <w:t>disadvantages of discouraging such a proposal because our ability to negotiate with the proponent could result in an improvement of the terms of the proposal. The existence of these provisions which are described below could limit the price that investors might otherwise pay in the future for our common stock. This description is intended as a summary only and is qualified in its entirety by reference to our articles of incorporation and by-laws, as amended from time to time.</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Articles of Incorporation, By-laws and Iowa Law</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Authorized But Unissued Capital Stock</w:t>
      </w:r>
    </w:p>
    <w:p>
      <w:pPr>
        <w:spacing w:after="0" w:line="210"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We have shares of common stock, including treasury shares, and preferred stock available for future issuance without shareholder approval, subject to any limitations imposed by the listing standards of the New York Stock Exchange.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the Company by means of a merger, tender offer, proxy contest or otherwise. In addition, if we issue preferred stock, the issuance could adversely affect the likelihood that common shareholders will receive dividend payments and payments upon liquidation.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Blank Check Preferred Stock</w:t>
      </w:r>
    </w:p>
    <w:p>
      <w:pPr>
        <w:spacing w:after="0" w:line="210"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Our board of directors, without shareholder approval, has the authority under our articles of incorporation, as amended, to issue preferred stock with rights superior to the rights of the holders of common stock. As a result, preferred stock could be issued quickly and easily, could impair the rights of holders of common stock and could be issued with terms calculated to delay or prevent a change in control or make removal of management more difficult.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Number of Directors; Removal; Filling Vacancies</w:t>
      </w:r>
    </w:p>
    <w:p>
      <w:pPr>
        <w:spacing w:after="0" w:line="210"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Our articles of incorporation, as amended, provide that the number of directors shall be not more than 15 and not less than three, the precise number to be determined by resolution of the Board of Directors from time to time. Iowa law provides that a director cannot be removed by written consent of shareholders unless written consents are obtained from the holders of all the outstanding shares entitled to vote on the removal of the director. Iowa law further provides that vacancies on our board of directors may be filled by the remaining directors, even if there is less than a quorum of director votes to fill such vacancy. These provisions may make it more difficult for shareholders to remove a director or fill a director vacancy.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Shareholder Action</w:t>
      </w:r>
    </w:p>
    <w:p>
      <w:pPr>
        <w:spacing w:after="0" w:line="210" w:lineRule="exact"/>
        <w:rPr>
          <w:sz w:val="20"/>
          <w:szCs w:val="20"/>
          <w:color w:val="auto"/>
        </w:rPr>
      </w:pPr>
    </w:p>
    <w:p>
      <w:pPr>
        <w:ind w:right="100" w:firstLine="648"/>
        <w:spacing w:after="0" w:line="248" w:lineRule="auto"/>
        <w:rPr>
          <w:sz w:val="20"/>
          <w:szCs w:val="20"/>
          <w:color w:val="auto"/>
        </w:rPr>
      </w:pPr>
      <w:r>
        <w:rPr>
          <w:rFonts w:ascii="Arial" w:cs="Arial" w:eastAsia="Arial" w:hAnsi="Arial"/>
          <w:sz w:val="16"/>
          <w:szCs w:val="16"/>
          <w:color w:val="auto"/>
        </w:rPr>
        <w:t>Iowa law provides that shareholders may act outside of a meeting by written consent only if one or more written consents describing the action taken are signed by the holders of outstanding shares having not less than ninety percent 90% of the votes entitled to be cast at a meeting at which all shares entitled to vote on the action were present and voted. Our shareholders can only call a special shareholders meeting if the holders of not less than 50% of all votes entitled to be cast on any issue proposed to be considered at the proposed special meeting sign, date and deliver one or more written demands that describe the purpose or purposes for which the special meeting is to be held. These provisions may prevent shareholders from taking action outside of an annual meeting because, unless such person or entity acquires a sufficient amount of our outstanding voting stock, the person or entity would not be able to call a shareholder meeting or act by written consent.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Requirements for Advance Notification of Shareholder Nominations and Proposals</w:t>
      </w:r>
    </w:p>
    <w:p>
      <w:pPr>
        <w:spacing w:after="0" w:line="210"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Our by-laws, as amended, provide that a shareholder seeking to bring business before an annual meeting of shareholders, or to nominate candidates for election as directors at an annual meeting of shareholders, must provide timely notice of this intention in writing. To be timely, a shareholder must generally deliver the notice in writing to our Corporate Secretary at our principal executive offices not less than 90 and nor more than 120 days prior to the first anniversary of the preceding year's annual meeting, subject to certain exceptions. Our by-laws also specify requirements as to the form and content of the shareholder's notice. These provisions could delay shareholder actions that are favored by the holders of a majority of our outstanding shares until the next shareholders' meeting.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Classified Board of Directors</w:t>
      </w:r>
    </w:p>
    <w:p>
      <w:pPr>
        <w:spacing w:after="0" w:line="210"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Our board of directors is divided into three classes, as nearly equal in number as is reasonably possible, serving staggered terms. One class of directors is elected at each annual meeting to serve a term of three years. Amendments to the staggered board provisions require that the affirmative vote of the holders of 75% of all issued and outstanding shares of the Company entitled to vote thereon and voting together as a single class. The effect of a classified board of directors may be to make it more difficult to acquire control of the Company.</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601" w:right="279" w:bottom="1440" w:gutter="0" w:footer="0" w:header="0"/>
        </w:sectPr>
      </w:pPr>
    </w:p>
    <w:bookmarkStart w:id="9" w:name="page10"/>
    <w:bookmarkEnd w:id="9"/>
    <w:p>
      <w:pPr>
        <w:ind w:left="660"/>
        <w:spacing w:after="0"/>
        <w:rPr>
          <w:sz w:val="20"/>
          <w:szCs w:val="20"/>
          <w:color w:val="auto"/>
        </w:rPr>
      </w:pPr>
      <w:r>
        <w:rPr>
          <w:rFonts w:ascii="Arial" w:cs="Arial" w:eastAsia="Arial" w:hAnsi="Arial"/>
          <w:sz w:val="16"/>
          <w:szCs w:val="16"/>
          <w:i w:val="1"/>
          <w:iCs w:val="1"/>
          <w:color w:val="auto"/>
        </w:rPr>
        <w:t>Iowa Business Combination Statute</w:t>
      </w:r>
    </w:p>
    <w:p>
      <w:pPr>
        <w:spacing w:after="0" w:line="210" w:lineRule="exact"/>
        <w:rPr>
          <w:sz w:val="20"/>
          <w:szCs w:val="20"/>
          <w:color w:val="auto"/>
        </w:rPr>
      </w:pPr>
    </w:p>
    <w:p>
      <w:pPr>
        <w:ind w:firstLine="648"/>
        <w:spacing w:after="0" w:line="246" w:lineRule="auto"/>
        <w:rPr>
          <w:sz w:val="20"/>
          <w:szCs w:val="20"/>
          <w:color w:val="auto"/>
        </w:rPr>
      </w:pPr>
      <w:r>
        <w:rPr>
          <w:rFonts w:ascii="Arial" w:cs="Arial" w:eastAsia="Arial" w:hAnsi="Arial"/>
          <w:sz w:val="16"/>
          <w:szCs w:val="16"/>
          <w:color w:val="auto"/>
        </w:rPr>
        <w:t>We are subject to the provisions of Section 490.1110 of the Iowa Business Corporation Act (the "Business Combination Statute"). Under the Business Combination Statute, certain "business combinations" between an Iowa corporation whose stock is publicly traded or held by more than 2,000 shareholders and an "interested shareholder" are prohibited for a three-year period following the date that such a shareholder became an interested shareholder,</w:t>
      </w:r>
    </w:p>
    <w:p>
      <w:pPr>
        <w:spacing w:after="0" w:line="1"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unless: (i) prior to the time the shareholder became an interested shareholder, the board of directors of the corporation approved either the business combination or the transaction which resulted in the shareholder becoming an interested shareholder; (ii) at or subsequent to the time the shareholder became an interested shareholder, the business combination is approved by the board of directors and authorized at an annual or special meeting of shareholders (such approval shall not be by written consent) by the affirmative vote of at least 66-2/3% of the outstanding voting stock which is not owned by the interested shareholder; or (iii) upon consummation of the transaction that made it an interested shareholder, the interested shareholder owned at least 85% of the voting stock of the corporation outstanding at the commencement of the transaction (excluding voting stock owned by directors who are also officers or held in employee stock plans in which the employee participants do not have a confidential right to tender or vote stock held by the plan). The three-year prohibition also does not apply to certain business combinations proposed by an interested shareholder following the announcement or notification, but prior to the consummation or abandonment, of certain extraordinary transactions involving the corporation and a person who had not been an interested shareholder during the previous three years, subject to certain exceptions. The term "business combination" is defined generally to include mergers or consolidations between an Iowa corporation and an "interested shareholder," transactions with an "interested shareholder" involving the assets or stock of the corporation or its majority-owned subsidiaries and transactions which increase an interested shareholder's percentage ownership of stock. The term "interested shareholder" is defined generally as a shareholder who, together with affiliates and associates, owns (or, within three years prior, did own) 10% or more of an Iowa corporation's voting stock.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Potential Payments Upon a Change of Control</w:t>
      </w:r>
    </w:p>
    <w:p>
      <w:pPr>
        <w:spacing w:after="0" w:line="214" w:lineRule="exact"/>
        <w:rPr>
          <w:sz w:val="20"/>
          <w:szCs w:val="20"/>
          <w:color w:val="auto"/>
        </w:rPr>
      </w:pPr>
    </w:p>
    <w:p>
      <w:pPr>
        <w:ind w:right="160" w:firstLine="648"/>
        <w:spacing w:after="0" w:line="248" w:lineRule="auto"/>
        <w:rPr>
          <w:sz w:val="20"/>
          <w:szCs w:val="20"/>
          <w:color w:val="auto"/>
        </w:rPr>
      </w:pPr>
      <w:r>
        <w:rPr>
          <w:rFonts w:ascii="Arial" w:cs="Arial" w:eastAsia="Arial" w:hAnsi="Arial"/>
          <w:sz w:val="16"/>
          <w:szCs w:val="16"/>
          <w:color w:val="auto"/>
        </w:rPr>
        <w:t>Certain of our executive officers have entered into change of control agreements with the Company. In the event of a “change of control” of the Company, as that term is defined in the agreements, each such executive (provided such change of control occurs when the executive is in the employ of the Company) would generally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Company's three fiscal years preceding the change of control. In addition, under some of the change of control agreements, if it is determined that any payment or distribution made by the Company to the executive would be subject to federal excise tax, the Company would pay to the executive officer an additional payment, or "gross-up benefit," so that he or she would not be subject to a net reduction in compensation due to the imposition of the excise tax.</w:t>
      </w:r>
    </w:p>
    <w:p>
      <w:pPr>
        <w:spacing w:after="0" w:line="181"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These agreements were designed to reinforce and encourage our executives to maintain objectivity and a high level of attention to their duties without distraction from the possibility of a change of control of the Company. However, the existence of these provisions could limit the price that a potential acquirer might otherwise pay in the future for our common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77" w:lineRule="exact"/>
        <w:rPr>
          <w:sz w:val="20"/>
          <w:szCs w:val="20"/>
          <w:color w:val="auto"/>
        </w:rPr>
      </w:pPr>
    </w:p>
    <w:p>
      <w:pPr>
        <w:jc w:val="both"/>
        <w:ind w:right="200" w:firstLine="648"/>
        <w:spacing w:after="0" w:line="251" w:lineRule="auto"/>
        <w:rPr>
          <w:sz w:val="20"/>
          <w:szCs w:val="20"/>
          <w:color w:val="auto"/>
        </w:rPr>
      </w:pPr>
      <w:r>
        <w:rPr>
          <w:rFonts w:ascii="Arial" w:cs="Arial" w:eastAsia="Arial" w:hAnsi="Arial"/>
          <w:sz w:val="16"/>
          <w:szCs w:val="16"/>
          <w:color w:val="auto"/>
        </w:rPr>
        <w:t>We may sell the shares of common stock offered by this prospectus through underwriters, dealers, agents, directly to other purchasers or through a combination of these methods as described in the prospectus supplement relating to an offering of shares of common stock. The distribution of the shares of common stock may be effected from time to time in one or more transactions at a fixed price or prices, which may be changed, at market prices prevailing at the time of sale, at prices related to such prevailing market prices, or at negotiated prices.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applicable prospectus supplement will contain specific information relating to the terms of the offering, including:</w:t>
      </w:r>
    </w:p>
    <w:p>
      <w:pPr>
        <w:spacing w:after="0" w:line="19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name or names of any underwriters or agents;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purchase price of the shares of common stock;</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net proceeds from the sale of the shares of common stock;</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underwriting discounts and other items constituting underwriters' compensation;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initial public offering price and any discounts or concessions allowed or re-allowed or paid to dealers.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Underwriters</w:t>
      </w:r>
    </w:p>
    <w:p>
      <w:pPr>
        <w:spacing w:after="0" w:line="214"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If underwriters are used in the sale, the shares of common stock will be acquired by the underwriters for their own account. Underwriters may offer the common stock directly or through underwriting syndicates represented by one or more managing underwriters. The underwriters may resell the common stock in one or more transactions, including negotiated transactions, at a fixed public offering price, which may be changed, or at varying prices determined at the time of sale. The obligations of the underwriters to purchase the shares of common stock will be subject to certain conditions. The initial public offering price and any discounts or concessions allowed or re-allowed or paid to dealers may be changed from time to time.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00"/>
          </w:cols>
          <w:pgMar w:left="240" w:top="585" w:right="2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By Dealers</w:t>
      </w:r>
    </w:p>
    <w:p>
      <w:pPr>
        <w:spacing w:after="0" w:line="214"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If dealers are used in the sale, unless otherwise specified in the applicable prospectus supplement, we will sell the shares of common stock to the dealers as principals. The dealers may then resell the common stock to the public at varying prices to be determined by the dealers at the time of resale. The applicable prospectus supplement will contain more information about the dealers, including the names of the dealers and the terms of our agreement with them.</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Agents and Direct Sales</w:t>
      </w:r>
    </w:p>
    <w:p>
      <w:pPr>
        <w:spacing w:after="0" w:line="214"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We may sell the shares of common stock directly to the public, without the use of underwriters, dealers or agents. We may also sell the common stock through agents we designate from time to time. The applicable prospectus supplement will contain more information about the agents, including the names of the agents and any commission we agree to pay the agents.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w:t>
      </w:r>
    </w:p>
    <w:p>
      <w:pPr>
        <w:spacing w:after="0" w:line="214"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Underwriters, dealers and agents that participate in the distribution of shares of common stock may be deemed to be underwriters, and any discounts or commissions received by them from us and any profit on the resale of shares of common stock by them may be deemed to be underwriting discounts and commissions under the Securities Act. Any person who may be deemed to be an underwriter will be identified, and any compensation received from us will be described in the prospectus supplement. Our outstanding common stock is listed for trading on the New York Stock Exchange and the Chicago Stock Exchange. We may engage in at-the-market offerings into an existing trading market in accordance with Securities Act Rule 415(a)(4). Any at-the-market offering will be through an underwriter or underwriters acting as principal or agent for us.</w:t>
      </w:r>
    </w:p>
    <w:p>
      <w:pPr>
        <w:spacing w:after="0" w:line="178" w:lineRule="exact"/>
        <w:rPr>
          <w:sz w:val="20"/>
          <w:szCs w:val="20"/>
          <w:color w:val="auto"/>
        </w:rPr>
      </w:pPr>
    </w:p>
    <w:p>
      <w:pPr>
        <w:ind w:right="100" w:firstLine="648"/>
        <w:spacing w:after="0" w:line="260" w:lineRule="auto"/>
        <w:rPr>
          <w:sz w:val="20"/>
          <w:szCs w:val="20"/>
          <w:color w:val="auto"/>
        </w:rPr>
      </w:pPr>
      <w:r>
        <w:rPr>
          <w:rFonts w:ascii="Arial" w:cs="Arial" w:eastAsia="Arial" w:hAnsi="Arial"/>
          <w:sz w:val="16"/>
          <w:szCs w:val="16"/>
          <w:color w:val="auto"/>
        </w:rPr>
        <w:t>Under agreements into which we may enter in connection with the sale of shares of common stock, underwriters, dealers and agents who participate in the distribution of shares of common stock may be entitled to indemnification by us against specified liabilities, including liabilities under the Securities Act.</w:t>
      </w:r>
    </w:p>
    <w:p>
      <w:pPr>
        <w:spacing w:after="0" w:line="169"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Agents, dealers and underwriters may be customers of, engage in transactions with, or perform services for us in the ordinary course of business.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OPINIONS</w:t>
      </w:r>
    </w:p>
    <w:p>
      <w:pPr>
        <w:spacing w:after="0" w:line="277" w:lineRule="exact"/>
        <w:rPr>
          <w:sz w:val="20"/>
          <w:szCs w:val="20"/>
          <w:color w:val="auto"/>
        </w:rPr>
      </w:pPr>
    </w:p>
    <w:p>
      <w:pPr>
        <w:ind w:right="180" w:firstLine="648"/>
        <w:spacing w:after="0" w:line="260" w:lineRule="auto"/>
        <w:rPr>
          <w:sz w:val="20"/>
          <w:szCs w:val="20"/>
          <w:color w:val="auto"/>
        </w:rPr>
      </w:pPr>
      <w:r>
        <w:rPr>
          <w:rFonts w:ascii="Arial" w:cs="Arial" w:eastAsia="Arial" w:hAnsi="Arial"/>
          <w:sz w:val="16"/>
          <w:szCs w:val="16"/>
          <w:color w:val="auto"/>
        </w:rPr>
        <w:t>The validity of the securities offered hereby will be passed upon by Lindquist &amp; Vennum, LLP, Minneapolis, Minnesota. Certain legal matters may be passed upon for any agents or underwriters by counsel for such agents or underwriters identified in the applicable prospectus supplement.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77" w:lineRule="exact"/>
        <w:rPr>
          <w:sz w:val="20"/>
          <w:szCs w:val="20"/>
          <w:color w:val="auto"/>
        </w:rPr>
      </w:pPr>
    </w:p>
    <w:p>
      <w:pPr>
        <w:ind w:right="240" w:firstLine="648"/>
        <w:spacing w:after="0" w:line="251"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Annual Report on Form 10-K, and the effectiveness of Winnebago Industries, Inc. and subsidiaries' internal control over financial reporting have been audited by Deloitte &amp; Touche LLP, an independent registered public accounting firm, as stated in their reports, which are incorporated herein by reference. Such consolidated financial statements have been so incorporated in reliance upon the reports of such firm given upon their authority as experts in accounting and auditing.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7"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We file annual, quarterly and special reports, proxy statements and other information with the SEC. Our SEC filings are available to the public over the Internet at the SEC's website at http://www.sec.gov. You may also read and copy any document we file at the SEC's Public Reference Room at 100 F Street, N.E., Washington, D.C. 20549. Please call the SEC at 1-800-SEC-0330 for further information on the Public Reference Room.</w:t>
      </w:r>
    </w:p>
    <w:p>
      <w:pPr>
        <w:spacing w:after="0" w:line="174" w:lineRule="exact"/>
        <w:rPr>
          <w:sz w:val="20"/>
          <w:szCs w:val="20"/>
          <w:color w:val="auto"/>
        </w:rPr>
      </w:pPr>
    </w:p>
    <w:p>
      <w:pPr>
        <w:ind w:right="140" w:firstLine="648"/>
        <w:spacing w:after="0" w:line="251" w:lineRule="auto"/>
        <w:rPr>
          <w:sz w:val="20"/>
          <w:szCs w:val="20"/>
          <w:color w:val="auto"/>
        </w:rPr>
      </w:pPr>
      <w:r>
        <w:rPr>
          <w:rFonts w:ascii="Arial" w:cs="Arial" w:eastAsia="Arial" w:hAnsi="Arial"/>
          <w:sz w:val="16"/>
          <w:szCs w:val="16"/>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The complete text of such contracts and documents are exhibits to the registration statement, or exhibits to the filings incorporated by reference. Please see "INCORPORATION OF CERTAIN INFORMATION BY REFERENCE" below.</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770"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77"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The SEC allows us to "incorporate by reference" in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the information contained in or incorporated by reference in this prospectus. We incorporate by reference the following documents, other than any portion of any such documents that are not deemed "filed" under the Exchange Act in accordance with the Exchange Act and applicable SEC rules:</w:t>
      </w:r>
    </w:p>
    <w:p>
      <w:pPr>
        <w:spacing w:after="0" w:line="20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Annual Report on Form 10-K for the year ended August 29, 2015;</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Quarterly Report on Form 10-Q for the three months ended November 28, 2015 and February 27, 2016;</w:t>
      </w:r>
    </w:p>
    <w:p>
      <w:pPr>
        <w:spacing w:after="0" w:line="5" w:lineRule="exact"/>
        <w:rPr>
          <w:rFonts w:ascii="Arial" w:cs="Arial" w:eastAsia="Arial" w:hAnsi="Arial"/>
          <w:sz w:val="16"/>
          <w:szCs w:val="16"/>
          <w:color w:val="auto"/>
        </w:rPr>
      </w:pPr>
    </w:p>
    <w:p>
      <w:pPr>
        <w:ind w:left="660" w:right="380" w:hanging="328"/>
        <w:spacing w:after="0" w:line="24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(to the extent such Current Report, or portion thereof, is deemed filed for the purpose of the Exchange Act) on September 15, 2015, September 25, 2015, September 29, 2015, October 2, 2015, October 15, 2015, December 8, 2015, December 16, 2015, December 17, 2015, December 21, 2015, March 11, 2016, March 24, 2016, March 29, 2016; and</w:t>
      </w:r>
    </w:p>
    <w:p>
      <w:pPr>
        <w:spacing w:after="0" w:line="1" w:lineRule="exact"/>
        <w:rPr>
          <w:rFonts w:ascii="Arial" w:cs="Arial" w:eastAsia="Arial" w:hAnsi="Arial"/>
          <w:sz w:val="16"/>
          <w:szCs w:val="16"/>
          <w:color w:val="auto"/>
        </w:rPr>
      </w:pPr>
    </w:p>
    <w:p>
      <w:pPr>
        <w:ind w:left="660" w:right="540" w:hanging="328"/>
        <w:spacing w:after="0" w:line="26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specifically incorporated by reference into our Annual Report on Form 10-K for the fiscal year ended August 29, 2015 from our definitive proxy statement on Schedule 14A filed with the SEC on November 13, 2015.</w:t>
      </w:r>
    </w:p>
    <w:p>
      <w:pPr>
        <w:spacing w:after="0" w:line="16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6"/>
          <w:szCs w:val="16"/>
          <w:color w:val="auto"/>
        </w:rPr>
        <w:t>We also incorporate by reference all future filings we make with the SEC under Section 13(a), 13(c), 14 or 15(d) of the Exchange Act (other than portions of documents not deemed filed in accordance with the Exchange Act and applicable SEC rules) on or after the date of this prospectus until we sell all of the shares of common stock referred to herein.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request a copy of these filings, which we shall deliver to you, together with all exhibits thereto, at no cost, by writing or telephoning us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Attention: Investor Relations</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P.O. Box 152</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605 W. Crystal Lake Rd.</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Forest City, IA</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Phone: (641) 585-6966</w:t>
      </w:r>
    </w:p>
    <w:p>
      <w:pPr>
        <w:spacing w:after="0" w:line="194"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Any statement contained in a document that is incorporated by reference will be modified or superseded for all purposes to the extent that a statement contained in this prospectus or any accompanying prospectus supplement, or in any other document that is subsequently filed with the SEC and incorporated by reference, modifies or is contrary to that previous statement. Any statement so modified or superseded will not be deemed a part of this prospectus or any accompanying prospectus supplement,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or any accompanying prospectus supplement or in any documents previously incorporated by reference have been modified or superseded.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792"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42" w:lineRule="exact"/>
        <w:rPr>
          <w:sz w:val="20"/>
          <w:szCs w:val="20"/>
          <w:color w:val="auto"/>
        </w:rPr>
      </w:pPr>
    </w:p>
    <w:p>
      <w:pPr>
        <w:ind w:right="800" w:firstLine="648"/>
        <w:spacing w:after="0" w:line="260" w:lineRule="auto"/>
        <w:rPr>
          <w:sz w:val="20"/>
          <w:szCs w:val="20"/>
          <w:color w:val="auto"/>
        </w:rPr>
      </w:pPr>
      <w:r>
        <w:rPr>
          <w:rFonts w:ascii="Arial" w:cs="Arial" w:eastAsia="Arial" w:hAnsi="Arial"/>
          <w:sz w:val="16"/>
          <w:szCs w:val="16"/>
          <w:color w:val="auto"/>
        </w:rPr>
        <w:t>Set forth below is an estimate of the approximate amount of our fees and expenses (other than underwriting discounts and commissions) in connection with the issuance of the Securities:</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Registration fee under the Securities Act of 1933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3,524.50</w:t>
            </w: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Printing and engraving*</w:t>
            </w:r>
          </w:p>
        </w:tc>
        <w:tc>
          <w:tcPr>
            <w:tcW w:w="3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20,000.00</w:t>
            </w:r>
          </w:p>
        </w:tc>
      </w:tr>
      <w:tr>
        <w:trPr>
          <w:trHeight w:val="25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Accounting services*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30,000.00</w:t>
            </w: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Legal fees of company counsel*</w:t>
            </w:r>
          </w:p>
        </w:tc>
        <w:tc>
          <w:tcPr>
            <w:tcW w:w="3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50,000.00</w:t>
            </w:r>
          </w:p>
        </w:tc>
      </w:tr>
      <w:tr>
        <w:trPr>
          <w:trHeight w:val="25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 and counsel fees for qualification or registration of the Securities under state securities laws*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10,000.00</w:t>
            </w:r>
          </w:p>
        </w:tc>
      </w:tr>
      <w:tr>
        <w:trPr>
          <w:trHeight w:val="23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including traveling, telephone, copying, shipping, and other out-of-pocket expenses*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6,475.50</w:t>
            </w:r>
          </w:p>
        </w:tc>
      </w:t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120,000.00</w:t>
            </w:r>
          </w:p>
        </w:tc>
      </w:tr>
      <w:tr>
        <w:trPr>
          <w:trHeight w:val="251"/>
        </w:trPr>
        <w:tc>
          <w:tcPr>
            <w:tcW w:w="8480" w:type="dxa"/>
            <w:vAlign w:val="bottom"/>
          </w:tcPr>
          <w:p>
            <w:pPr>
              <w:ind w:left="20"/>
              <w:spacing w:after="0"/>
              <w:rPr>
                <w:sz w:val="20"/>
                <w:szCs w:val="20"/>
                <w:color w:val="auto"/>
              </w:rPr>
            </w:pPr>
            <w:r>
              <w:rPr>
                <w:rFonts w:ascii="Arial" w:cs="Arial" w:eastAsia="Arial" w:hAnsi="Arial"/>
                <w:sz w:val="16"/>
                <w:szCs w:val="16"/>
                <w:color w:val="auto"/>
              </w:rPr>
              <w:t>_______________________</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8480" w:type="dxa"/>
            <w:vAlign w:val="bottom"/>
          </w:tcPr>
          <w:p>
            <w:pPr>
              <w:ind w:left="20"/>
              <w:spacing w:after="0"/>
              <w:rPr>
                <w:sz w:val="20"/>
                <w:szCs w:val="20"/>
                <w:color w:val="auto"/>
              </w:rPr>
            </w:pPr>
            <w:r>
              <w:rPr>
                <w:rFonts w:ascii="Arial" w:cs="Arial" w:eastAsia="Arial" w:hAnsi="Arial"/>
                <w:sz w:val="16"/>
                <w:szCs w:val="16"/>
                <w:color w:val="auto"/>
              </w:rPr>
              <w:t>* Estimated. Actual amounts to be determined from time to time.</w:t>
            </w: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09" w:lineRule="exact"/>
        <w:rPr>
          <w:sz w:val="20"/>
          <w:szCs w:val="20"/>
          <w:color w:val="auto"/>
        </w:rPr>
      </w:pPr>
    </w:p>
    <w:p>
      <w:pPr>
        <w:ind w:right="120" w:firstLine="648"/>
        <w:spacing w:after="0" w:line="248" w:lineRule="auto"/>
        <w:rPr>
          <w:sz w:val="20"/>
          <w:szCs w:val="20"/>
          <w:color w:val="auto"/>
        </w:rPr>
      </w:pPr>
      <w:r>
        <w:rPr>
          <w:rFonts w:ascii="Arial" w:cs="Arial" w:eastAsia="Arial" w:hAnsi="Arial"/>
          <w:sz w:val="16"/>
          <w:szCs w:val="16"/>
          <w:color w:val="auto"/>
        </w:rPr>
        <w:t>Section 490.851 of the Iowa Business Corporation Act gives Iowa corporations the power to indemnify directors under certain circumstances. The Articles of Incorporation of the Company provide for indemnification by the Company to the fullest extent possible of current and former directors against all expenses, liabilities and loss (including attorney's fees, judgments, fines or penalties and amounts paid or to be paid in settlement) actually incurred by such person relating to his or her conduct as a director of the Company, except that the aforesaid mandatory indemnification shall not apply (i) to a breach of a director's duty of loyalty to the Company or its shareholders, (ii) for acts or omissions not in good faith or which involve intentional misconduct or knowing violation of the law, (iii) for a transaction from which a director derived an improper personal benefit, (iv) under Section 496A.44 of the Iowa Business Corporation Act, or (v) against judgments, penalties, fines and settlements arising from any proceeding by or in the right of the Company, or against expenses in any such case where such director shall be adjudged liable to the Company. The Articles of Incorporation further provide that the indemnification provided thereunder shall not be exclusive of any other rights to which those indemnified may be entitled under any bylaw, agreement, vote of shareholders or disinterested directors or otherwise.</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Iowa Business Corporation Act provides that the Company may purchase and maintain insurance on behalf of an individual who is a director or officer of the Company against liability asserted against or incurred by that individual in that capacity or arising from the individual's status as a director or officer, whether or not the Company would have power to indemnify that individual against the same liability under the Iowa Business Corporation Act. The Company maintains a directors' and officers' liability insurance policy to insure individual directors and officers against these obligations.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 - 1</w:t>
      </w:r>
    </w:p>
    <w:p>
      <w:pPr>
        <w:sectPr>
          <w:pgSz w:w="11900" w:h="16838" w:orient="portrait"/>
          <w:cols w:equalWidth="0" w:num="1">
            <w:col w:w="11420"/>
          </w:cols>
          <w:pgMar w:left="240" w:top="57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16. EXHIBITS.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ind w:left="40"/>
              <w:spacing w:after="0"/>
              <w:rPr>
                <w:sz w:val="20"/>
                <w:szCs w:val="20"/>
                <w:color w:val="auto"/>
              </w:rPr>
            </w:pPr>
            <w:r>
              <w:rPr>
                <w:rFonts w:ascii="Arial" w:cs="Arial" w:eastAsia="Arial" w:hAnsi="Arial"/>
                <w:sz w:val="16"/>
                <w:szCs w:val="16"/>
                <w:b w:val="1"/>
                <w:bCs w:val="1"/>
                <w:color w:val="auto"/>
              </w:rPr>
              <w:t>Exhibit</w:t>
            </w:r>
          </w:p>
        </w:tc>
        <w:tc>
          <w:tcPr>
            <w:tcW w:w="10620" w:type="dxa"/>
            <w:vAlign w:val="bottom"/>
          </w:tcPr>
          <w:p>
            <w:pPr>
              <w:spacing w:after="0"/>
              <w:rPr>
                <w:sz w:val="16"/>
                <w:szCs w:val="16"/>
                <w:color w:val="auto"/>
              </w:rPr>
            </w:pPr>
          </w:p>
        </w:tc>
      </w:tr>
      <w:tr>
        <w:trPr>
          <w:trHeight w:val="228"/>
        </w:trPr>
        <w:tc>
          <w:tcPr>
            <w:tcW w:w="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Number</w:t>
            </w:r>
          </w:p>
        </w:tc>
        <w:tc>
          <w:tcPr>
            <w:tcW w:w="10620" w:type="dxa"/>
            <w:vAlign w:val="bottom"/>
            <w:tcBorders>
              <w:bottom w:val="single" w:sz="8" w:color="auto"/>
            </w:tcBorders>
          </w:tcPr>
          <w:p>
            <w:pPr>
              <w:ind w:left="4500"/>
              <w:spacing w:after="0"/>
              <w:rPr>
                <w:sz w:val="20"/>
                <w:szCs w:val="20"/>
                <w:color w:val="auto"/>
              </w:rPr>
            </w:pPr>
            <w:r>
              <w:rPr>
                <w:rFonts w:ascii="Arial" w:cs="Arial" w:eastAsia="Arial" w:hAnsi="Arial"/>
                <w:sz w:val="16"/>
                <w:szCs w:val="16"/>
                <w:b w:val="1"/>
                <w:bCs w:val="1"/>
                <w:color w:val="auto"/>
              </w:rPr>
              <w:t>Description of Exhibits</w:t>
            </w:r>
          </w:p>
        </w:tc>
      </w:tr>
      <w:tr>
        <w:trPr>
          <w:trHeight w:val="224"/>
        </w:trPr>
        <w:tc>
          <w:tcPr>
            <w:tcW w:w="800" w:type="dxa"/>
            <w:vAlign w:val="bottom"/>
          </w:tcPr>
          <w:p>
            <w:pPr>
              <w:ind w:left="40"/>
              <w:spacing w:after="0"/>
              <w:rPr>
                <w:sz w:val="20"/>
                <w:szCs w:val="20"/>
                <w:color w:val="auto"/>
              </w:rPr>
            </w:pPr>
            <w:r>
              <w:rPr>
                <w:rFonts w:ascii="Arial" w:cs="Arial" w:eastAsia="Arial" w:hAnsi="Arial"/>
                <w:sz w:val="16"/>
                <w:szCs w:val="16"/>
                <w:color w:val="auto"/>
              </w:rPr>
              <w:t>1.1</w:t>
            </w:r>
          </w:p>
        </w:tc>
        <w:tc>
          <w:tcPr>
            <w:tcW w:w="10620" w:type="dxa"/>
            <w:vAlign w:val="bottom"/>
          </w:tcPr>
          <w:p>
            <w:pPr>
              <w:ind w:left="160"/>
              <w:spacing w:after="0"/>
              <w:rPr>
                <w:sz w:val="20"/>
                <w:szCs w:val="20"/>
                <w:color w:val="auto"/>
              </w:rPr>
            </w:pPr>
            <w:r>
              <w:rPr>
                <w:rFonts w:ascii="Arial" w:cs="Arial" w:eastAsia="Arial" w:hAnsi="Arial"/>
                <w:sz w:val="16"/>
                <w:szCs w:val="16"/>
                <w:color w:val="auto"/>
              </w:rPr>
              <w:t>Form of Underwriting or Distribution Agreement for Common Stock*</w:t>
            </w:r>
          </w:p>
        </w:tc>
      </w:tr>
      <w:tr>
        <w:trPr>
          <w:trHeight w:val="238"/>
        </w:trPr>
        <w:tc>
          <w:tcPr>
            <w:tcW w:w="800" w:type="dxa"/>
            <w:vAlign w:val="bottom"/>
          </w:tcPr>
          <w:p>
            <w:pPr>
              <w:spacing w:after="0"/>
              <w:rPr>
                <w:sz w:val="20"/>
                <w:szCs w:val="20"/>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Articles of Incorporation, incorporated by reference in Exhibit 3a of the Company's Quarterly Report on Form 10-Q for the quarter ended May 27,</w:t>
            </w:r>
          </w:p>
        </w:tc>
      </w:tr>
      <w:tr>
        <w:trPr>
          <w:trHeight w:val="195"/>
        </w:trPr>
        <w:tc>
          <w:tcPr>
            <w:tcW w:w="800" w:type="dxa"/>
            <w:vAlign w:val="bottom"/>
          </w:tcPr>
          <w:p>
            <w:pPr>
              <w:ind w:left="40"/>
              <w:spacing w:after="0"/>
              <w:rPr>
                <w:sz w:val="20"/>
                <w:szCs w:val="20"/>
                <w:color w:val="auto"/>
              </w:rPr>
            </w:pPr>
            <w:r>
              <w:rPr>
                <w:rFonts w:ascii="Arial" w:cs="Arial" w:eastAsia="Arial" w:hAnsi="Arial"/>
                <w:sz w:val="16"/>
                <w:szCs w:val="16"/>
                <w:color w:val="auto"/>
              </w:rPr>
              <w:t>4.1</w:t>
            </w:r>
          </w:p>
        </w:tc>
        <w:tc>
          <w:tcPr>
            <w:tcW w:w="10620" w:type="dxa"/>
            <w:vAlign w:val="bottom"/>
          </w:tcPr>
          <w:p>
            <w:pPr>
              <w:ind w:left="160"/>
              <w:spacing w:after="0" w:line="184" w:lineRule="exact"/>
              <w:rPr>
                <w:sz w:val="20"/>
                <w:szCs w:val="20"/>
                <w:color w:val="auto"/>
              </w:rPr>
            </w:pPr>
            <w:r>
              <w:rPr>
                <w:rFonts w:ascii="Arial" w:cs="Arial" w:eastAsia="Arial" w:hAnsi="Arial"/>
                <w:sz w:val="16"/>
                <w:szCs w:val="16"/>
                <w:color w:val="auto"/>
              </w:rPr>
              <w:t>2000 (Commission File Number 001</w:t>
            </w:r>
            <w:r>
              <w:rPr>
                <w:rFonts w:ascii="MS PGothic" w:cs="MS PGothic" w:eastAsia="MS PGothic" w:hAnsi="MS PGothic"/>
                <w:sz w:val="16"/>
                <w:szCs w:val="16"/>
                <w:color w:val="auto"/>
              </w:rPr>
              <w:t>‑</w:t>
            </w:r>
            <w:r>
              <w:rPr>
                <w:rFonts w:ascii="Arial" w:cs="Arial" w:eastAsia="Arial" w:hAnsi="Arial"/>
                <w:sz w:val="16"/>
                <w:szCs w:val="16"/>
                <w:color w:val="auto"/>
              </w:rPr>
              <w:t>06403).</w:t>
            </w:r>
          </w:p>
        </w:tc>
      </w:tr>
      <w:tr>
        <w:trPr>
          <w:trHeight w:val="238"/>
        </w:trPr>
        <w:tc>
          <w:tcPr>
            <w:tcW w:w="800" w:type="dxa"/>
            <w:vAlign w:val="bottom"/>
          </w:tcPr>
          <w:p>
            <w:pPr>
              <w:spacing w:after="0"/>
              <w:rPr>
                <w:sz w:val="20"/>
                <w:szCs w:val="20"/>
                <w:color w:val="auto"/>
              </w:rPr>
            </w:pPr>
          </w:p>
        </w:tc>
        <w:tc>
          <w:tcPr>
            <w:tcW w:w="10620" w:type="dxa"/>
            <w:vAlign w:val="bottom"/>
          </w:tcPr>
          <w:p>
            <w:pPr>
              <w:ind w:left="160"/>
              <w:spacing w:after="0" w:line="184" w:lineRule="exact"/>
              <w:rPr>
                <w:sz w:val="20"/>
                <w:szCs w:val="20"/>
                <w:color w:val="auto"/>
              </w:rPr>
            </w:pPr>
            <w:r>
              <w:rPr>
                <w:rFonts w:ascii="Arial" w:cs="Arial" w:eastAsia="Arial" w:hAnsi="Arial"/>
                <w:sz w:val="16"/>
                <w:szCs w:val="16"/>
                <w:color w:val="auto"/>
              </w:rPr>
              <w:t>Amended By</w:t>
            </w:r>
            <w:r>
              <w:rPr>
                <w:rFonts w:ascii="MS PGothic" w:cs="MS PGothic" w:eastAsia="MS PGothic" w:hAnsi="MS PGothic"/>
                <w:sz w:val="16"/>
                <w:szCs w:val="16"/>
                <w:color w:val="auto"/>
              </w:rPr>
              <w:t>‑</w:t>
            </w:r>
            <w:r>
              <w:rPr>
                <w:rFonts w:ascii="Arial" w:cs="Arial" w:eastAsia="Arial" w:hAnsi="Arial"/>
                <w:sz w:val="16"/>
                <w:szCs w:val="16"/>
                <w:color w:val="auto"/>
              </w:rPr>
              <w:t>Laws of the Registrant, incorporated by reference in Exhibit 3.1 of the Company's Current Report on Form 8-K dated March 29,</w:t>
            </w:r>
          </w:p>
        </w:tc>
      </w:tr>
      <w:tr>
        <w:trPr>
          <w:trHeight w:val="195"/>
        </w:trPr>
        <w:tc>
          <w:tcPr>
            <w:tcW w:w="800" w:type="dxa"/>
            <w:vAlign w:val="bottom"/>
          </w:tcPr>
          <w:p>
            <w:pPr>
              <w:ind w:left="40"/>
              <w:spacing w:after="0"/>
              <w:rPr>
                <w:sz w:val="20"/>
                <w:szCs w:val="20"/>
                <w:color w:val="auto"/>
              </w:rPr>
            </w:pPr>
            <w:r>
              <w:rPr>
                <w:rFonts w:ascii="Arial" w:cs="Arial" w:eastAsia="Arial" w:hAnsi="Arial"/>
                <w:sz w:val="16"/>
                <w:szCs w:val="16"/>
                <w:color w:val="auto"/>
              </w:rPr>
              <w:t>4.2</w:t>
            </w:r>
          </w:p>
        </w:tc>
        <w:tc>
          <w:tcPr>
            <w:tcW w:w="10620" w:type="dxa"/>
            <w:vAlign w:val="bottom"/>
          </w:tcPr>
          <w:p>
            <w:pPr>
              <w:ind w:left="160"/>
              <w:spacing w:after="0"/>
              <w:rPr>
                <w:sz w:val="20"/>
                <w:szCs w:val="20"/>
                <w:color w:val="auto"/>
              </w:rPr>
            </w:pPr>
            <w:r>
              <w:rPr>
                <w:rFonts w:ascii="Arial" w:cs="Arial" w:eastAsia="Arial" w:hAnsi="Arial"/>
                <w:sz w:val="16"/>
                <w:szCs w:val="16"/>
                <w:color w:val="auto"/>
              </w:rPr>
              <w:t>2016 (Commission File Number 001-06403).</w:t>
            </w:r>
          </w:p>
        </w:tc>
      </w:tr>
      <w:tr>
        <w:trPr>
          <w:trHeight w:val="243"/>
        </w:trPr>
        <w:tc>
          <w:tcPr>
            <w:tcW w:w="800" w:type="dxa"/>
            <w:vAlign w:val="bottom"/>
          </w:tcPr>
          <w:p>
            <w:pPr>
              <w:ind w:left="40"/>
              <w:spacing w:after="0"/>
              <w:rPr>
                <w:sz w:val="20"/>
                <w:szCs w:val="20"/>
                <w:color w:val="auto"/>
              </w:rPr>
            </w:pPr>
            <w:r>
              <w:rPr>
                <w:rFonts w:ascii="Arial" w:cs="Arial" w:eastAsia="Arial" w:hAnsi="Arial"/>
                <w:sz w:val="16"/>
                <w:szCs w:val="16"/>
                <w:color w:val="auto"/>
              </w:rPr>
              <w:t>5.1</w:t>
            </w:r>
          </w:p>
        </w:tc>
        <w:tc>
          <w:tcPr>
            <w:tcW w:w="10620" w:type="dxa"/>
            <w:vAlign w:val="bottom"/>
          </w:tcPr>
          <w:p>
            <w:pPr>
              <w:ind w:left="160"/>
              <w:spacing w:after="0"/>
              <w:rPr>
                <w:sz w:val="20"/>
                <w:szCs w:val="20"/>
                <w:color w:val="auto"/>
              </w:rPr>
            </w:pPr>
            <w:r>
              <w:rPr>
                <w:rFonts w:ascii="Arial" w:cs="Arial" w:eastAsia="Arial" w:hAnsi="Arial"/>
                <w:sz w:val="16"/>
                <w:szCs w:val="16"/>
                <w:color w:val="auto"/>
              </w:rPr>
              <w:t>Opinion of counsel as to legality of the shares of common stock.</w:t>
            </w:r>
          </w:p>
        </w:tc>
      </w:tr>
      <w:tr>
        <w:trPr>
          <w:trHeight w:val="243"/>
        </w:trPr>
        <w:tc>
          <w:tcPr>
            <w:tcW w:w="800" w:type="dxa"/>
            <w:vAlign w:val="bottom"/>
          </w:tcPr>
          <w:p>
            <w:pPr>
              <w:ind w:left="40"/>
              <w:spacing w:after="0"/>
              <w:rPr>
                <w:sz w:val="20"/>
                <w:szCs w:val="20"/>
                <w:color w:val="auto"/>
              </w:rPr>
            </w:pPr>
            <w:r>
              <w:rPr>
                <w:rFonts w:ascii="Arial" w:cs="Arial" w:eastAsia="Arial" w:hAnsi="Arial"/>
                <w:sz w:val="16"/>
                <w:szCs w:val="16"/>
                <w:color w:val="auto"/>
              </w:rPr>
              <w:t>23.1</w:t>
            </w:r>
          </w:p>
        </w:tc>
        <w:tc>
          <w:tcPr>
            <w:tcW w:w="10620" w:type="dxa"/>
            <w:vAlign w:val="bottom"/>
          </w:tcPr>
          <w:p>
            <w:pPr>
              <w:ind w:left="16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243"/>
        </w:trPr>
        <w:tc>
          <w:tcPr>
            <w:tcW w:w="800" w:type="dxa"/>
            <w:vAlign w:val="bottom"/>
          </w:tcPr>
          <w:p>
            <w:pPr>
              <w:ind w:left="40"/>
              <w:spacing w:after="0"/>
              <w:rPr>
                <w:sz w:val="20"/>
                <w:szCs w:val="20"/>
                <w:color w:val="auto"/>
              </w:rPr>
            </w:pPr>
            <w:r>
              <w:rPr>
                <w:rFonts w:ascii="Arial" w:cs="Arial" w:eastAsia="Arial" w:hAnsi="Arial"/>
                <w:sz w:val="16"/>
                <w:szCs w:val="16"/>
                <w:color w:val="auto"/>
              </w:rPr>
              <w:t>23.2</w:t>
            </w:r>
          </w:p>
        </w:tc>
        <w:tc>
          <w:tcPr>
            <w:tcW w:w="10620" w:type="dxa"/>
            <w:vAlign w:val="bottom"/>
          </w:tcPr>
          <w:p>
            <w:pPr>
              <w:ind w:left="160"/>
              <w:spacing w:after="0"/>
              <w:rPr>
                <w:sz w:val="20"/>
                <w:szCs w:val="20"/>
                <w:color w:val="auto"/>
              </w:rPr>
            </w:pPr>
            <w:r>
              <w:rPr>
                <w:rFonts w:ascii="Arial" w:cs="Arial" w:eastAsia="Arial" w:hAnsi="Arial"/>
                <w:sz w:val="16"/>
                <w:szCs w:val="16"/>
                <w:color w:val="auto"/>
              </w:rPr>
              <w:t>Legal counsel's consent (included in Exhibit 5.1 hereto).</w:t>
            </w:r>
          </w:p>
        </w:tc>
      </w:tr>
      <w:tr>
        <w:trPr>
          <w:trHeight w:val="243"/>
        </w:trPr>
        <w:tc>
          <w:tcPr>
            <w:tcW w:w="800" w:type="dxa"/>
            <w:vAlign w:val="bottom"/>
          </w:tcPr>
          <w:p>
            <w:pPr>
              <w:ind w:left="40"/>
              <w:spacing w:after="0"/>
              <w:rPr>
                <w:sz w:val="20"/>
                <w:szCs w:val="20"/>
                <w:color w:val="auto"/>
              </w:rPr>
            </w:pPr>
            <w:r>
              <w:rPr>
                <w:rFonts w:ascii="Arial" w:cs="Arial" w:eastAsia="Arial" w:hAnsi="Arial"/>
                <w:sz w:val="16"/>
                <w:szCs w:val="16"/>
                <w:color w:val="auto"/>
              </w:rPr>
              <w:t>24</w:t>
            </w:r>
          </w:p>
        </w:tc>
        <w:tc>
          <w:tcPr>
            <w:tcW w:w="10620" w:type="dxa"/>
            <w:vAlign w:val="bottom"/>
          </w:tcPr>
          <w:p>
            <w:pPr>
              <w:ind w:left="160"/>
              <w:spacing w:after="0"/>
              <w:rPr>
                <w:sz w:val="20"/>
                <w:szCs w:val="20"/>
                <w:color w:val="auto"/>
              </w:rPr>
            </w:pPr>
            <w:r>
              <w:rPr>
                <w:rFonts w:ascii="Arial" w:cs="Arial" w:eastAsia="Arial" w:hAnsi="Arial"/>
                <w:sz w:val="16"/>
                <w:szCs w:val="16"/>
                <w:color w:val="auto"/>
              </w:rPr>
              <w:t>Power of attorney (included on the signature page of the Registration Statement).</w:t>
            </w:r>
          </w:p>
        </w:tc>
      </w:tr>
    </w:tbl>
    <w:p>
      <w:pPr>
        <w:spacing w:after="0" w:line="3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 To be filed by Current Report on Form 8-K.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1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undersigned registrant hereby undertakes: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5" w:lineRule="exact"/>
        <w:rPr>
          <w:rFonts w:ascii="Arial" w:cs="Arial" w:eastAsia="Arial" w:hAnsi="Arial"/>
          <w:sz w:val="16"/>
          <w:szCs w:val="16"/>
          <w:color w:val="auto"/>
        </w:rPr>
      </w:pPr>
    </w:p>
    <w:p>
      <w:pPr>
        <w:ind w:left="1620" w:hanging="153"/>
        <w:spacing w:after="0"/>
        <w:tabs>
          <w:tab w:leader="none" w:pos="1620" w:val="left"/>
        </w:tabs>
        <w:numPr>
          <w:ilvl w:val="2"/>
          <w:numId w:val="6"/>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w:t>
      </w:r>
    </w:p>
    <w:p>
      <w:pPr>
        <w:spacing w:after="0" w:line="5" w:lineRule="exact"/>
        <w:rPr>
          <w:rFonts w:ascii="Arial" w:cs="Arial" w:eastAsia="Arial" w:hAnsi="Arial"/>
          <w:sz w:val="16"/>
          <w:szCs w:val="16"/>
          <w:color w:val="auto"/>
        </w:rPr>
      </w:pPr>
    </w:p>
    <w:p>
      <w:pPr>
        <w:ind w:left="1620" w:right="40" w:hanging="153"/>
        <w:spacing w:after="0" w:line="246" w:lineRule="auto"/>
        <w:tabs>
          <w:tab w:leader="none" w:pos="1620" w:val="left"/>
        </w:tabs>
        <w:numPr>
          <w:ilvl w:val="2"/>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of Registration Fee" table in the effective registration statement; and</w:t>
      </w:r>
    </w:p>
    <w:p>
      <w:pPr>
        <w:spacing w:after="0" w:line="5" w:lineRule="exact"/>
        <w:rPr>
          <w:sz w:val="20"/>
          <w:szCs w:val="20"/>
          <w:color w:val="auto"/>
        </w:rPr>
      </w:pPr>
    </w:p>
    <w:p>
      <w:pPr>
        <w:ind w:left="1620" w:right="260" w:hanging="161"/>
        <w:spacing w:after="0" w:line="260" w:lineRule="auto"/>
        <w:rPr>
          <w:sz w:val="20"/>
          <w:szCs w:val="20"/>
          <w:color w:val="auto"/>
        </w:rPr>
      </w:pPr>
      <w:r>
        <w:rPr>
          <w:rFonts w:ascii="Arial" w:cs="Arial" w:eastAsia="Arial" w:hAnsi="Arial"/>
          <w:sz w:val="16"/>
          <w:szCs w:val="16"/>
          <w:color w:val="auto"/>
        </w:rPr>
        <w:t>iii.To include any material information with respect to the plan of distribution not previously disclosed in the registration statement or any material change to such information in the registration statement;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w:t>
      </w:r>
    </w:p>
    <w:p>
      <w:pPr>
        <w:spacing w:after="0" w:line="197" w:lineRule="exact"/>
        <w:rPr>
          <w:sz w:val="20"/>
          <w:szCs w:val="20"/>
          <w:color w:val="auto"/>
        </w:rPr>
      </w:pPr>
    </w:p>
    <w:p>
      <w:pPr>
        <w:ind w:left="2280" w:right="20" w:hanging="327"/>
        <w:spacing w:after="0" w:line="246" w:lineRule="auto"/>
        <w:tabs>
          <w:tab w:leader="none" w:pos="2280" w:val="left"/>
        </w:tabs>
        <w:numPr>
          <w:ilvl w:val="2"/>
          <w:numId w:val="7"/>
        </w:numPr>
        <w:rPr>
          <w:rFonts w:ascii="Arial" w:cs="Arial" w:eastAsia="Arial" w:hAnsi="Arial"/>
          <w:sz w:val="16"/>
          <w:szCs w:val="16"/>
          <w:color w:val="auto"/>
        </w:rPr>
      </w:pPr>
      <w:r>
        <w:rPr>
          <w:rFonts w:ascii="Arial" w:cs="Arial" w:eastAsia="Arial" w:hAnsi="Arial"/>
          <w:sz w:val="16"/>
          <w:szCs w:val="16"/>
          <w:color w:val="auto"/>
        </w:rPr>
        <w:t>Paragraphs (a)(1)(i), (a)(1)(ii) and (a)(1)(iii)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w:t>
      </w:r>
    </w:p>
    <w:p>
      <w:pPr>
        <w:spacing w:after="0" w:line="1" w:lineRule="exact"/>
        <w:rPr>
          <w:rFonts w:ascii="Arial" w:cs="Arial" w:eastAsia="Arial" w:hAnsi="Arial"/>
          <w:sz w:val="16"/>
          <w:szCs w:val="16"/>
          <w:color w:val="auto"/>
        </w:rPr>
      </w:pPr>
    </w:p>
    <w:p>
      <w:pPr>
        <w:ind w:left="2280"/>
        <w:spacing w:after="0"/>
        <w:rPr>
          <w:rFonts w:ascii="Arial" w:cs="Arial" w:eastAsia="Arial" w:hAnsi="Arial"/>
          <w:sz w:val="16"/>
          <w:szCs w:val="16"/>
          <w:color w:val="auto"/>
        </w:rPr>
      </w:pPr>
      <w:r>
        <w:rPr>
          <w:rFonts w:ascii="Arial" w:cs="Arial" w:eastAsia="Arial" w:hAnsi="Arial"/>
          <w:sz w:val="16"/>
          <w:szCs w:val="16"/>
          <w:color w:val="auto"/>
        </w:rPr>
        <w:t>Rule 424(b) that is part of the registration statement.</w:t>
      </w:r>
    </w:p>
    <w:p>
      <w:pPr>
        <w:spacing w:after="0" w:line="194" w:lineRule="exact"/>
        <w:rPr>
          <w:rFonts w:ascii="Arial" w:cs="Arial" w:eastAsia="Arial" w:hAnsi="Arial"/>
          <w:sz w:val="16"/>
          <w:szCs w:val="16"/>
          <w:color w:val="auto"/>
        </w:rPr>
      </w:pPr>
    </w:p>
    <w:p>
      <w:pPr>
        <w:ind w:left="980" w:right="20" w:hanging="324"/>
        <w:spacing w:after="0" w:line="246"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 w:lineRule="exact"/>
        <w:rPr>
          <w:rFonts w:ascii="Arial" w:cs="Arial" w:eastAsia="Arial" w:hAnsi="Arial"/>
          <w:sz w:val="16"/>
          <w:szCs w:val="16"/>
          <w:color w:val="auto"/>
        </w:rPr>
      </w:pPr>
    </w:p>
    <w:p>
      <w:pPr>
        <w:ind w:left="980" w:right="840" w:hanging="324"/>
        <w:spacing w:after="0" w:line="246"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which remain unsold at the termination of the offering.</w:t>
      </w: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w:t>
      </w:r>
    </w:p>
    <w:p>
      <w:pPr>
        <w:spacing w:after="0" w:line="5" w:lineRule="exact"/>
        <w:rPr>
          <w:rFonts w:ascii="Arial" w:cs="Arial" w:eastAsia="Arial" w:hAnsi="Arial"/>
          <w:sz w:val="16"/>
          <w:szCs w:val="16"/>
          <w:color w:val="auto"/>
        </w:rPr>
      </w:pPr>
    </w:p>
    <w:p>
      <w:pPr>
        <w:ind w:left="1620" w:hanging="153"/>
        <w:spacing w:after="0"/>
        <w:tabs>
          <w:tab w:leader="none" w:pos="1620"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the registrant is relying on Rule 430B:</w:t>
      </w:r>
    </w:p>
    <w:p>
      <w:pPr>
        <w:spacing w:after="0" w:line="5" w:lineRule="exact"/>
        <w:rPr>
          <w:rFonts w:ascii="Arial" w:cs="Arial" w:eastAsia="Arial" w:hAnsi="Arial"/>
          <w:sz w:val="16"/>
          <w:szCs w:val="16"/>
          <w:color w:val="auto"/>
        </w:rPr>
      </w:pPr>
    </w:p>
    <w:p>
      <w:pPr>
        <w:ind w:left="2280" w:right="80" w:hanging="327"/>
        <w:spacing w:after="0" w:line="246" w:lineRule="auto"/>
        <w:tabs>
          <w:tab w:leader="none" w:pos="2280" w:val="left"/>
        </w:tabs>
        <w:numPr>
          <w:ilvl w:val="2"/>
          <w:numId w:val="8"/>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424(b)(3)shall be deemed to be part of the registration statement as of the date the filed prospectus was deemed part of and included in the registration statement; and</w:t>
      </w:r>
    </w:p>
    <w:p>
      <w:pPr>
        <w:ind w:left="2280" w:right="100" w:hanging="327"/>
        <w:spacing w:after="0" w:line="250" w:lineRule="auto"/>
        <w:tabs>
          <w:tab w:leader="none" w:pos="2280" w:val="left"/>
        </w:tabs>
        <w:numPr>
          <w:ilvl w:val="2"/>
          <w:numId w:val="8"/>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w:t>
      </w:r>
    </w:p>
    <w:p>
      <w:pPr>
        <w:spacing w:after="0" w:line="230" w:lineRule="exact"/>
        <w:rPr>
          <w:rFonts w:ascii="Arial" w:cs="Arial" w:eastAsia="Arial" w:hAnsi="Arial"/>
          <w:sz w:val="16"/>
          <w:szCs w:val="16"/>
          <w:color w:val="auto"/>
        </w:rPr>
      </w:pPr>
    </w:p>
    <w:p>
      <w:pPr>
        <w:ind w:left="5680" w:hanging="128"/>
        <w:spacing w:after="0"/>
        <w:tabs>
          <w:tab w:leader="none" w:pos="5680" w:val="left"/>
        </w:tabs>
        <w:numPr>
          <w:ilvl w:val="3"/>
          <w:numId w:val="8"/>
        </w:numPr>
        <w:rPr>
          <w:rFonts w:ascii="Arial" w:cs="Arial" w:eastAsia="Arial" w:hAnsi="Arial"/>
          <w:sz w:val="16"/>
          <w:szCs w:val="16"/>
          <w:color w:val="auto"/>
        </w:rPr>
      </w:pPr>
      <w:r>
        <w:rPr>
          <w:rFonts w:ascii="Arial" w:cs="Arial" w:eastAsia="Arial" w:hAnsi="Arial"/>
          <w:sz w:val="16"/>
          <w:szCs w:val="16"/>
          <w:color w:val="auto"/>
        </w:rPr>
        <w:t>- 2</w:t>
      </w:r>
    </w:p>
    <w:p>
      <w:pPr>
        <w:sectPr>
          <w:pgSz w:w="11900" w:h="16838" w:orient="portrait"/>
          <w:cols w:equalWidth="0" w:num="1">
            <w:col w:w="11420"/>
          </w:cols>
          <w:pgMar w:left="240" w:top="576" w:right="239" w:bottom="1440" w:gutter="0" w:footer="0" w:header="0"/>
        </w:sectPr>
      </w:pPr>
    </w:p>
    <w:bookmarkStart w:id="14" w:name="page15"/>
    <w:bookmarkEnd w:id="14"/>
    <w:p>
      <w:pPr>
        <w:ind w:left="2280"/>
        <w:spacing w:after="0" w:line="330" w:lineRule="auto"/>
        <w:rPr>
          <w:sz w:val="20"/>
          <w:szCs w:val="20"/>
          <w:color w:val="auto"/>
        </w:rPr>
      </w:pPr>
      <w:r>
        <w:rPr>
          <w:rFonts w:ascii="Arial" w:cs="Arial" w:eastAsia="Arial" w:hAnsi="Arial"/>
          <w:sz w:val="16"/>
          <w:szCs w:val="16"/>
          <w:color w:val="auto"/>
        </w:rPr>
        <w:t>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 w:lineRule="exact"/>
        <w:rPr>
          <w:sz w:val="20"/>
          <w:szCs w:val="20"/>
          <w:color w:val="auto"/>
        </w:rPr>
      </w:pPr>
    </w:p>
    <w:p>
      <w:pPr>
        <w:ind w:left="1620" w:right="80" w:hanging="153"/>
        <w:spacing w:after="0" w:line="246" w:lineRule="auto"/>
        <w:tabs>
          <w:tab w:leader="none" w:pos="1620" w:val="left"/>
        </w:tabs>
        <w:numPr>
          <w:ilvl w:val="1"/>
          <w:numId w:val="9"/>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 w:lineRule="exact"/>
        <w:rPr>
          <w:rFonts w:ascii="Arial" w:cs="Arial" w:eastAsia="Arial" w:hAnsi="Arial"/>
          <w:sz w:val="16"/>
          <w:szCs w:val="16"/>
          <w:color w:val="auto"/>
        </w:rPr>
      </w:pPr>
    </w:p>
    <w:p>
      <w:pPr>
        <w:ind w:left="980" w:right="420" w:hanging="324"/>
        <w:spacing w:after="0" w:line="246"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w:t>
      </w:r>
    </w:p>
    <w:p>
      <w:pPr>
        <w:spacing w:after="0" w:line="1" w:lineRule="exact"/>
        <w:rPr>
          <w:sz w:val="20"/>
          <w:szCs w:val="20"/>
          <w:color w:val="auto"/>
        </w:rPr>
      </w:pPr>
    </w:p>
    <w:p>
      <w:pPr>
        <w:ind w:right="80" w:firstLine="648"/>
        <w:spacing w:after="0" w:line="246"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 w:lineRule="exact"/>
        <w:rPr>
          <w:sz w:val="20"/>
          <w:szCs w:val="20"/>
          <w:color w:val="auto"/>
        </w:rPr>
      </w:pPr>
    </w:p>
    <w:p>
      <w:pPr>
        <w:ind w:left="1660" w:hanging="193"/>
        <w:spacing w:after="0"/>
        <w:tabs>
          <w:tab w:leader="none" w:pos="1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5" w:lineRule="exact"/>
        <w:rPr>
          <w:rFonts w:ascii="Arial" w:cs="Arial" w:eastAsia="Arial" w:hAnsi="Arial"/>
          <w:sz w:val="16"/>
          <w:szCs w:val="16"/>
          <w:color w:val="auto"/>
        </w:rPr>
      </w:pPr>
    </w:p>
    <w:p>
      <w:pPr>
        <w:ind w:left="1620" w:right="260" w:hanging="153"/>
        <w:spacing w:after="0" w:line="246" w:lineRule="auto"/>
        <w:tabs>
          <w:tab w:leader="none" w:pos="1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 undersigned registrant;</w:t>
      </w:r>
    </w:p>
    <w:p>
      <w:pPr>
        <w:spacing w:after="0" w:line="1" w:lineRule="exact"/>
        <w:rPr>
          <w:sz w:val="20"/>
          <w:szCs w:val="20"/>
          <w:color w:val="auto"/>
        </w:rPr>
      </w:pPr>
    </w:p>
    <w:p>
      <w:pPr>
        <w:ind w:left="1620" w:right="160" w:hanging="161"/>
        <w:spacing w:after="0" w:line="246" w:lineRule="auto"/>
        <w:rPr>
          <w:sz w:val="20"/>
          <w:szCs w:val="20"/>
          <w:color w:val="auto"/>
        </w:rPr>
      </w:pPr>
      <w:r>
        <w:rPr>
          <w:rFonts w:ascii="Arial" w:cs="Arial" w:eastAsia="Arial" w:hAnsi="Arial"/>
          <w:sz w:val="16"/>
          <w:szCs w:val="16"/>
          <w:color w:val="auto"/>
        </w:rPr>
        <w:t>iii.The portion of any other free writing prospectus relating to the offering containing material information about the undersigned registrant or its securities provided by or on behalf of the undersigned registrant; and</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iv.Any other communication that is an offer in the offering made by the undersigned registrant to the purchaser.</w:t>
      </w:r>
    </w:p>
    <w:p>
      <w:pPr>
        <w:spacing w:after="0" w:line="86" w:lineRule="exact"/>
        <w:rPr>
          <w:sz w:val="20"/>
          <w:szCs w:val="20"/>
          <w:color w:val="auto"/>
        </w:rPr>
      </w:pPr>
    </w:p>
    <w:p>
      <w:pPr>
        <w:ind w:right="120" w:firstLine="648"/>
        <w:spacing w:after="0" w:line="250" w:lineRule="auto"/>
        <w:rPr>
          <w:sz w:val="20"/>
          <w:szCs w:val="20"/>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9" w:lineRule="exact"/>
        <w:rPr>
          <w:sz w:val="20"/>
          <w:szCs w:val="20"/>
          <w:color w:val="auto"/>
        </w:rPr>
      </w:pPr>
    </w:p>
    <w:p>
      <w:pPr>
        <w:ind w:right="60" w:firstLine="648"/>
        <w:spacing w:after="0" w:line="24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 - 3</w:t>
      </w:r>
    </w:p>
    <w:p>
      <w:pPr>
        <w:sectPr>
          <w:pgSz w:w="11900" w:h="16838" w:orient="portrait"/>
          <w:cols w:equalWidth="0" w:num="1">
            <w:col w:w="11420"/>
          </w:cols>
          <w:pgMar w:left="240" w:top="628"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on April 8, 2016.</w:t>
      </w:r>
    </w:p>
    <w:p>
      <w:pPr>
        <w:spacing w:after="0" w:line="200" w:lineRule="exact"/>
        <w:rPr>
          <w:sz w:val="20"/>
          <w:szCs w:val="20"/>
          <w:color w:val="auto"/>
        </w:rPr>
      </w:pPr>
    </w:p>
    <w:p>
      <w:pPr>
        <w:spacing w:after="0" w:line="317"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4960"/>
        <w:spacing w:after="0"/>
        <w:tabs>
          <w:tab w:leader="none" w:pos="5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19050</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President, Chief Executive Officer, Director</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(Principal Executive Officer)</w:t>
      </w:r>
    </w:p>
    <w:p>
      <w:pPr>
        <w:spacing w:after="0" w:line="221" w:lineRule="exact"/>
        <w:rPr>
          <w:sz w:val="20"/>
          <w:szCs w:val="20"/>
          <w:color w:val="auto"/>
        </w:rPr>
      </w:pPr>
    </w:p>
    <w:p>
      <w:pPr>
        <w:ind w:right="540" w:firstLine="648"/>
        <w:spacing w:after="0" w:line="260"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below on April 8, 2016, by the following persons on behalf of the Registrant and in the capacities indicated.</w:t>
      </w:r>
    </w:p>
    <w:p>
      <w:pPr>
        <w:spacing w:after="0" w:line="169" w:lineRule="exact"/>
        <w:rPr>
          <w:sz w:val="20"/>
          <w:szCs w:val="20"/>
          <w:color w:val="auto"/>
        </w:rPr>
      </w:pPr>
    </w:p>
    <w:p>
      <w:pPr>
        <w:ind w:right="80" w:firstLine="648"/>
        <w:spacing w:after="0" w:line="248" w:lineRule="auto"/>
        <w:rPr>
          <w:sz w:val="20"/>
          <w:szCs w:val="20"/>
          <w:color w:val="auto"/>
        </w:rPr>
      </w:pPr>
      <w:r>
        <w:rPr>
          <w:rFonts w:ascii="Arial" w:cs="Arial" w:eastAsia="Arial" w:hAnsi="Arial"/>
          <w:sz w:val="16"/>
          <w:szCs w:val="16"/>
          <w:color w:val="auto"/>
        </w:rPr>
        <w:t>Each person whose signature appears below hereby constitutes and appoints Michael J. Happe, Scott C. Folkers and Sarah N. Nielsen as such person's true and lawful attorney-in-fact and agent with full power and substitution for such person and in such person's name, place and stead, in any and all capacities, to sign and to file with the Securities and Exchange Commission, any and all amendments and post-effective amendments to this registration statement, with exhibits thereto and other documents in connection therewith, including any registration statements or amendments thereto filed pursuant to Rule 462(b) under the Securities Act, granting unto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said attorney-in-fact and agent or any substitute therefor, may lawfully do or cause to be done by virtue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 - 4</w:t>
      </w:r>
    </w:p>
    <w:p>
      <w:pPr>
        <w:sectPr>
          <w:pgSz w:w="11900" w:h="16838" w:orient="portrait"/>
          <w:cols w:equalWidth="0" w:num="1">
            <w:col w:w="11400"/>
          </w:cols>
          <w:pgMar w:left="240" w:top="576" w:right="259" w:bottom="1440" w:gutter="0" w:footer="0" w:header="0"/>
        </w:sectPr>
      </w:pPr>
    </w:p>
    <w:bookmarkStart w:id="16" w:name="page17"/>
    <w:bookmarkEnd w:id="16"/>
    <w:p>
      <w:pPr>
        <w:jc w:val="right"/>
        <w:ind w:right="1220"/>
        <w:spacing w:after="0"/>
        <w:rPr>
          <w:sz w:val="20"/>
          <w:szCs w:val="20"/>
          <w:color w:val="auto"/>
        </w:rPr>
      </w:pPr>
      <w:r>
        <w:rPr>
          <w:rFonts w:ascii="Arial" w:cs="Arial" w:eastAsia="Arial" w:hAnsi="Arial"/>
          <w:sz w:val="16"/>
          <w:szCs w:val="16"/>
          <w:b w:val="1"/>
          <w:bCs w:val="1"/>
          <w:u w:val="single" w:color="auto"/>
          <w:color w:val="auto"/>
        </w:rPr>
        <w:t>Signature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Michael J. Happe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Sarah N. Nielsen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Christopher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Christopher J. Braun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Robert M. Chiusano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Robert M. Chiusano</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Jerry N.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Jerry N. Currie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Lawrence A.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Lawrence A. Erickson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William C.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William C. Fisher</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David W.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David W. Miles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Martha T. Rodamaker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Martha T. Rodamaker</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Mark T. Schroepfer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wp:posOffset>
            </wp:positionV>
            <wp:extent cx="2470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Mark T. Schroepfer</w:t>
      </w:r>
    </w:p>
    <w:p>
      <w:pPr>
        <w:spacing w:after="0" w:line="20" w:lineRule="exact"/>
        <w:rPr>
          <w:sz w:val="20"/>
          <w:szCs w:val="20"/>
          <w:color w:val="auto"/>
        </w:rPr>
      </w:pPr>
      <w:r>
        <w:rPr>
          <w:sz w:val="20"/>
          <w:szCs w:val="20"/>
          <w:color w:val="auto"/>
        </w:rPr>
        <w:br w:type="column"/>
      </w:r>
    </w:p>
    <w:p>
      <w:pPr>
        <w:jc w:val="right"/>
        <w:ind w:right="2059"/>
        <w:spacing w:after="0"/>
        <w:rPr>
          <w:sz w:val="20"/>
          <w:szCs w:val="20"/>
          <w:color w:val="auto"/>
        </w:rPr>
      </w:pPr>
      <w:r>
        <w:rPr>
          <w:rFonts w:ascii="Arial" w:cs="Arial" w:eastAsia="Arial" w:hAnsi="Arial"/>
          <w:sz w:val="16"/>
          <w:szCs w:val="16"/>
          <w:b w:val="1"/>
          <w:bCs w:val="1"/>
          <w:u w:val="single" w:color="auto"/>
          <w:color w:val="auto"/>
        </w:rPr>
        <w:t>Capacity</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II - 5</w:t>
      </w:r>
    </w:p>
    <w:p>
      <w:pPr>
        <w:sectPr>
          <w:pgSz w:w="11900" w:h="16838" w:orient="portrait"/>
          <w:cols w:equalWidth="0" w:num="2">
            <w:col w:w="3500" w:space="720"/>
            <w:col w:w="5959"/>
          </w:cols>
          <w:pgMar w:left="280" w:top="770"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9"/>
        </w:trPr>
        <w:tc>
          <w:tcPr>
            <w:tcW w:w="2180" w:type="dxa"/>
            <w:vAlign w:val="bottom"/>
          </w:tcPr>
          <w:p>
            <w:pPr>
              <w:spacing w:after="0"/>
              <w:rPr>
                <w:sz w:val="20"/>
                <w:szCs w:val="20"/>
                <w:color w:val="auto"/>
              </w:rPr>
            </w:pPr>
          </w:p>
        </w:tc>
        <w:tc>
          <w:tcPr>
            <w:tcW w:w="7040" w:type="dxa"/>
            <w:vAlign w:val="bottom"/>
          </w:tcPr>
          <w:p>
            <w:pPr>
              <w:jc w:val="center"/>
              <w:ind w:right="2074"/>
              <w:spacing w:after="0"/>
              <w:rPr>
                <w:sz w:val="20"/>
                <w:szCs w:val="20"/>
                <w:color w:val="auto"/>
              </w:rPr>
            </w:pPr>
            <w:r>
              <w:rPr>
                <w:rFonts w:ascii="Arial" w:cs="Arial" w:eastAsia="Arial" w:hAnsi="Arial"/>
                <w:sz w:val="18"/>
                <w:szCs w:val="18"/>
                <w:b w:val="1"/>
                <w:bCs w:val="1"/>
                <w:color w:val="auto"/>
                <w:w w:val="99"/>
              </w:rPr>
              <w:t>Exhibit Index</w:t>
            </w:r>
          </w:p>
        </w:tc>
      </w:tr>
      <w:tr>
        <w:trPr>
          <w:trHeight w:val="522"/>
        </w:trPr>
        <w:tc>
          <w:tcPr>
            <w:tcW w:w="218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7040" w:type="dxa"/>
            <w:vAlign w:val="bottom"/>
          </w:tcPr>
          <w:p>
            <w:pPr>
              <w:spacing w:after="0"/>
              <w:rPr>
                <w:sz w:val="24"/>
                <w:szCs w:val="24"/>
                <w:color w:val="auto"/>
              </w:rPr>
            </w:pPr>
          </w:p>
        </w:tc>
      </w:tr>
      <w:tr>
        <w:trPr>
          <w:trHeight w:val="228"/>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7040" w:type="dxa"/>
            <w:vAlign w:val="bottom"/>
            <w:tcBorders>
              <w:bottom w:val="single" w:sz="8" w:color="auto"/>
            </w:tcBorders>
          </w:tcPr>
          <w:p>
            <w:pPr>
              <w:jc w:val="center"/>
              <w:ind w:right="2074"/>
              <w:spacing w:after="0"/>
              <w:rPr>
                <w:sz w:val="20"/>
                <w:szCs w:val="20"/>
                <w:color w:val="auto"/>
              </w:rPr>
            </w:pPr>
            <w:r>
              <w:rPr>
                <w:rFonts w:ascii="Arial" w:cs="Arial" w:eastAsia="Arial" w:hAnsi="Arial"/>
                <w:sz w:val="16"/>
                <w:szCs w:val="16"/>
                <w:b w:val="1"/>
                <w:bCs w:val="1"/>
                <w:color w:val="auto"/>
              </w:rPr>
              <w:t>Description of Exhibits</w:t>
            </w:r>
          </w:p>
        </w:tc>
      </w:tr>
    </w:tbl>
    <w:p>
      <w:pPr>
        <w:spacing w:after="0" w:line="56"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Form of Underwriting or Distribution Agreement for Common Stock*</w:t>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Articles of Incorporation, incorporated by reference in Exhibit 3a of the Company's Quarterly Report on</w:t>
      </w:r>
    </w:p>
    <w:p>
      <w:pPr>
        <w:spacing w:after="0" w:line="5" w:lineRule="exact"/>
        <w:rPr>
          <w:sz w:val="20"/>
          <w:szCs w:val="20"/>
          <w:color w:val="auto"/>
        </w:rPr>
      </w:pPr>
    </w:p>
    <w:p>
      <w:pPr>
        <w:ind w:left="20"/>
        <w:spacing w:after="0" w:line="184" w:lineRule="exact"/>
        <w:tabs>
          <w:tab w:leader="none" w:pos="76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Form 10-Q for the quarter ended May 27, 2000 (Commission File Number 001</w:t>
      </w:r>
      <w:r>
        <w:rPr>
          <w:rFonts w:ascii="MS PGothic" w:cs="MS PGothic" w:eastAsia="MS PGothic" w:hAnsi="MS PGothic"/>
          <w:sz w:val="16"/>
          <w:szCs w:val="16"/>
          <w:color w:val="auto"/>
        </w:rPr>
        <w:t>‑</w:t>
      </w:r>
      <w:r>
        <w:rPr>
          <w:rFonts w:ascii="Arial" w:cs="Arial" w:eastAsia="Arial" w:hAnsi="Arial"/>
          <w:sz w:val="16"/>
          <w:szCs w:val="16"/>
          <w:color w:val="auto"/>
        </w:rPr>
        <w:t>06403).</w:t>
      </w:r>
    </w:p>
    <w:p>
      <w:pPr>
        <w:spacing w:after="0" w:line="59" w:lineRule="exact"/>
        <w:rPr>
          <w:sz w:val="20"/>
          <w:szCs w:val="20"/>
          <w:color w:val="auto"/>
        </w:rPr>
      </w:pPr>
    </w:p>
    <w:p>
      <w:pPr>
        <w:ind w:left="780"/>
        <w:spacing w:after="0" w:line="184" w:lineRule="exact"/>
        <w:rPr>
          <w:sz w:val="20"/>
          <w:szCs w:val="20"/>
          <w:color w:val="auto"/>
        </w:rPr>
      </w:pPr>
      <w:r>
        <w:rPr>
          <w:rFonts w:ascii="Arial" w:cs="Arial" w:eastAsia="Arial" w:hAnsi="Arial"/>
          <w:sz w:val="16"/>
          <w:szCs w:val="16"/>
          <w:color w:val="auto"/>
        </w:rPr>
        <w:t>Amended By</w:t>
      </w:r>
      <w:r>
        <w:rPr>
          <w:rFonts w:ascii="MS PGothic" w:cs="MS PGothic" w:eastAsia="MS PGothic" w:hAnsi="MS PGothic"/>
          <w:sz w:val="16"/>
          <w:szCs w:val="16"/>
          <w:color w:val="auto"/>
        </w:rPr>
        <w:t>‑</w:t>
      </w:r>
      <w:r>
        <w:rPr>
          <w:rFonts w:ascii="Arial" w:cs="Arial" w:eastAsia="Arial" w:hAnsi="Arial"/>
          <w:sz w:val="16"/>
          <w:szCs w:val="16"/>
          <w:color w:val="auto"/>
        </w:rPr>
        <w:t>Laws of the Registrant, incorporated by reference in Exhibit 3.1 of the Company's Current</w:t>
      </w:r>
    </w:p>
    <w:p>
      <w:pPr>
        <w:spacing w:after="0" w:line="5"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Report on Form 8-K dated March 29, 2016 (Commission File Number 001-06403).</w:t>
      </w:r>
    </w:p>
    <w:p>
      <w:pPr>
        <w:spacing w:after="0" w:line="86"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Opinion of counsel as to legality of the shares of common stock.</w:t>
      </w:r>
    </w:p>
    <w:p>
      <w:pPr>
        <w:spacing w:after="0" w:line="86"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86"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6"/>
          <w:szCs w:val="16"/>
          <w:color w:val="auto"/>
        </w:rPr>
        <w:t>Legal counsel's consent (included in Exhibit 5.1 hereto).</w:t>
      </w:r>
    </w:p>
    <w:p>
      <w:pPr>
        <w:spacing w:after="0" w:line="86" w:lineRule="exact"/>
        <w:rPr>
          <w:sz w:val="20"/>
          <w:szCs w:val="20"/>
          <w:color w:val="auto"/>
        </w:rPr>
      </w:pPr>
    </w:p>
    <w:p>
      <w:pPr>
        <w:ind w:left="780" w:hanging="751"/>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Power of attorney (included on the signature page of the Registration Statement).</w:t>
      </w:r>
    </w:p>
    <w:p>
      <w:pPr>
        <w:spacing w:after="0" w:line="86"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_________________________</w:t>
      </w:r>
    </w:p>
    <w:p>
      <w:pPr>
        <w:spacing w:after="0" w:line="86"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 To be filed by Current Report on Form 8-K.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4580" w:hanging="128"/>
        <w:spacing w:after="0"/>
        <w:tabs>
          <w:tab w:leader="none" w:pos="45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- 6</w:t>
      </w:r>
    </w:p>
    <w:p>
      <w:pPr>
        <w:sectPr>
          <w:pgSz w:w="11900" w:h="16838" w:orient="portrait"/>
          <w:cols w:equalWidth="0" w:num="1">
            <w:col w:w="9220"/>
          </w:cols>
          <w:pgMar w:left="1340" w:top="576" w:right="133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color w:val="auto"/>
        </w:rPr>
        <w:t>Lindquist &amp; Vennum LLP</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 South Eighth Street</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4200 IDS Center</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Minneapolis, MN 55402-2100</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Phone: (612) 371-3211</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Fax: (612) 371-3207</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April 7, 2016</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 Box 152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 50436</w:t>
      </w:r>
    </w:p>
    <w:p>
      <w:pPr>
        <w:spacing w:after="0" w:line="383" w:lineRule="exact"/>
        <w:rPr>
          <w:sz w:val="20"/>
          <w:szCs w:val="20"/>
          <w:color w:val="auto"/>
        </w:rPr>
      </w:pPr>
    </w:p>
    <w:p>
      <w:pPr>
        <w:ind w:left="2040"/>
        <w:spacing w:after="0"/>
        <w:tabs>
          <w:tab w:leader="none" w:pos="468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Winnebago Industries, Inc.</w:t>
      </w:r>
    </w:p>
    <w:p>
      <w:pPr>
        <w:spacing w:after="0" w:line="86" w:lineRule="exact"/>
        <w:rPr>
          <w:sz w:val="20"/>
          <w:szCs w:val="20"/>
          <w:color w:val="auto"/>
        </w:rPr>
      </w:pPr>
    </w:p>
    <w:p>
      <w:pPr>
        <w:ind w:left="4700"/>
        <w:spacing w:after="0"/>
        <w:rPr>
          <w:sz w:val="20"/>
          <w:szCs w:val="20"/>
          <w:color w:val="auto"/>
        </w:rPr>
      </w:pPr>
      <w:r>
        <w:rPr>
          <w:rFonts w:ascii="Arial" w:cs="Arial" w:eastAsia="Arial" w:hAnsi="Arial"/>
          <w:sz w:val="16"/>
          <w:szCs w:val="16"/>
          <w:u w:val="single" w:color="auto"/>
          <w:color w:val="auto"/>
        </w:rPr>
        <w:t>Registration Statement on Form S-3</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32" w:lineRule="exact"/>
        <w:rPr>
          <w:sz w:val="20"/>
          <w:szCs w:val="20"/>
          <w:color w:val="auto"/>
        </w:rPr>
      </w:pPr>
    </w:p>
    <w:p>
      <w:pPr>
        <w:jc w:val="both"/>
        <w:ind w:firstLine="648"/>
        <w:spacing w:after="0" w:line="194" w:lineRule="exact"/>
        <w:rPr>
          <w:sz w:val="20"/>
          <w:szCs w:val="20"/>
          <w:color w:val="auto"/>
        </w:rPr>
      </w:pPr>
      <w:r>
        <w:rPr>
          <w:rFonts w:ascii="Arial" w:cs="Arial" w:eastAsia="Arial" w:hAnsi="Arial"/>
          <w:sz w:val="16"/>
          <w:szCs w:val="16"/>
          <w:color w:val="auto"/>
        </w:rPr>
        <w:t xml:space="preserve">We have acted as counsel to Winnebago Industries, Inc., an Iowa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in connection with the preparation and filing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xml:space="preserve">)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of a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 xml:space="preserve">3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xml:space="preserve">) relating to the offering from time to time, of shares of the Company's common stock, par value $0.50 per share (the </w:t>
      </w:r>
      <w:r>
        <w:rPr>
          <w:rFonts w:ascii="Arial" w:cs="Arial" w:eastAsia="Arial" w:hAnsi="Arial"/>
          <w:sz w:val="16"/>
          <w:szCs w:val="16"/>
          <w:i w:val="1"/>
          <w:iCs w:val="1"/>
          <w:color w:val="auto"/>
        </w:rPr>
        <w:t>“Common Stock”</w:t>
      </w:r>
      <w:r>
        <w:rPr>
          <w:rFonts w:ascii="Arial" w:cs="Arial" w:eastAsia="Arial" w:hAnsi="Arial"/>
          <w:sz w:val="16"/>
          <w:szCs w:val="16"/>
          <w:color w:val="auto"/>
        </w:rPr>
        <w:t>). The Common Stock offered hereunder is to be offered by the Company on a delayed or continuous basis pursuant to the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Rule 415 under the Securities Act.</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connection with this opinion, we have examined such corporate records, documents, instruments, certificates of public officials and of the Company and such questions of law we have deemed necessary for the purpose of rendering the opinions set forth herein. We have also examined the Registration Statement. In such examination,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documents reviewed by us had the legal capacity to do so and (v) each person signing in a representative capacity (other than on behalf of the Company) any document reviewed by us had authority to sign in such capacity. As to any facts material to our opinion, we have made no independent investigation of such facts and have relied, to the extent that we deem such reliance proper, upon certificates of public officials and officers or other representatives of the Company.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opinions hereinafter expressed are subject to the following qualifications and exceptions:</w:t>
      </w:r>
    </w:p>
    <w:p>
      <w:pPr>
        <w:spacing w:after="0" w:line="248" w:lineRule="exact"/>
        <w:rPr>
          <w:sz w:val="20"/>
          <w:szCs w:val="20"/>
          <w:color w:val="auto"/>
        </w:rPr>
      </w:pPr>
    </w:p>
    <w:p>
      <w:pPr>
        <w:jc w:val="both"/>
        <w:ind w:left="660" w:firstLine="645"/>
        <w:spacing w:after="0" w:line="253" w:lineRule="auto"/>
        <w:tabs>
          <w:tab w:leader="none" w:pos="172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 of bankruptcy, insolvency, reorganization, arrangement, moratorium or other similar laws relating to or affecting the rights of creditors generally, including, without limitation, laws relating to fraudulent transfers or conveyances, preferences and equitable subordination, and without limiting the generality of the foregoing qualification;</w:t>
      </w:r>
    </w:p>
    <w:p>
      <w:pPr>
        <w:spacing w:after="0" w:line="228" w:lineRule="exact"/>
        <w:rPr>
          <w:rFonts w:ascii="Arial" w:cs="Arial" w:eastAsia="Arial" w:hAnsi="Arial"/>
          <w:sz w:val="16"/>
          <w:szCs w:val="16"/>
          <w:color w:val="auto"/>
        </w:rPr>
      </w:pPr>
    </w:p>
    <w:p>
      <w:pPr>
        <w:jc w:val="both"/>
        <w:ind w:left="660" w:firstLine="645"/>
        <w:spacing w:after="0" w:line="253" w:lineRule="auto"/>
        <w:tabs>
          <w:tab w:leader="none" w:pos="1717"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limitations imposed by general principles of equity upon the availability of equitable remedies and the effect of judicial decisions which have held that certain provisions are unenforceable where their enforcement would violate the implied covenant of good faith and fair dealing, or which would be commercially unreasonable, or where their breach is not material;</w:t>
      </w:r>
    </w:p>
    <w:p>
      <w:pPr>
        <w:spacing w:after="0" w:line="228" w:lineRule="exact"/>
        <w:rPr>
          <w:rFonts w:ascii="Arial" w:cs="Arial" w:eastAsia="Arial" w:hAnsi="Arial"/>
          <w:sz w:val="16"/>
          <w:szCs w:val="16"/>
          <w:color w:val="auto"/>
        </w:rPr>
      </w:pPr>
    </w:p>
    <w:p>
      <w:pPr>
        <w:ind w:left="660" w:right="20" w:firstLine="645"/>
        <w:spacing w:after="0" w:line="260" w:lineRule="auto"/>
        <w:tabs>
          <w:tab w:leader="none" w:pos="1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express no opinion as to the enforceability of any provisions of any agreement providing for indemnification or contribution, to the extent such indemnification or contribution is against public policy;</w:t>
      </w:r>
    </w:p>
    <w:p>
      <w:pPr>
        <w:spacing w:after="0" w:line="222" w:lineRule="exact"/>
        <w:rPr>
          <w:rFonts w:ascii="Arial" w:cs="Arial" w:eastAsia="Arial" w:hAnsi="Arial"/>
          <w:sz w:val="16"/>
          <w:szCs w:val="16"/>
          <w:color w:val="auto"/>
        </w:rPr>
      </w:pPr>
    </w:p>
    <w:p>
      <w:pPr>
        <w:ind w:left="660" w:right="20" w:firstLine="645"/>
        <w:spacing w:after="0" w:line="260" w:lineRule="auto"/>
        <w:tabs>
          <w:tab w:leader="none" w:pos="171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opinion is based upon current statutes, rules, regulations, cases and official interpretative opinions, and it covers certain items that are not directly or definitively addressed by such authorities.</w:t>
      </w:r>
    </w:p>
    <w:p>
      <w:pPr>
        <w:spacing w:after="0" w:line="223"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Based upon the foregoing and subject to the qualifications and limitations set forth herein, we are of the opinion that when (i) the Board of Directors of the Company has taken all necessary corporate action to approve the issuance and terms of the</w:t>
      </w:r>
    </w:p>
    <w:p>
      <w:pPr>
        <w:sectPr>
          <w:pgSz w:w="11900" w:h="16838" w:orient="portrait"/>
          <w:cols w:equalWidth="0" w:num="1">
            <w:col w:w="11420"/>
          </w:cols>
          <w:pgMar w:left="240" w:top="601" w:right="239" w:bottom="1440" w:gutter="0" w:footer="0" w:header="0"/>
        </w:sectPr>
      </w:pPr>
    </w:p>
    <w:bookmarkStart w:id="19" w:name="page20"/>
    <w:bookmarkEnd w:id="19"/>
    <w:p>
      <w:pPr>
        <w:jc w:val="both"/>
        <w:spacing w:after="0" w:line="251" w:lineRule="auto"/>
        <w:rPr>
          <w:sz w:val="20"/>
          <w:szCs w:val="20"/>
          <w:color w:val="auto"/>
        </w:rPr>
      </w:pPr>
      <w:r>
        <w:rPr>
          <w:rFonts w:ascii="Arial" w:cs="Arial" w:eastAsia="Arial" w:hAnsi="Arial"/>
          <w:sz w:val="16"/>
          <w:szCs w:val="16"/>
          <w:color w:val="auto"/>
        </w:rPr>
        <w:t>Common Stock, the terms of the offering thereof and related matters, (ii) the Registration Statement, as finally amended (including all necessary post-effective amendments), has become effective under the Securities Act and (iii) the Common Stock has been delivered by the Company upon purchase thereof and payment in full therefore as contemplated by the prospectus contained in the Registration Statement and any prospectus supplements, the Common Stock will be validly issued, fully paid and nonassessable.</w:t>
      </w:r>
    </w:p>
    <w:p>
      <w:pPr>
        <w:spacing w:after="0" w:line="2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In rendering the opinions expressed above, we have further assumed that (i) the Registration Statement, and any amendments thereto (including any post-effective amendments), will comply with all applicable laws and such effectiveness shall not have been terminated or rescinded, (ii) a prospectus supplement will have been prepared and timely filed with the Commission describing the Common Stock, (iii) all Common Stock will be issued and sold in compliance with applicable federal and state securities laws and in the manner stated in the Registration Statement and the applicable prospectus supplement,</w:t>
      </w:r>
    </w:p>
    <w:p>
      <w:pPr>
        <w:spacing w:after="0" w:line="2" w:lineRule="exact"/>
        <w:rPr>
          <w:sz w:val="20"/>
          <w:szCs w:val="20"/>
          <w:color w:val="auto"/>
        </w:rPr>
      </w:pPr>
    </w:p>
    <w:p>
      <w:pPr>
        <w:jc w:val="both"/>
        <w:ind w:firstLine="8"/>
        <w:spacing w:after="0" w:line="248" w:lineRule="auto"/>
        <w:tabs>
          <w:tab w:leader="none" w:pos="277"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required by the transaction, a definitive purchase, underwriting or similar agreement with respect to any offer and sale of the Common Stock covered by the Registration Statement will have been duly authorized and validly executed and delivered by the Company and the other parties thereto, (v) the Company will authorize the offering and issuance of the Common Stock and will authorize, execute and deliver any and all documents contemplated thereby or by the Registration Statement or any applicable prospectus supplement relating thereto, and will take any other appropriate additional corporate action with respect thereto, (vi) certificates, if required, representing the Common Stock will be duly executed and delivered and, to the extent required by any applicable agreement, duly authenticated and countersigned and (vii) a sufficient number of shares of Common Stock will be authorized and available for issuance and the consideration therefor will not be less than the par value of the shares of the Common Stock.</w:t>
      </w: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foregoing opinions are limited in all respects to the corporate laws of the State of Iowa and the federal laws of United States of America and, to the extent that judicial or regulatory orders or decrees or consents, approvals, licenses, authorizations, validations, filings, recordings or registrations with governmental authorities are relevant, to those required under such laws, and we do not express any opinions as to the laws of any other jurisdiction. The Common Stock may be issued from time to time on a delayed or continuous basis, and this opinion is limited to the laws, including the rules and regulations, as in effect on the date hereof, which laws are subject to change with possible retroactive effect and to the facts as they presently exist.</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hereby consent to the use of our name under the heading “Legal Opinions” in the Registration Statement to be filed by the Company with the Commission. We further consent to your filing a copy of this opinion as Exhibit 5.1 to the Registration Statement. In giving such permission, we do not admit hereby that we come within the category of persons whose consent is required under Section 7 of the Securities Act, or the rules and regulations of the Commission thereunder. We disclaim any undertaking to advise you of any subsequent changes of the facts stated or assumed herein or any subsequent changes in applicable law.</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Sincerely,</w:t>
      </w:r>
    </w:p>
    <w:p>
      <w:pPr>
        <w:spacing w:after="0" w:line="356" w:lineRule="exact"/>
        <w:rPr>
          <w:sz w:val="20"/>
          <w:szCs w:val="20"/>
          <w:color w:val="auto"/>
        </w:rPr>
      </w:pPr>
    </w:p>
    <w:p>
      <w:pPr>
        <w:ind w:left="3620"/>
        <w:spacing w:after="0"/>
        <w:tabs>
          <w:tab w:leader="none" w:pos="3940" w:val="left"/>
        </w:tabs>
        <w:rPr>
          <w:sz w:val="20"/>
          <w:szCs w:val="20"/>
          <w:color w:val="auto"/>
        </w:rPr>
      </w:pPr>
      <w:r>
        <w:rPr>
          <w:rFonts w:ascii="Arial" w:cs="Arial" w:eastAsia="Arial" w:hAnsi="Arial"/>
          <w:sz w:val="16"/>
          <w:szCs w:val="16"/>
          <w:color w:val="auto"/>
        </w:rPr>
        <w:t>/s/</w:t>
        <w:tab/>
        <w:t>Linquist &amp; Vennum LLP</w:t>
      </w:r>
    </w:p>
    <w:p>
      <w:pPr>
        <w:sectPr>
          <w:pgSz w:w="11900" w:h="16838" w:orient="portrait"/>
          <w:cols w:equalWidth="0" w:num="1">
            <w:col w:w="11420"/>
          </w:cols>
          <w:pgMar w:left="240" w:top="844" w:right="23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t>Exhibit 23.1</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CONSENT OF INDEPENDENT</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REGISTERED PUBLIC ACCOUNTING FIRM</w:t>
      </w:r>
    </w:p>
    <w:p>
      <w:pPr>
        <w:spacing w:after="0" w:line="383"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reports dated October 27, 2015, relating to the consolidated financial statements of Winnebago Industries, Inc. and subsidiaries, and the effectiveness of Winnebago Industries, Inc. and subsidiaries' internal control over financial reporting, appearing in the Annual Report on Form 10-K of Winnebago Industries, Inc. for the year ended August 29, 2015, and to the reference to us under the heading "Experts" in the Prospectus, which is part of this Registration Statement.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8, 2016</w:t>
      </w:r>
    </w:p>
    <w:sectPr>
      <w:pgSz w:w="11900" w:h="16838" w:orient="portrait"/>
      <w:cols w:equalWidth="0" w:num="1">
        <w:col w:w="11340"/>
      </w:cols>
      <w:pgMar w:left="240" w:top="57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216231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7">
    <w:nsid w:val="1F16E9E8"/>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lvl w:ilvl="3">
      <w:lvlJc w:val="left"/>
      <w:lvlText w:val="%4"/>
      <w:numFmt w:val="upperLetter"/>
      <w:start w:val="35"/>
    </w:lvl>
  </w:abstractNum>
  <w:abstractNum w:abstractNumId="8">
    <w:nsid w:val="1190CDE7"/>
    <w:multiLevelType w:val="hybridMultilevel"/>
    <w:lvl w:ilvl="0">
      <w:lvlJc w:val="left"/>
      <w:lvlText w:val="%1"/>
      <w:numFmt w:val="decimal"/>
      <w:start w:val="1"/>
    </w:lvl>
    <w:lvl w:ilvl="1">
      <w:lvlJc w:val="left"/>
      <w:lvlText w:val="%2."/>
      <w:numFmt w:val="lowerRoman"/>
      <w:start w:val="2"/>
    </w:lvl>
  </w:abstractNum>
  <w:abstractNum w:abstractNumId="9">
    <w:nsid w:val="66EF438D"/>
    <w:multiLevelType w:val="hybridMultilevel"/>
    <w:lvl w:ilvl="0">
      <w:lvlJc w:val="left"/>
      <w:lvlText w:val="%1."/>
      <w:numFmt w:val="decimal"/>
      <w:start w:val="5"/>
    </w:lvl>
    <w:lvl w:ilvl="1">
      <w:lvlJc w:val="left"/>
      <w:lvlText w:val="%2"/>
      <w:numFmt w:val="lowerRoman"/>
      <w:start w:val="1"/>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decimal"/>
      <w:start w:val="24"/>
    </w:lvl>
    <w:lvl w:ilvl="1">
      <w:lvlJc w:val="left"/>
      <w:lvlText w:val="%2"/>
      <w:numFmt w:val="upperLetter"/>
      <w:start w:val="35"/>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2019-12-05T12:36:29Z</dcterms:created>
  <dcterms:modified xsi:type="dcterms:W3CDTF">2019-12-05T12:36:29Z</dcterms:modified>
</cp:coreProperties>
</file>