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198755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December 13,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704850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164465</wp:posOffset>
            </wp:positionV>
            <wp:extent cx="3293110"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90" w:lineRule="exact"/>
        <w:rPr>
          <w:sz w:val="24"/>
          <w:szCs w:val="24"/>
          <w:color w:val="auto"/>
        </w:rPr>
      </w:pPr>
    </w:p>
    <w:tbl>
      <w:tblPr>
        <w:tblLayout w:type="fixed"/>
        <w:tblInd w:w="1020" w:type="dxa"/>
        <w:tblCellMar>
          <w:top w:w="0" w:type="dxa"/>
          <w:left w:w="0" w:type="dxa"/>
          <w:bottom w:w="0" w:type="dxa"/>
          <w:right w:w="0" w:type="dxa"/>
        </w:tblCellMar>
      </w:tblPr>
      <w:tr>
        <w:trPr>
          <w:trHeight w:val="254"/>
        </w:trPr>
        <w:tc>
          <w:tcPr>
            <w:tcW w:w="3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Iowa</w:t>
            </w:r>
          </w:p>
        </w:tc>
        <w:tc>
          <w:tcPr>
            <w:tcW w:w="27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01"/>
        </w:trPr>
        <w:tc>
          <w:tcPr>
            <w:tcW w:w="346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9"/>
              </w:rPr>
              <w:t>(State or Other Jurisdiction</w:t>
            </w:r>
          </w:p>
        </w:tc>
        <w:tc>
          <w:tcPr>
            <w:tcW w:w="272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9"/>
              </w:rPr>
              <w:t>(Commission File Number)</w:t>
            </w:r>
          </w:p>
        </w:tc>
        <w:tc>
          <w:tcPr>
            <w:tcW w:w="3220" w:type="dxa"/>
            <w:vAlign w:val="bottom"/>
          </w:tcPr>
          <w:p>
            <w:pPr>
              <w:jc w:val="center"/>
              <w:spacing w:after="0" w:line="201" w:lineRule="exact"/>
              <w:rPr>
                <w:sz w:val="20"/>
                <w:szCs w:val="20"/>
                <w:color w:val="auto"/>
              </w:rPr>
            </w:pPr>
            <w:r>
              <w:rPr>
                <w:rFonts w:ascii="Arial" w:cs="Arial" w:eastAsia="Arial" w:hAnsi="Arial"/>
                <w:sz w:val="18"/>
                <w:szCs w:val="18"/>
                <w:color w:val="auto"/>
              </w:rPr>
              <w:t>(IRS Employer</w:t>
            </w:r>
          </w:p>
        </w:tc>
      </w:tr>
      <w:tr>
        <w:trPr>
          <w:trHeight w:val="243"/>
        </w:trPr>
        <w:tc>
          <w:tcPr>
            <w:tcW w:w="3460" w:type="dxa"/>
            <w:vAlign w:val="bottom"/>
          </w:tcPr>
          <w:p>
            <w:pPr>
              <w:jc w:val="center"/>
              <w:ind w:right="50"/>
              <w:spacing w:after="0"/>
              <w:rPr>
                <w:sz w:val="20"/>
                <w:szCs w:val="20"/>
                <w:color w:val="auto"/>
              </w:rPr>
            </w:pPr>
            <w:r>
              <w:rPr>
                <w:rFonts w:ascii="Arial" w:cs="Arial" w:eastAsia="Arial" w:hAnsi="Arial"/>
                <w:sz w:val="18"/>
                <w:szCs w:val="18"/>
                <w:color w:val="auto"/>
              </w:rPr>
              <w:t>of Incorporation)</w:t>
            </w:r>
          </w:p>
        </w:tc>
        <w:tc>
          <w:tcPr>
            <w:tcW w:w="272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2"/>
        </w:trPr>
        <w:tc>
          <w:tcPr>
            <w:tcW w:w="3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P.O. Box 152, Forest City, Iowa</w:t>
            </w:r>
          </w:p>
        </w:tc>
        <w:tc>
          <w:tcPr>
            <w:tcW w:w="27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1"/>
        </w:trPr>
        <w:tc>
          <w:tcPr>
            <w:tcW w:w="3460" w:type="dxa"/>
            <w:vAlign w:val="bottom"/>
          </w:tcPr>
          <w:p>
            <w:pPr>
              <w:jc w:val="center"/>
              <w:ind w:right="50"/>
              <w:spacing w:after="0"/>
              <w:rPr>
                <w:sz w:val="20"/>
                <w:szCs w:val="20"/>
                <w:color w:val="auto"/>
              </w:rPr>
            </w:pPr>
            <w:r>
              <w:rPr>
                <w:rFonts w:ascii="Arial" w:cs="Arial" w:eastAsia="Arial" w:hAnsi="Arial"/>
                <w:sz w:val="18"/>
                <w:szCs w:val="18"/>
                <w:color w:val="auto"/>
                <w:w w:val="99"/>
              </w:rPr>
              <w:t>(Address of Principal Executive Offices)</w:t>
            </w:r>
          </w:p>
        </w:tc>
        <w:tc>
          <w:tcPr>
            <w:tcW w:w="272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rPr>
              <w:t>(Zip Code)</w:t>
            </w:r>
          </w:p>
        </w:tc>
      </w:tr>
      <w:tr>
        <w:trPr>
          <w:trHeight w:val="494"/>
        </w:trPr>
        <w:tc>
          <w:tcPr>
            <w:tcW w:w="6180" w:type="dxa"/>
            <w:vAlign w:val="bottom"/>
            <w:gridSpan w:val="2"/>
          </w:tcPr>
          <w:p>
            <w:pPr>
              <w:ind w:left="2020"/>
              <w:spacing w:after="0"/>
              <w:rPr>
                <w:sz w:val="20"/>
                <w:szCs w:val="20"/>
                <w:color w:val="auto"/>
              </w:rPr>
            </w:pPr>
            <w:r>
              <w:rPr>
                <w:rFonts w:ascii="Arial" w:cs="Arial" w:eastAsia="Arial" w:hAnsi="Arial"/>
                <w:sz w:val="18"/>
                <w:szCs w:val="18"/>
                <w:color w:val="auto"/>
              </w:rPr>
              <w:t>Registrant's telephone number, including area code</w:t>
            </w:r>
          </w:p>
        </w:tc>
        <w:tc>
          <w:tcPr>
            <w:tcW w:w="3220" w:type="dxa"/>
            <w:vAlign w:val="bottom"/>
          </w:tcPr>
          <w:p>
            <w:pPr>
              <w:jc w:val="right"/>
              <w:ind w:right="1930"/>
              <w:spacing w:after="0"/>
              <w:rPr>
                <w:sz w:val="20"/>
                <w:szCs w:val="20"/>
                <w:color w:val="auto"/>
              </w:rPr>
            </w:pPr>
            <w:r>
              <w:rPr>
                <w:rFonts w:ascii="Arial" w:cs="Arial" w:eastAsia="Arial" w:hAnsi="Arial"/>
                <w:sz w:val="18"/>
                <w:szCs w:val="18"/>
                <w:b w:val="1"/>
                <w:bCs w:val="1"/>
                <w:color w:val="auto"/>
              </w:rPr>
              <w:t>641-585-3535</w:t>
            </w:r>
          </w:p>
        </w:tc>
      </w:tr>
    </w:tbl>
    <w:p>
      <w:pPr>
        <w:spacing w:after="0" w:line="222"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5"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5" w:right="239" w:bottom="1440" w:gutter="0" w:footer="0" w:header="0"/>
        </w:sectPr>
      </w:pPr>
    </w:p>
    <w:bookmarkStart w:id="1" w:name="page2"/>
    <w:bookmarkEnd w:id="1"/>
    <w:p>
      <w:pPr>
        <w:ind w:left="980" w:right="1320" w:hanging="971"/>
        <w:spacing w:after="0" w:line="293"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89" w:lineRule="exact"/>
        <w:rPr>
          <w:sz w:val="20"/>
          <w:szCs w:val="20"/>
          <w:color w:val="auto"/>
        </w:rPr>
      </w:pPr>
    </w:p>
    <w:p>
      <w:pPr>
        <w:ind w:right="320" w:firstLine="8"/>
        <w:spacing w:after="0" w:line="291" w:lineRule="auto"/>
        <w:tabs>
          <w:tab w:leader="none" w:pos="378"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On December 13, 2016 the Human Resources Committee (the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of the Board of Directors of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approved restricted stock grants of the Company’s common stock to the following officers in the following amounts:</w:t>
      </w:r>
    </w:p>
    <w:p>
      <w:pPr>
        <w:spacing w:after="0" w:line="121" w:lineRule="exact"/>
        <w:rPr>
          <w:sz w:val="20"/>
          <w:szCs w:val="20"/>
          <w:color w:val="auto"/>
        </w:rPr>
      </w:pPr>
    </w:p>
    <w:tbl>
      <w:tblPr>
        <w:tblLayout w:type="fixed"/>
        <w:tblInd w:w="960" w:type="dxa"/>
        <w:tblCellMar>
          <w:top w:w="0" w:type="dxa"/>
          <w:left w:w="0" w:type="dxa"/>
          <w:bottom w:w="0" w:type="dxa"/>
          <w:right w:w="0" w:type="dxa"/>
        </w:tblCellMar>
      </w:tblPr>
      <w:tr>
        <w:trPr>
          <w:trHeight w:val="219"/>
        </w:trPr>
        <w:tc>
          <w:tcPr>
            <w:tcW w:w="2080" w:type="dxa"/>
            <w:vAlign w:val="bottom"/>
          </w:tcPr>
          <w:p>
            <w:pPr>
              <w:spacing w:after="0"/>
              <w:rPr>
                <w:sz w:val="20"/>
                <w:szCs w:val="20"/>
                <w:color w:val="auto"/>
              </w:rPr>
            </w:pPr>
            <w:r>
              <w:rPr>
                <w:rFonts w:ascii="Arial" w:cs="Arial" w:eastAsia="Arial" w:hAnsi="Arial"/>
                <w:sz w:val="16"/>
                <w:szCs w:val="16"/>
                <w:color w:val="auto"/>
              </w:rPr>
              <w:t>Ashis Bhattacharya</w:t>
            </w:r>
          </w:p>
        </w:tc>
        <w:tc>
          <w:tcPr>
            <w:tcW w:w="1160" w:type="dxa"/>
            <w:vAlign w:val="bottom"/>
          </w:tcPr>
          <w:p>
            <w:pPr>
              <w:jc w:val="right"/>
              <w:spacing w:after="0"/>
              <w:rPr>
                <w:sz w:val="20"/>
                <w:szCs w:val="20"/>
                <w:color w:val="auto"/>
              </w:rPr>
            </w:pPr>
            <w:r>
              <w:rPr>
                <w:rFonts w:ascii="Arial" w:cs="Arial" w:eastAsia="Arial" w:hAnsi="Arial"/>
                <w:sz w:val="16"/>
                <w:szCs w:val="16"/>
                <w:color w:val="auto"/>
              </w:rPr>
              <w:t>2,500</w:t>
            </w:r>
          </w:p>
        </w:tc>
        <w:tc>
          <w:tcPr>
            <w:tcW w:w="560" w:type="dxa"/>
            <w:vAlign w:val="bottom"/>
          </w:tcPr>
          <w:p>
            <w:pPr>
              <w:ind w:left="80"/>
              <w:spacing w:after="0"/>
              <w:rPr>
                <w:sz w:val="20"/>
                <w:szCs w:val="20"/>
                <w:color w:val="auto"/>
              </w:rPr>
            </w:pPr>
            <w:r>
              <w:rPr>
                <w:rFonts w:ascii="Arial" w:cs="Arial" w:eastAsia="Arial" w:hAnsi="Arial"/>
                <w:sz w:val="16"/>
                <w:szCs w:val="16"/>
                <w:color w:val="auto"/>
                <w:w w:val="95"/>
              </w:rPr>
              <w:t>shares</w:t>
            </w:r>
          </w:p>
        </w:tc>
      </w:t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Scott Folkers</w:t>
            </w:r>
          </w:p>
        </w:tc>
        <w:tc>
          <w:tcPr>
            <w:tcW w:w="1160" w:type="dxa"/>
            <w:vAlign w:val="bottom"/>
          </w:tcPr>
          <w:p>
            <w:pPr>
              <w:jc w:val="right"/>
              <w:spacing w:after="0"/>
              <w:rPr>
                <w:sz w:val="20"/>
                <w:szCs w:val="20"/>
                <w:color w:val="auto"/>
              </w:rPr>
            </w:pPr>
            <w:r>
              <w:rPr>
                <w:rFonts w:ascii="Arial" w:cs="Arial" w:eastAsia="Arial" w:hAnsi="Arial"/>
                <w:sz w:val="16"/>
                <w:szCs w:val="16"/>
                <w:color w:val="auto"/>
              </w:rPr>
              <w:t>2,500</w:t>
            </w:r>
          </w:p>
        </w:tc>
        <w:tc>
          <w:tcPr>
            <w:tcW w:w="560" w:type="dxa"/>
            <w:vAlign w:val="bottom"/>
          </w:tcPr>
          <w:p>
            <w:pPr>
              <w:ind w:left="80"/>
              <w:spacing w:after="0"/>
              <w:rPr>
                <w:sz w:val="20"/>
                <w:szCs w:val="20"/>
                <w:color w:val="auto"/>
              </w:rPr>
            </w:pPr>
            <w:r>
              <w:rPr>
                <w:rFonts w:ascii="Arial" w:cs="Arial" w:eastAsia="Arial" w:hAnsi="Arial"/>
                <w:sz w:val="16"/>
                <w:szCs w:val="16"/>
                <w:color w:val="auto"/>
                <w:w w:val="95"/>
              </w:rPr>
              <w:t>shares</w:t>
            </w:r>
          </w:p>
        </w:tc>
      </w:t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Sarah Nielsen</w:t>
            </w:r>
          </w:p>
        </w:tc>
        <w:tc>
          <w:tcPr>
            <w:tcW w:w="1160" w:type="dxa"/>
            <w:vAlign w:val="bottom"/>
          </w:tcPr>
          <w:p>
            <w:pPr>
              <w:jc w:val="right"/>
              <w:spacing w:after="0"/>
              <w:rPr>
                <w:sz w:val="20"/>
                <w:szCs w:val="20"/>
                <w:color w:val="auto"/>
              </w:rPr>
            </w:pPr>
            <w:r>
              <w:rPr>
                <w:rFonts w:ascii="Arial" w:cs="Arial" w:eastAsia="Arial" w:hAnsi="Arial"/>
                <w:sz w:val="16"/>
                <w:szCs w:val="16"/>
                <w:color w:val="auto"/>
              </w:rPr>
              <w:t>2,500</w:t>
            </w:r>
          </w:p>
        </w:tc>
        <w:tc>
          <w:tcPr>
            <w:tcW w:w="560" w:type="dxa"/>
            <w:vAlign w:val="bottom"/>
          </w:tcPr>
          <w:p>
            <w:pPr>
              <w:ind w:left="80"/>
              <w:spacing w:after="0"/>
              <w:rPr>
                <w:sz w:val="20"/>
                <w:szCs w:val="20"/>
                <w:color w:val="auto"/>
              </w:rPr>
            </w:pPr>
            <w:r>
              <w:rPr>
                <w:rFonts w:ascii="Arial" w:cs="Arial" w:eastAsia="Arial" w:hAnsi="Arial"/>
                <w:sz w:val="16"/>
                <w:szCs w:val="16"/>
                <w:color w:val="auto"/>
                <w:w w:val="95"/>
              </w:rPr>
              <w:t>shares</w:t>
            </w:r>
          </w:p>
        </w:tc>
      </w:t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Bret Woodson</w:t>
            </w:r>
          </w:p>
        </w:tc>
        <w:tc>
          <w:tcPr>
            <w:tcW w:w="1160" w:type="dxa"/>
            <w:vAlign w:val="bottom"/>
          </w:tcPr>
          <w:p>
            <w:pPr>
              <w:jc w:val="right"/>
              <w:spacing w:after="0"/>
              <w:rPr>
                <w:sz w:val="20"/>
                <w:szCs w:val="20"/>
                <w:color w:val="auto"/>
              </w:rPr>
            </w:pPr>
            <w:r>
              <w:rPr>
                <w:rFonts w:ascii="Arial" w:cs="Arial" w:eastAsia="Arial" w:hAnsi="Arial"/>
                <w:sz w:val="16"/>
                <w:szCs w:val="16"/>
                <w:color w:val="auto"/>
              </w:rPr>
              <w:t>1,250</w:t>
            </w:r>
          </w:p>
        </w:tc>
        <w:tc>
          <w:tcPr>
            <w:tcW w:w="560" w:type="dxa"/>
            <w:vAlign w:val="bottom"/>
          </w:tcPr>
          <w:p>
            <w:pPr>
              <w:ind w:left="80"/>
              <w:spacing w:after="0"/>
              <w:rPr>
                <w:sz w:val="20"/>
                <w:szCs w:val="20"/>
                <w:color w:val="auto"/>
              </w:rPr>
            </w:pPr>
            <w:r>
              <w:rPr>
                <w:rFonts w:ascii="Arial" w:cs="Arial" w:eastAsia="Arial" w:hAnsi="Arial"/>
                <w:sz w:val="16"/>
                <w:szCs w:val="16"/>
                <w:color w:val="auto"/>
                <w:w w:val="95"/>
              </w:rPr>
              <w:t>shares</w:t>
            </w:r>
          </w:p>
        </w:tc>
      </w:tr>
    </w:tbl>
    <w:p>
      <w:pPr>
        <w:spacing w:after="0" w:line="18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shares were granted in recognition of the extraordinary efforts of the officers in the acquisition of Grand Design RV, LLC. The shares will vest over a three year period with 1/3 vesting on December 13, 2017, 1/3 vesting on December 13, 2018, and the last 1/3 vesting on December 13, 2019. The shares were issued pursuant to the authority of the 2014 Omnibus Equity, Performance Award and Incentive Compensation Plan.</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25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Winnebago Industries, ("the Company") held its annual meeting of shareholders (the “Annual Meeting”) on December 13, 2016. At the Annual Meeting, the Company's shareholders were asked to vote on three proposals: (1) the election of one Class III director and one Class II director, (2) the advisory approval of executive compensation, and (3) the ratification of the appointment of Deloitte &amp; Touche LLP as the Company's independent registered public accountant for the fiscal year ending August 26, 2017. The results of the shareholder vote are set forth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Election of Directors.</w:t>
      </w:r>
    </w:p>
    <w:p>
      <w:pPr>
        <w:spacing w:after="0" w:line="3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Company shareholders elected the following nominees: Michael J. Happe, as Class III directors to hold office until the annual meeting of shareholders to be held following the Company's 2017 fiscal year or until his successor is duly elected and qualified; and Robert M. Chiusano as a Class II director to hold office until the annual meeting of shareholders to be held following the Company's 2019 fiscal year or until his successor is duly elected and qualified. Information as to the vote on each director standing for election is provided below:</w:t>
      </w:r>
    </w:p>
    <w:p>
      <w:pPr>
        <w:spacing w:after="0" w:line="148" w:lineRule="exact"/>
        <w:rPr>
          <w:sz w:val="20"/>
          <w:szCs w:val="20"/>
          <w:color w:val="auto"/>
        </w:rPr>
      </w:pPr>
    </w:p>
    <w:tbl>
      <w:tblPr>
        <w:tblLayout w:type="fixed"/>
        <w:tblInd w:w="1500" w:type="dxa"/>
        <w:tblCellMar>
          <w:top w:w="0" w:type="dxa"/>
          <w:left w:w="0" w:type="dxa"/>
          <w:bottom w:w="0" w:type="dxa"/>
          <w:right w:w="0" w:type="dxa"/>
        </w:tblCellMar>
      </w:tblPr>
      <w:tr>
        <w:trPr>
          <w:trHeight w:val="232"/>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Name</w:t>
            </w:r>
          </w:p>
        </w:tc>
        <w:tc>
          <w:tcPr>
            <w:tcW w:w="3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36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Votes Withheld</w:t>
            </w:r>
          </w:p>
        </w:tc>
        <w:tc>
          <w:tcPr>
            <w:tcW w:w="3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Michael J. Happe</w:t>
            </w:r>
          </w:p>
        </w:tc>
        <w:tc>
          <w:tcPr>
            <w:tcW w:w="1800" w:type="dxa"/>
            <w:vAlign w:val="bottom"/>
          </w:tcPr>
          <w:p>
            <w:pPr>
              <w:jc w:val="center"/>
              <w:spacing w:after="0"/>
              <w:rPr>
                <w:sz w:val="20"/>
                <w:szCs w:val="20"/>
                <w:color w:val="auto"/>
              </w:rPr>
            </w:pPr>
            <w:r>
              <w:rPr>
                <w:rFonts w:ascii="Arial" w:cs="Arial" w:eastAsia="Arial" w:hAnsi="Arial"/>
                <w:sz w:val="16"/>
                <w:szCs w:val="16"/>
                <w:color w:val="auto"/>
              </w:rPr>
              <w:t>21,186,807</w:t>
            </w:r>
          </w:p>
        </w:tc>
        <w:tc>
          <w:tcPr>
            <w:tcW w:w="3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140,859</w:t>
            </w:r>
          </w:p>
        </w:tc>
        <w:tc>
          <w:tcPr>
            <w:tcW w:w="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2,815,485</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Robert M. Chiusano</w:t>
            </w:r>
          </w:p>
        </w:tc>
        <w:tc>
          <w:tcPr>
            <w:tcW w:w="1800" w:type="dxa"/>
            <w:vAlign w:val="bottom"/>
          </w:tcPr>
          <w:p>
            <w:pPr>
              <w:jc w:val="center"/>
              <w:spacing w:after="0"/>
              <w:rPr>
                <w:sz w:val="20"/>
                <w:szCs w:val="20"/>
                <w:color w:val="auto"/>
              </w:rPr>
            </w:pPr>
            <w:r>
              <w:rPr>
                <w:rFonts w:ascii="Arial" w:cs="Arial" w:eastAsia="Arial" w:hAnsi="Arial"/>
                <w:sz w:val="16"/>
                <w:szCs w:val="16"/>
                <w:color w:val="auto"/>
              </w:rPr>
              <w:t>21,144,547</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183,119</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2,815,485</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Advisory Approval Vote on Executive Compensation (the “Say on Pay” Vote).</w:t>
      </w:r>
    </w:p>
    <w:p>
      <w:pPr>
        <w:spacing w:after="0" w:line="36"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auto"/>
        </w:rPr>
        <w:t>Company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19" w:lineRule="exact"/>
        <w:rPr>
          <w:sz w:val="20"/>
          <w:szCs w:val="20"/>
          <w:color w:val="auto"/>
        </w:rPr>
      </w:pPr>
    </w:p>
    <w:tbl>
      <w:tblPr>
        <w:tblLayout w:type="fixed"/>
        <w:tblInd w:w="1500" w:type="dxa"/>
        <w:tblCellMar>
          <w:top w:w="0" w:type="dxa"/>
          <w:left w:w="0" w:type="dxa"/>
          <w:bottom w:w="0" w:type="dxa"/>
          <w:right w:w="0" w:type="dxa"/>
        </w:tblCellMar>
      </w:tblPr>
      <w:tr>
        <w:trPr>
          <w:trHeight w:val="232"/>
        </w:trPr>
        <w:tc>
          <w:tcPr>
            <w:tcW w:w="2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Votes For</w:t>
            </w:r>
          </w:p>
        </w:tc>
        <w:tc>
          <w:tcPr>
            <w:tcW w:w="2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Abstentions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19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16,245,330</w:t>
            </w:r>
          </w:p>
        </w:tc>
        <w:tc>
          <w:tcPr>
            <w:tcW w:w="340" w:type="dxa"/>
            <w:vAlign w:val="bottom"/>
          </w:tcPr>
          <w:p>
            <w:pPr>
              <w:spacing w:after="0"/>
              <w:rPr>
                <w:sz w:val="20"/>
                <w:szCs w:val="20"/>
                <w:color w:val="auto"/>
              </w:rPr>
            </w:pPr>
          </w:p>
        </w:tc>
        <w:tc>
          <w:tcPr>
            <w:tcW w:w="1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5,029,715</w:t>
            </w:r>
          </w:p>
        </w:tc>
        <w:tc>
          <w:tcPr>
            <w:tcW w:w="360" w:type="dxa"/>
            <w:vAlign w:val="bottom"/>
          </w:tcPr>
          <w:p>
            <w:pPr>
              <w:spacing w:after="0"/>
              <w:rPr>
                <w:sz w:val="20"/>
                <w:szCs w:val="20"/>
                <w:color w:val="auto"/>
              </w:rPr>
            </w:pPr>
          </w:p>
        </w:tc>
        <w:tc>
          <w:tcPr>
            <w:tcW w:w="18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52,621</w:t>
            </w:r>
          </w:p>
        </w:tc>
        <w:tc>
          <w:tcPr>
            <w:tcW w:w="360" w:type="dxa"/>
            <w:vAlign w:val="bottom"/>
          </w:tcPr>
          <w:p>
            <w:pPr>
              <w:spacing w:after="0"/>
              <w:rPr>
                <w:sz w:val="20"/>
                <w:szCs w:val="20"/>
                <w:color w:val="auto"/>
              </w:rPr>
            </w:pPr>
          </w:p>
        </w:tc>
        <w:tc>
          <w:tcPr>
            <w:tcW w:w="18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2,815,485</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Ratification of the Appointment of Independent Registered Public Accountants for the Fiscal Year Ending August 26, 2017.</w:t>
      </w:r>
    </w:p>
    <w:p>
      <w:pPr>
        <w:spacing w:after="0" w:line="36"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Company shareholders ratified the appointment of Deloitte &amp; Touche LLP as the Company's independent registered public accountants for the fiscal year ending August 26, 2017., as set forth below:</w:t>
      </w:r>
    </w:p>
    <w:p>
      <w:pPr>
        <w:spacing w:after="0" w:line="112" w:lineRule="exact"/>
        <w:rPr>
          <w:sz w:val="20"/>
          <w:szCs w:val="20"/>
          <w:color w:val="auto"/>
        </w:rPr>
      </w:pPr>
    </w:p>
    <w:tbl>
      <w:tblPr>
        <w:tblLayout w:type="fixed"/>
        <w:tblInd w:w="1500" w:type="dxa"/>
        <w:tblCellMar>
          <w:top w:w="0" w:type="dxa"/>
          <w:left w:w="0" w:type="dxa"/>
          <w:bottom w:w="0" w:type="dxa"/>
          <w:right w:w="0" w:type="dxa"/>
        </w:tblCellMar>
      </w:tblPr>
      <w:tr>
        <w:trPr>
          <w:trHeight w:val="232"/>
        </w:trPr>
        <w:tc>
          <w:tcPr>
            <w:tcW w:w="2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Votes For</w:t>
            </w:r>
          </w:p>
        </w:tc>
        <w:tc>
          <w:tcPr>
            <w:tcW w:w="2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Abstentions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19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23,948,646</w:t>
            </w:r>
          </w:p>
        </w:tc>
        <w:tc>
          <w:tcPr>
            <w:tcW w:w="340" w:type="dxa"/>
            <w:vAlign w:val="bottom"/>
          </w:tcPr>
          <w:p>
            <w:pPr>
              <w:spacing w:after="0"/>
              <w:rPr>
                <w:sz w:val="20"/>
                <w:szCs w:val="20"/>
                <w:color w:val="auto"/>
              </w:rPr>
            </w:pPr>
          </w:p>
        </w:tc>
        <w:tc>
          <w:tcPr>
            <w:tcW w:w="18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180,414</w:t>
            </w:r>
          </w:p>
        </w:tc>
        <w:tc>
          <w:tcPr>
            <w:tcW w:w="360" w:type="dxa"/>
            <w:vAlign w:val="bottom"/>
          </w:tcPr>
          <w:p>
            <w:pPr>
              <w:spacing w:after="0"/>
              <w:rPr>
                <w:sz w:val="20"/>
                <w:szCs w:val="20"/>
                <w:color w:val="auto"/>
              </w:rPr>
            </w:pPr>
          </w:p>
        </w:tc>
        <w:tc>
          <w:tcPr>
            <w:tcW w:w="18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14,091</w:t>
            </w:r>
          </w:p>
        </w:tc>
        <w:tc>
          <w:tcPr>
            <w:tcW w:w="36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ectPr>
          <w:pgSz w:w="11900" w:h="16838" w:orient="portrait"/>
          <w:cols w:equalWidth="0" w:num="1">
            <w:col w:w="11360"/>
          </w:cols>
          <w:pgMar w:left="240" w:top="567" w:right="29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7.01 Regulation FD Disclosure, Item 8.01 Other Events.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Company is filing herewith a press release issued on December 14, 2016, as Exhibit 99.1 which is included herein. The press release was issued to report that on December 14, 2016, the Board of Winnebago Industries, Inc. approved a quarterly cash dividend of $0.10 per share of common stock, payable on January 25, 2017 to shareholders of record at the close of business on January 11, 2017.</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7" w:lineRule="exact"/>
        <w:rPr>
          <w:sz w:val="20"/>
          <w:szCs w:val="20"/>
          <w:color w:val="auto"/>
        </w:rPr>
      </w:pPr>
    </w:p>
    <w:p>
      <w:pPr>
        <w:ind w:left="38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19050</wp:posOffset>
            </wp:positionV>
            <wp:extent cx="4836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46" w:lineRule="exact"/>
        <w:rPr>
          <w:sz w:val="20"/>
          <w:szCs w:val="20"/>
          <w:color w:val="auto"/>
        </w:rPr>
      </w:pPr>
    </w:p>
    <w:p>
      <w:pPr>
        <w:ind w:left="380"/>
        <w:spacing w:after="0"/>
        <w:tabs>
          <w:tab w:leader="none" w:pos="136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December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94"/>
        </w:trPr>
        <w:tc>
          <w:tcPr>
            <w:tcW w:w="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860" w:type="dxa"/>
            <w:vAlign w:val="bottom"/>
            <w:gridSpan w:val="2"/>
          </w:tcPr>
          <w:p>
            <w:pPr>
              <w:ind w:left="14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266"/>
        </w:trPr>
        <w:tc>
          <w:tcPr>
            <w:tcW w:w="5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7860" w:type="dxa"/>
            <w:vAlign w:val="bottom"/>
            <w:gridSpan w:val="2"/>
          </w:tcPr>
          <w:p>
            <w:pPr>
              <w:ind w:left="1400"/>
              <w:spacing w:after="0"/>
              <w:rPr>
                <w:sz w:val="20"/>
                <w:szCs w:val="20"/>
                <w:color w:val="auto"/>
              </w:rPr>
            </w:pPr>
            <w:r>
              <w:rPr>
                <w:rFonts w:ascii="Arial" w:cs="Arial" w:eastAsia="Arial" w:hAnsi="Arial"/>
                <w:sz w:val="16"/>
                <w:szCs w:val="16"/>
                <w:color w:val="auto"/>
              </w:rPr>
              <w:t>(Registrant)</w:t>
            </w:r>
          </w:p>
        </w:tc>
      </w:tr>
      <w:tr>
        <w:trPr>
          <w:trHeight w:val="576"/>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960" w:type="dxa"/>
            <w:vAlign w:val="bottom"/>
          </w:tcPr>
          <w:p>
            <w:pPr>
              <w:ind w:left="140"/>
              <w:spacing w:after="0"/>
              <w:rPr>
                <w:sz w:val="20"/>
                <w:szCs w:val="20"/>
                <w:color w:val="auto"/>
              </w:rPr>
            </w:pPr>
            <w:r>
              <w:rPr>
                <w:rFonts w:ascii="Arial" w:cs="Arial" w:eastAsia="Arial" w:hAnsi="Arial"/>
                <w:sz w:val="16"/>
                <w:szCs w:val="16"/>
                <w:color w:val="auto"/>
              </w:rPr>
              <w:t>December 14, 2016</w:t>
            </w:r>
          </w:p>
        </w:tc>
        <w:tc>
          <w:tcPr>
            <w:tcW w:w="2160" w:type="dxa"/>
            <w:vAlign w:val="bottom"/>
          </w:tcPr>
          <w:p>
            <w:pPr>
              <w:ind w:left="1400"/>
              <w:spacing w:after="0"/>
              <w:rPr>
                <w:sz w:val="20"/>
                <w:szCs w:val="20"/>
                <w:color w:val="auto"/>
              </w:rPr>
            </w:pPr>
            <w:r>
              <w:rPr>
                <w:rFonts w:ascii="Arial" w:cs="Arial" w:eastAsia="Arial" w:hAnsi="Arial"/>
                <w:sz w:val="16"/>
                <w:szCs w:val="16"/>
                <w:color w:val="auto"/>
              </w:rPr>
              <w:t>By:</w:t>
            </w:r>
          </w:p>
        </w:tc>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41"/>
        </w:trPr>
        <w:tc>
          <w:tcPr>
            <w:tcW w:w="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160" w:type="dxa"/>
            <w:vAlign w:val="bottom"/>
          </w:tcPr>
          <w:p>
            <w:pPr>
              <w:ind w:left="1400"/>
              <w:spacing w:after="0"/>
              <w:rPr>
                <w:sz w:val="20"/>
                <w:szCs w:val="20"/>
                <w:color w:val="auto"/>
              </w:rPr>
            </w:pPr>
            <w:r>
              <w:rPr>
                <w:rFonts w:ascii="Arial" w:cs="Arial" w:eastAsia="Arial" w:hAnsi="Arial"/>
                <w:sz w:val="16"/>
                <w:szCs w:val="16"/>
                <w:color w:val="auto"/>
              </w:rPr>
              <w:t>Name:</w:t>
            </w:r>
          </w:p>
        </w:tc>
        <w:tc>
          <w:tcPr>
            <w:tcW w:w="570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160" w:type="dxa"/>
            <w:vAlign w:val="bottom"/>
          </w:tcPr>
          <w:p>
            <w:pPr>
              <w:ind w:left="1400"/>
              <w:spacing w:after="0"/>
              <w:rPr>
                <w:sz w:val="20"/>
                <w:szCs w:val="20"/>
                <w:color w:val="auto"/>
              </w:rPr>
            </w:pPr>
            <w:r>
              <w:rPr>
                <w:rFonts w:ascii="Arial" w:cs="Arial" w:eastAsia="Arial" w:hAnsi="Arial"/>
                <w:sz w:val="16"/>
                <w:szCs w:val="16"/>
                <w:color w:val="auto"/>
              </w:rPr>
              <w:t>Title:</w:t>
            </w:r>
          </w:p>
        </w:tc>
        <w:tc>
          <w:tcPr>
            <w:tcW w:w="570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400"/>
          </w:cols>
          <w:pgMar w:left="240" w:top="783" w:right="259" w:bottom="1440" w:gutter="0" w:footer="0" w:header="0"/>
        </w:sectPr>
      </w:pPr>
    </w:p>
    <w:bookmarkStart w:id="3" w:name="page4"/>
    <w:bookmarkEnd w:id="3"/>
    <w:p>
      <w:pPr>
        <w:ind w:left="41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-288290</wp:posOffset>
            </wp:positionV>
            <wp:extent cx="172402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Sam Jefson - Public Relations Specialist - 641-585-6803 - </w:t>
      </w:r>
      <w:r>
        <w:rPr>
          <w:rFonts w:ascii="Arial" w:cs="Arial" w:eastAsia="Arial" w:hAnsi="Arial"/>
          <w:sz w:val="16"/>
          <w:szCs w:val="16"/>
          <w:u w:val="single" w:color="auto"/>
          <w:color w:val="0563C1"/>
        </w:rPr>
        <w:t>sjefson@wgo.net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BOARD OF DIRECTORS APPROVE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QUARTERLY CASH DIVIDEND OF $0.10 PER SHARE</w:t>
      </w:r>
    </w:p>
    <w:p>
      <w:pPr>
        <w:spacing w:after="0" w:line="200" w:lineRule="exact"/>
        <w:rPr>
          <w:sz w:val="20"/>
          <w:szCs w:val="20"/>
          <w:color w:val="auto"/>
        </w:rPr>
      </w:pPr>
    </w:p>
    <w:p>
      <w:pPr>
        <w:spacing w:after="0" w:line="347" w:lineRule="exact"/>
        <w:rPr>
          <w:sz w:val="20"/>
          <w:szCs w:val="20"/>
          <w:color w:val="auto"/>
        </w:rPr>
      </w:pPr>
    </w:p>
    <w:p>
      <w:pPr>
        <w:ind w:right="420"/>
        <w:spacing w:after="0" w:line="498" w:lineRule="auto"/>
        <w:rPr>
          <w:sz w:val="20"/>
          <w:szCs w:val="20"/>
          <w:color w:val="auto"/>
        </w:rPr>
      </w:pPr>
      <w:r>
        <w:rPr>
          <w:rFonts w:ascii="Arial" w:cs="Arial" w:eastAsia="Arial" w:hAnsi="Arial"/>
          <w:sz w:val="16"/>
          <w:szCs w:val="16"/>
          <w:color w:val="auto"/>
        </w:rPr>
        <w:t>FOREST CITY, IOWA, December 14, 2016 - Winnebago Industries, Inc. (NYSE:WGO), a leading United States recreation vehicle manufacturer, today announced that on December 14, 2016, the Company’s Board of Directors approved a quarterly cash dividend of $0.10 per share payable on January 25, 2017, to common stockholders of record at the close of business on January 11, 2017.</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181" w:lineRule="exact"/>
        <w:rPr>
          <w:sz w:val="20"/>
          <w:szCs w:val="20"/>
          <w:color w:val="auto"/>
        </w:rPr>
      </w:pPr>
    </w:p>
    <w:p>
      <w:pPr>
        <w:spacing w:after="0" w:line="486" w:lineRule="auto"/>
        <w:rPr>
          <w:sz w:val="20"/>
          <w:szCs w:val="20"/>
          <w:color w:val="auto"/>
        </w:rPr>
      </w:pPr>
      <w:r>
        <w:rPr>
          <w:rFonts w:ascii="Arial" w:cs="Arial" w:eastAsia="Arial" w:hAnsi="Arial"/>
          <w:sz w:val="16"/>
          <w:szCs w:val="16"/>
          <w:color w:val="auto"/>
        </w:rPr>
        <w:t xml:space="preserve">Winnebago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2019-12-05T12:48:17Z</dcterms:created>
  <dcterms:modified xsi:type="dcterms:W3CDTF">2019-12-05T12:48:17Z</dcterms:modified>
</cp:coreProperties>
</file>