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TO BE HELD DECEMBER 18, 1996</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the Shareholders of WINNEBAGO INDUSTRIES, INC.</w:t>
      </w:r>
    </w:p>
    <w:p>
      <w:pPr>
        <w:spacing w:after="0" w:line="203" w:lineRule="exact"/>
        <w:rPr>
          <w:sz w:val="24"/>
          <w:szCs w:val="24"/>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Annual Meeting of Shareholders of Winnebago Industries, Inc. will be held on Wednesday, December 18, 1996, at 7:30 p.m., Central Standard Time, at Friendship Hall, Highway 69 South, Forest City, Iowa, for the following purposes:</w:t>
      </w:r>
    </w:p>
    <w:p>
      <w:pPr>
        <w:spacing w:after="0" w:line="200" w:lineRule="exact"/>
        <w:rPr>
          <w:sz w:val="24"/>
          <w:szCs w:val="24"/>
          <w:color w:val="auto"/>
        </w:rPr>
      </w:pPr>
    </w:p>
    <w:p>
      <w:pPr>
        <w:ind w:left="320" w:hanging="314"/>
        <w:spacing w:after="0"/>
        <w:tabs>
          <w:tab w:leader="none" w:pos="3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eight directors; and</w:t>
      </w:r>
    </w:p>
    <w:p>
      <w:pPr>
        <w:spacing w:after="0" w:line="203" w:lineRule="exact"/>
        <w:rPr>
          <w:rFonts w:ascii="Courier New" w:cs="Courier New" w:eastAsia="Courier New" w:hAnsi="Courier New"/>
          <w:sz w:val="17"/>
          <w:szCs w:val="17"/>
          <w:color w:val="auto"/>
        </w:rPr>
      </w:pPr>
    </w:p>
    <w:p>
      <w:pPr>
        <w:ind w:right="2699" w:firstLine="6"/>
        <w:spacing w:after="0" w:line="247" w:lineRule="auto"/>
        <w:tabs>
          <w:tab w:leader="none" w:pos="30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 or adjournments thereof.</w:t>
      </w:r>
    </w:p>
    <w:p>
      <w:pPr>
        <w:spacing w:after="0" w:line="198"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Board of Directors of the Company has fixed the close of business on October 14, 1996, as the record date for the determination of shareholders entitled to notice of and to vote at this meeting and at any and all adjournments thereof.</w:t>
      </w:r>
    </w:p>
    <w:p>
      <w:pPr>
        <w:spacing w:after="0" w:line="200"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3"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/s/ Raymond M. Beebe</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RAYMOND M. BEEBE</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SECRETARY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Forest City, 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November 18, 1996</w:t>
      </w:r>
    </w:p>
    <w:p>
      <w:pPr>
        <w:spacing w:after="0" w:line="20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YOUR VOTE IS IMPORTANT</w:t>
      </w:r>
    </w:p>
    <w:p>
      <w:pPr>
        <w:spacing w:after="0" w:line="203" w:lineRule="exact"/>
        <w:rPr>
          <w:sz w:val="24"/>
          <w:szCs w:val="24"/>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EVEN IF YOU PLAN TO ATTEND THE MEETING IN PERSON, PLEASE DATE, SIGN AND RETURN YOUR PROXY IN THE ENCLOSED ENVELOPE. A PROMPT RESPONSE IS HELPFUL AND YOUR COOPERATION IS APPRECIATED.</w:t>
      </w:r>
    </w:p>
    <w:p>
      <w:pPr>
        <w:spacing w:after="0" w:line="20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WINNEBAGO INDUSTRIES, INC.</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PROXY STATEMENT</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December 18, 1996, at 7:30 p.m., Central Standard Time, and at any and all adjournments thereof. This Proxy Statement was first mailed to shareholders on or about November 18, 1996.</w:t>
      </w:r>
    </w:p>
    <w:p>
      <w:pPr>
        <w:spacing w:after="0" w:line="202"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Only holders of Common Stock of record at the close of business on October 14, 1996 will be entitled to vote at the Annual Meeting of Shareholders. At such date, the Company had outstanding 25,359,679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requires the affirmative vote of the holders of a majority of the shares of the Company's Common Stock present or represented by proxy and voted at the meeting.</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 form of proxy is enclosed for use at the meeting. If the proxy is executed and returned, it may nevertheless be revoked at any time insofar as it has not been exercised. A person giving the enclosed proxy may revoke it by giving written notice to the Secretary, or by subsequently granting a later-dated proxy. Unless revoked, the shares represented by validly executed proxies will be voted at the meeting in accordance with the instructions indicated thereon. Withholding authority to vote on a director nominee will in effect count as a vote against the director nominee. If no instructions are indicated on the proxy, it will be voted: (i) for the election of the nominees for director named below; and (ii) in the discretion of the named proxies upon such other matters as may properly come before the meeting. Abstentions and broker non-votes (i.e., shares are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have the same effect as vote against a director nominee, however, as to any other matter which may properly come before the meeting, abstentions and broker non-votes will not have any effect.</w:t>
      </w:r>
    </w:p>
    <w:p>
      <w:pPr>
        <w:spacing w:after="0" w:line="209"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VOTING SECURITIES AND PRINCIPAL HOLDERS THEREOF</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At October 14, 1996, Mrs. Luise V. Hanson owned, of record and beneficially, an aggregate of 10,763,317 shares (42.4 percent) of the outstanding Common Stock, owning 4,963,374 (19.6 percent) of record and beneficially, and 5,799,943 (22.9 percent) beneficially, as executor of the Estate of John K. Hanson. By virtue of her stock ownership, Mrs. Hanson may be deemed to be a controlling person of the Company. At the same date, Mary Jo Boman, daughter of Mrs. Hanson, owned 251,330</w:t>
      </w:r>
    </w:p>
    <w:p>
      <w:pPr>
        <w:sectPr>
          <w:pgSz w:w="11900" w:h="16877" w:orient="portrait"/>
          <w:cols w:equalWidth="0" w:num="1">
            <w:col w:w="10219"/>
          </w:cols>
          <w:pgMar w:left="240" w:top="643" w:right="1440" w:bottom="0" w:gutter="0" w:footer="0" w:header="0"/>
        </w:sectPr>
      </w:pPr>
    </w:p>
    <w:bookmarkStart w:id="1" w:name="page2"/>
    <w:bookmarkEnd w:id="1"/>
    <w:p>
      <w:pPr>
        <w:ind w:right="420"/>
        <w:spacing w:after="0" w:line="247" w:lineRule="auto"/>
        <w:rPr>
          <w:sz w:val="20"/>
          <w:szCs w:val="20"/>
          <w:color w:val="auto"/>
        </w:rPr>
      </w:pPr>
      <w:r>
        <w:rPr>
          <w:rFonts w:ascii="Courier New" w:cs="Courier New" w:eastAsia="Courier New" w:hAnsi="Courier New"/>
          <w:sz w:val="17"/>
          <w:szCs w:val="17"/>
          <w:color w:val="auto"/>
        </w:rPr>
        <w:t>shares (1.0 percent) of Common Stock and her husband, Gerald E. Boman, owned 222,062 shares (0.9 percent) of Common Stock.</w:t>
      </w:r>
    </w:p>
    <w:p>
      <w:pPr>
        <w:spacing w:after="0" w:line="198" w:lineRule="exact"/>
        <w:rPr>
          <w:sz w:val="20"/>
          <w:szCs w:val="20"/>
          <w:color w:val="auto"/>
        </w:rPr>
      </w:pPr>
    </w:p>
    <w:p>
      <w:pPr>
        <w:spacing w:after="0" w:line="246" w:lineRule="auto"/>
        <w:rPr>
          <w:sz w:val="20"/>
          <w:szCs w:val="20"/>
          <w:color w:val="auto"/>
        </w:rPr>
      </w:pPr>
      <w:r>
        <w:rPr>
          <w:rFonts w:ascii="Courier New" w:cs="Courier New" w:eastAsia="Courier New" w:hAnsi="Courier New"/>
          <w:sz w:val="17"/>
          <w:szCs w:val="17"/>
          <w:color w:val="auto"/>
        </w:rPr>
        <w:t>The following table contains information with respect to the ownership of Common Stock by (i) each person known to the Company who is the beneficial owner of more than five percent of the outstanding Common Stock, (ii) each director,</w:t>
      </w:r>
    </w:p>
    <w:p>
      <w:pPr>
        <w:spacing w:after="0" w:line="2" w:lineRule="exact"/>
        <w:rPr>
          <w:sz w:val="20"/>
          <w:szCs w:val="20"/>
          <w:color w:val="auto"/>
        </w:rPr>
      </w:pPr>
    </w:p>
    <w:p>
      <w:pPr>
        <w:ind w:firstLine="6"/>
        <w:spacing w:after="0" w:line="247" w:lineRule="auto"/>
        <w:tabs>
          <w:tab w:leader="none" w:pos="61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nominee for election as a director (iv) each executive officer listed in the Summary Compensation Table and (v) the group named below.</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spacing w:after="0"/>
              <w:rPr>
                <w:sz w:val="16"/>
                <w:szCs w:val="16"/>
                <w:color w:val="auto"/>
              </w:rPr>
            </w:pPr>
          </w:p>
        </w:tc>
        <w:tc>
          <w:tcPr>
            <w:tcW w:w="2820" w:type="dxa"/>
            <w:vAlign w:val="bottom"/>
          </w:tcPr>
          <w:p>
            <w:pPr>
              <w:ind w:left="200"/>
              <w:spacing w:after="0"/>
              <w:rPr>
                <w:sz w:val="20"/>
                <w:szCs w:val="20"/>
                <w:color w:val="auto"/>
              </w:rPr>
            </w:pPr>
            <w:r>
              <w:rPr>
                <w:rFonts w:ascii="Courier New" w:cs="Courier New" w:eastAsia="Courier New" w:hAnsi="Courier New"/>
                <w:sz w:val="17"/>
                <w:szCs w:val="17"/>
                <w:color w:val="auto"/>
              </w:rPr>
              <w:t>SHARES OF COMMON STOCK</w:t>
            </w:r>
          </w:p>
        </w:tc>
        <w:tc>
          <w:tcPr>
            <w:tcW w:w="1600" w:type="dxa"/>
            <w:vAlign w:val="bottom"/>
          </w:tcPr>
          <w:p>
            <w:pPr>
              <w:spacing w:after="0"/>
              <w:rPr>
                <w:sz w:val="16"/>
                <w:szCs w:val="16"/>
                <w:color w:val="auto"/>
              </w:rPr>
            </w:pPr>
          </w:p>
        </w:tc>
      </w:tr>
      <w:tr>
        <w:trPr>
          <w:trHeight w:val="198"/>
        </w:trPr>
        <w:tc>
          <w:tcPr>
            <w:tcW w:w="3000" w:type="dxa"/>
            <w:vAlign w:val="bottom"/>
          </w:tcPr>
          <w:p>
            <w:pPr>
              <w:spacing w:after="0"/>
              <w:rPr>
                <w:sz w:val="17"/>
                <w:szCs w:val="17"/>
                <w:color w:val="auto"/>
              </w:rPr>
            </w:pPr>
          </w:p>
        </w:tc>
        <w:tc>
          <w:tcPr>
            <w:tcW w:w="2820" w:type="dxa"/>
            <w:vAlign w:val="bottom"/>
          </w:tcPr>
          <w:p>
            <w:pPr>
              <w:ind w:left="200"/>
              <w:spacing w:after="0"/>
              <w:rPr>
                <w:sz w:val="20"/>
                <w:szCs w:val="20"/>
                <w:color w:val="auto"/>
              </w:rPr>
            </w:pPr>
            <w:r>
              <w:rPr>
                <w:rFonts w:ascii="Courier New" w:cs="Courier New" w:eastAsia="Courier New" w:hAnsi="Courier New"/>
                <w:sz w:val="17"/>
                <w:szCs w:val="17"/>
                <w:color w:val="auto"/>
              </w:rPr>
              <w:t>OWNED BENEFICIALLY AT</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PERCENT OF</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82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OCTOBER 14, 1996(1)</w:t>
            </w:r>
          </w:p>
        </w:tc>
        <w:tc>
          <w:tcPr>
            <w:tcW w:w="16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COMMON STOCK</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rPr>
              <w:t>Luise V. Hanson</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10,763,317(2)</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42.4</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72,000(4)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69,060(4)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Gerald E. Boman</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473,392(2)</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David G. Croonquist</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40,000(4)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Jerry N. Currie</w:t>
            </w:r>
          </w:p>
        </w:tc>
        <w:tc>
          <w:tcPr>
            <w:tcW w:w="282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0</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83,928(4)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Keith D. Elwick</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16,000(4)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John V. Hanson</w:t>
            </w:r>
          </w:p>
        </w:tc>
        <w:tc>
          <w:tcPr>
            <w:tcW w:w="282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530</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47,000(4)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P. Jaskoviak</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Gerald C. Kitch</w:t>
            </w:r>
          </w:p>
        </w:tc>
        <w:tc>
          <w:tcPr>
            <w:tcW w:w="282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0</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Donald W. Olson</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Joseph M. Shuster</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11,000(4)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Frederick M. Zimmerman</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10,650(4)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Francis L. Zrostlik</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10,000(4)</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Directors and officers as a</w:t>
            </w:r>
          </w:p>
        </w:tc>
        <w:tc>
          <w:tcPr>
            <w:tcW w:w="28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8"/>
        </w:trPr>
        <w:tc>
          <w:tcPr>
            <w:tcW w:w="3000" w:type="dxa"/>
            <w:vAlign w:val="bottom"/>
          </w:tcPr>
          <w:p>
            <w:pPr>
              <w:ind w:left="100"/>
              <w:spacing w:after="0"/>
              <w:rPr>
                <w:sz w:val="20"/>
                <w:szCs w:val="20"/>
                <w:color w:val="auto"/>
              </w:rPr>
            </w:pPr>
            <w:r>
              <w:rPr>
                <w:rFonts w:ascii="Courier New" w:cs="Courier New" w:eastAsia="Courier New" w:hAnsi="Courier New"/>
                <w:sz w:val="17"/>
                <w:szCs w:val="17"/>
                <w:color w:val="auto"/>
              </w:rPr>
              <w:t>group (17 persons)</w:t>
            </w:r>
          </w:p>
        </w:tc>
        <w:tc>
          <w:tcPr>
            <w:tcW w:w="282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844,560(2)</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w:t>
            </w:r>
          </w:p>
        </w:tc>
      </w:tr>
    </w:tbl>
    <w:p>
      <w:pPr>
        <w:spacing w:after="0" w:line="200" w:lineRule="exact"/>
        <w:rPr>
          <w:sz w:val="20"/>
          <w:szCs w:val="20"/>
          <w:color w:val="auto"/>
        </w:rPr>
      </w:pPr>
    </w:p>
    <w:p>
      <w:pPr>
        <w:spacing w:after="0" w:line="399" w:lineRule="exact"/>
        <w:rPr>
          <w:sz w:val="20"/>
          <w:szCs w:val="20"/>
          <w:color w:val="auto"/>
        </w:rPr>
      </w:pPr>
    </w:p>
    <w:p>
      <w:pPr>
        <w:ind w:left="620" w:right="920" w:hanging="614"/>
        <w:spacing w:after="0" w:line="247" w:lineRule="auto"/>
        <w:tabs>
          <w:tab w:leader="none" w:pos="6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held jointly with or by spouse and shares held as custodian, beneficial ownership of which is disclaimed.</w:t>
      </w:r>
    </w:p>
    <w:p>
      <w:pPr>
        <w:spacing w:after="0" w:line="197" w:lineRule="exact"/>
        <w:rPr>
          <w:rFonts w:ascii="Courier New" w:cs="Courier New" w:eastAsia="Courier New" w:hAnsi="Courier New"/>
          <w:sz w:val="17"/>
          <w:szCs w:val="17"/>
          <w:color w:val="auto"/>
        </w:rPr>
      </w:pPr>
    </w:p>
    <w:p>
      <w:pPr>
        <w:ind w:left="620" w:right="620" w:hanging="614"/>
        <w:spacing w:after="0" w:line="247" w:lineRule="auto"/>
        <w:tabs>
          <w:tab w:leader="none" w:pos="6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narrative above provides further information with regard to such ownership.</w:t>
      </w:r>
    </w:p>
    <w:p>
      <w:pPr>
        <w:spacing w:after="0" w:line="197"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w:t>
      </w:r>
    </w:p>
    <w:p>
      <w:pPr>
        <w:spacing w:after="0" w:line="203" w:lineRule="exact"/>
        <w:rPr>
          <w:rFonts w:ascii="Courier New" w:cs="Courier New" w:eastAsia="Courier New" w:hAnsi="Courier New"/>
          <w:sz w:val="17"/>
          <w:szCs w:val="17"/>
          <w:color w:val="auto"/>
        </w:rPr>
      </w:pPr>
    </w:p>
    <w:p>
      <w:pPr>
        <w:ind w:left="620" w:hanging="614"/>
        <w:spacing w:after="0" w:line="246" w:lineRule="auto"/>
        <w:tabs>
          <w:tab w:leader="none" w:pos="6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61,000, 61,000, 10,000, 83,000, 10,000, 46,000, 1,000, 10,000, 10,000, 10,000, 10,000 and 326,500 shares, respectively, which Mr. Barker, Mr. Beebe, Mr. Croonquist, Mr. Dohrmann, Mr. Elwick, Mr. Hertzke, Mr. Jaskoviak, Mr. Olson, Mr. Shuster, Mr. Zimmerman, Mr. Zrostlik and the directors and officers as a group have the right to acquire within 60 days of October 14, 1996 through the exercise of stock options.</w:t>
      </w:r>
    </w:p>
    <w:p>
      <w:pPr>
        <w:spacing w:after="0" w:line="20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ELECTION OF DIRECTORS</w:t>
      </w:r>
    </w:p>
    <w:p>
      <w:pPr>
        <w:spacing w:after="0" w:line="203" w:lineRule="exact"/>
        <w:rPr>
          <w:sz w:val="20"/>
          <w:szCs w:val="20"/>
          <w:color w:val="auto"/>
        </w:rPr>
      </w:pPr>
    </w:p>
    <w:p>
      <w:pPr>
        <w:ind w:right="100"/>
        <w:spacing w:after="0" w:line="246" w:lineRule="auto"/>
        <w:rPr>
          <w:sz w:val="20"/>
          <w:szCs w:val="20"/>
          <w:color w:val="auto"/>
        </w:rPr>
      </w:pPr>
      <w:r>
        <w:rPr>
          <w:rFonts w:ascii="Courier New" w:cs="Courier New" w:eastAsia="Courier New" w:hAnsi="Courier New"/>
          <w:sz w:val="17"/>
          <w:szCs w:val="17"/>
          <w:color w:val="auto"/>
        </w:rPr>
        <w:t>All current directors, except for David G. Croonquist, Keith D. Elwick and Donald W. Olson, are standing for reelection. In addition, Jerry N. Currie and Gerald C. Kitch, nominees for election as directors, are not currently directors. Each nominee is being elected to serve until the next ensuing annual meeting and until a successor is elected and qualified. The shares represented by the enclosed proxy will be voted for the election as directors of the nominees named below if no direction is made otherwise.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NAME (AGE)(1)</w:t>
      </w:r>
      <w:r>
        <w:rPr>
          <w:sz w:val="20"/>
          <w:szCs w:val="20"/>
          <w:color w:val="auto"/>
        </w:rPr>
        <w:tab/>
      </w:r>
      <w:r>
        <w:rPr>
          <w:rFonts w:ascii="Courier New" w:cs="Courier New" w:eastAsia="Courier New" w:hAnsi="Courier New"/>
          <w:sz w:val="17"/>
          <w:szCs w:val="17"/>
          <w:color w:val="auto"/>
        </w:rPr>
        <w:t>PRINCIPAL OCCUPATION</w:t>
      </w:r>
    </w:p>
    <w:p>
      <w:pPr>
        <w:spacing w:after="0" w:line="5"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20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Gerald E. Boman (61)</w:t>
      </w:r>
      <w:r>
        <w:rPr>
          <w:sz w:val="20"/>
          <w:szCs w:val="20"/>
          <w:color w:val="auto"/>
        </w:rPr>
        <w:tab/>
      </w:r>
      <w:r>
        <w:rPr>
          <w:rFonts w:ascii="Courier New" w:cs="Courier New" w:eastAsia="Courier New" w:hAnsi="Courier New"/>
          <w:sz w:val="17"/>
          <w:szCs w:val="17"/>
          <w:color w:val="auto"/>
        </w:rPr>
        <w:t>Retired; former Senior Vice President,</w:t>
      </w:r>
    </w:p>
    <w:p>
      <w:pPr>
        <w:spacing w:after="0" w:line="5"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Winnebago Industries, Inc.</w:t>
      </w:r>
    </w:p>
    <w:p>
      <w:pPr>
        <w:spacing w:after="0" w:line="20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Jerry N. Currie (51)</w:t>
      </w:r>
      <w:r>
        <w:rPr>
          <w:sz w:val="20"/>
          <w:szCs w:val="20"/>
          <w:color w:val="auto"/>
        </w:rPr>
        <w:tab/>
      </w:r>
      <w:r>
        <w:rPr>
          <w:rFonts w:ascii="Courier New" w:cs="Courier New" w:eastAsia="Courier New" w:hAnsi="Courier New"/>
          <w:sz w:val="17"/>
          <w:szCs w:val="17"/>
          <w:color w:val="auto"/>
        </w:rPr>
        <w:t>President &amp; Chief Executive Officer of both</w:t>
      </w:r>
    </w:p>
    <w:p>
      <w:pPr>
        <w:spacing w:after="0" w:line="5" w:lineRule="exact"/>
        <w:rPr>
          <w:sz w:val="20"/>
          <w:szCs w:val="20"/>
          <w:color w:val="auto"/>
        </w:rPr>
      </w:pPr>
    </w:p>
    <w:p>
      <w:pPr>
        <w:ind w:left="3100" w:right="520"/>
        <w:spacing w:after="0" w:line="247" w:lineRule="auto"/>
        <w:rPr>
          <w:sz w:val="20"/>
          <w:szCs w:val="20"/>
          <w:color w:val="auto"/>
        </w:rPr>
      </w:pPr>
      <w:r>
        <w:rPr>
          <w:rFonts w:ascii="Courier New" w:cs="Courier New" w:eastAsia="Courier New" w:hAnsi="Courier New"/>
          <w:sz w:val="17"/>
          <w:szCs w:val="17"/>
          <w:color w:val="auto"/>
        </w:rPr>
        <w:t>CURRIES Company, Manufacturer of steel doors and frames for nonresidential construction and GRAHAM Manufacturing, manufacturer of wood doors for nonresidential construction</w:t>
      </w:r>
    </w:p>
    <w:p>
      <w:pPr>
        <w:spacing w:after="0" w:line="395"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Fred G. Dohrmann (64)</w:t>
      </w:r>
      <w:r>
        <w:rPr>
          <w:sz w:val="20"/>
          <w:szCs w:val="20"/>
          <w:color w:val="auto"/>
        </w:rPr>
        <w:tab/>
      </w:r>
      <w:r>
        <w:rPr>
          <w:rFonts w:ascii="Courier New" w:cs="Courier New" w:eastAsia="Courier New" w:hAnsi="Courier New"/>
          <w:sz w:val="17"/>
          <w:szCs w:val="17"/>
          <w:color w:val="auto"/>
        </w:rPr>
        <w:t>Chairman of the Board of Directors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Chief Executive Officer,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Winnebago Industries, Inc.</w:t>
      </w:r>
    </w:p>
    <w:p>
      <w:pPr>
        <w:spacing w:after="0" w:line="20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John V. Hanson (54)</w:t>
      </w:r>
      <w:r>
        <w:rPr>
          <w:sz w:val="20"/>
          <w:szCs w:val="20"/>
          <w:color w:val="auto"/>
        </w:rPr>
        <w:tab/>
      </w:r>
      <w:r>
        <w:rPr>
          <w:rFonts w:ascii="Courier New" w:cs="Courier New" w:eastAsia="Courier New" w:hAnsi="Courier New"/>
          <w:sz w:val="17"/>
          <w:szCs w:val="17"/>
          <w:color w:val="auto"/>
        </w:rPr>
        <w:t>Retired; former President and Deputy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YEAR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BECAME A DIRECTOR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1962</w:t>
      </w:r>
    </w:p>
    <w:p>
      <w:pPr>
        <w:spacing w:after="0" w:line="200" w:lineRule="exact"/>
        <w:rPr>
          <w:sz w:val="20"/>
          <w:szCs w:val="20"/>
          <w:color w:val="auto"/>
        </w:rPr>
      </w:pP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1989</w:t>
      </w:r>
    </w:p>
    <w:p>
      <w:pPr>
        <w:spacing w:after="0" w:line="200" w:lineRule="exact"/>
        <w:rPr>
          <w:sz w:val="20"/>
          <w:szCs w:val="20"/>
          <w:color w:val="auto"/>
        </w:rPr>
      </w:pPr>
    </w:p>
    <w:p>
      <w:pPr>
        <w:spacing w:after="0" w:line="399"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1996(3)</w:t>
      </w:r>
    </w:p>
    <w:p>
      <w:pPr>
        <w:sectPr>
          <w:pgSz w:w="11900" w:h="16838" w:orient="portrait"/>
          <w:cols w:equalWidth="0" w:num="2">
            <w:col w:w="8240" w:space="620"/>
            <w:col w:w="1960"/>
          </w:cols>
          <w:pgMar w:left="240" w:top="142" w:right="8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Chairman of the Board of Directors of</w:t>
            </w:r>
          </w:p>
        </w:tc>
        <w:tc>
          <w:tcPr>
            <w:tcW w:w="1400" w:type="dxa"/>
            <w:vAlign w:val="bottom"/>
          </w:tcPr>
          <w:p>
            <w:pPr>
              <w:spacing w:after="0"/>
              <w:rPr>
                <w:sz w:val="16"/>
                <w:szCs w:val="16"/>
                <w:color w:val="auto"/>
              </w:rPr>
            </w:pPr>
          </w:p>
        </w:tc>
      </w:tr>
      <w:tr>
        <w:trPr>
          <w:trHeight w:val="198"/>
        </w:trPr>
        <w:tc>
          <w:tcPr>
            <w:tcW w:w="294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7"/>
                <w:szCs w:val="17"/>
                <w:color w:val="auto"/>
              </w:rPr>
              <w:t>Winnebago</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Industries, Inc.</w:t>
            </w:r>
          </w:p>
        </w:tc>
        <w:tc>
          <w:tcPr>
            <w:tcW w:w="1400" w:type="dxa"/>
            <w:vAlign w:val="bottom"/>
          </w:tcPr>
          <w:p>
            <w:pPr>
              <w:spacing w:after="0"/>
              <w:rPr>
                <w:sz w:val="17"/>
                <w:szCs w:val="17"/>
                <w:color w:val="auto"/>
              </w:rPr>
            </w:pPr>
          </w:p>
        </w:tc>
      </w:tr>
      <w:tr>
        <w:trPr>
          <w:trHeight w:val="396"/>
        </w:trPr>
        <w:tc>
          <w:tcPr>
            <w:tcW w:w="2940" w:type="dxa"/>
            <w:vAlign w:val="bottom"/>
          </w:tcPr>
          <w:p>
            <w:pPr>
              <w:spacing w:after="0"/>
              <w:rPr>
                <w:sz w:val="20"/>
                <w:szCs w:val="20"/>
                <w:color w:val="auto"/>
              </w:rPr>
            </w:pPr>
            <w:r>
              <w:rPr>
                <w:rFonts w:ascii="Courier New" w:cs="Courier New" w:eastAsia="Courier New" w:hAnsi="Courier New"/>
                <w:sz w:val="17"/>
                <w:szCs w:val="17"/>
                <w:color w:val="auto"/>
              </w:rPr>
              <w:t>Gerald C. Kitch (58)</w:t>
            </w:r>
          </w:p>
        </w:tc>
        <w:tc>
          <w:tcPr>
            <w:tcW w:w="1140" w:type="dxa"/>
            <w:vAlign w:val="bottom"/>
          </w:tcPr>
          <w:p>
            <w:pPr>
              <w:ind w:left="160"/>
              <w:spacing w:after="0"/>
              <w:rPr>
                <w:sz w:val="20"/>
                <w:szCs w:val="20"/>
                <w:color w:val="auto"/>
              </w:rPr>
            </w:pPr>
            <w:r>
              <w:rPr>
                <w:rFonts w:ascii="Courier New" w:cs="Courier New" w:eastAsia="Courier New" w:hAnsi="Courier New"/>
                <w:sz w:val="17"/>
                <w:szCs w:val="17"/>
                <w:color w:val="auto"/>
              </w:rPr>
              <w:t>Executive</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Vice President, Pentair, Inc.,</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8"/>
        </w:trPr>
        <w:tc>
          <w:tcPr>
            <w:tcW w:w="2940" w:type="dxa"/>
            <w:vAlign w:val="bottom"/>
          </w:tcPr>
          <w:p>
            <w:pPr>
              <w:spacing w:after="0"/>
              <w:rPr>
                <w:sz w:val="17"/>
                <w:szCs w:val="17"/>
                <w:color w:val="auto"/>
              </w:rPr>
            </w:pP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Diversified manufacturer of tools, equipment</w:t>
            </w:r>
          </w:p>
        </w:tc>
        <w:tc>
          <w:tcPr>
            <w:tcW w:w="1400" w:type="dxa"/>
            <w:vAlign w:val="bottom"/>
          </w:tcPr>
          <w:p>
            <w:pPr>
              <w:spacing w:after="0"/>
              <w:rPr>
                <w:sz w:val="17"/>
                <w:szCs w:val="17"/>
                <w:color w:val="auto"/>
              </w:rPr>
            </w:pPr>
          </w:p>
        </w:tc>
      </w:tr>
      <w:tr>
        <w:trPr>
          <w:trHeight w:val="198"/>
        </w:trPr>
        <w:tc>
          <w:tcPr>
            <w:tcW w:w="2940" w:type="dxa"/>
            <w:vAlign w:val="bottom"/>
          </w:tcPr>
          <w:p>
            <w:pPr>
              <w:spacing w:after="0"/>
              <w:rPr>
                <w:sz w:val="17"/>
                <w:szCs w:val="17"/>
                <w:color w:val="auto"/>
              </w:rPr>
            </w:pP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ammunition</w:t>
            </w:r>
          </w:p>
        </w:tc>
        <w:tc>
          <w:tcPr>
            <w:tcW w:w="1400" w:type="dxa"/>
            <w:vAlign w:val="bottom"/>
          </w:tcPr>
          <w:p>
            <w:pPr>
              <w:spacing w:after="0"/>
              <w:rPr>
                <w:sz w:val="17"/>
                <w:szCs w:val="17"/>
                <w:color w:val="auto"/>
              </w:rPr>
            </w:pPr>
          </w:p>
        </w:tc>
      </w:tr>
      <w:tr>
        <w:trPr>
          <w:trHeight w:val="396"/>
        </w:trPr>
        <w:tc>
          <w:tcPr>
            <w:tcW w:w="2940" w:type="dxa"/>
            <w:vAlign w:val="bottom"/>
          </w:tcPr>
          <w:p>
            <w:pPr>
              <w:spacing w:after="0"/>
              <w:rPr>
                <w:sz w:val="20"/>
                <w:szCs w:val="20"/>
                <w:color w:val="auto"/>
              </w:rPr>
            </w:pPr>
            <w:r>
              <w:rPr>
                <w:rFonts w:ascii="Courier New" w:cs="Courier New" w:eastAsia="Courier New" w:hAnsi="Courier New"/>
                <w:sz w:val="17"/>
                <w:szCs w:val="17"/>
                <w:color w:val="auto"/>
              </w:rPr>
              <w:t>Joseph M. Shuster (64)</w:t>
            </w:r>
          </w:p>
        </w:tc>
        <w:tc>
          <w:tcPr>
            <w:tcW w:w="1140" w:type="dxa"/>
            <w:vAlign w:val="bottom"/>
          </w:tcPr>
          <w:p>
            <w:pPr>
              <w:ind w:left="160"/>
              <w:spacing w:after="0"/>
              <w:rPr>
                <w:sz w:val="20"/>
                <w:szCs w:val="20"/>
                <w:color w:val="auto"/>
              </w:rPr>
            </w:pPr>
            <w:r>
              <w:rPr>
                <w:rFonts w:ascii="Courier New" w:cs="Courier New" w:eastAsia="Courier New" w:hAnsi="Courier New"/>
                <w:sz w:val="17"/>
                <w:szCs w:val="17"/>
                <w:color w:val="auto"/>
              </w:rPr>
              <w:t>Chairman,</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Teltech, National technology</w:t>
            </w:r>
          </w:p>
        </w:tc>
        <w:tc>
          <w:tcPr>
            <w:tcW w:w="1400" w:type="dxa"/>
            <w:vAlign w:val="bottom"/>
          </w:tcPr>
          <w:p>
            <w:pPr>
              <w:ind w:left="680"/>
              <w:spacing w:after="0"/>
              <w:rPr>
                <w:sz w:val="20"/>
                <w:szCs w:val="20"/>
                <w:color w:val="auto"/>
              </w:rPr>
            </w:pPr>
            <w:r>
              <w:rPr>
                <w:rFonts w:ascii="Courier New" w:cs="Courier New" w:eastAsia="Courier New" w:hAnsi="Courier New"/>
                <w:sz w:val="17"/>
                <w:szCs w:val="17"/>
                <w:color w:val="auto"/>
              </w:rPr>
              <w:t>1988</w:t>
            </w:r>
          </w:p>
        </w:tc>
      </w:tr>
      <w:tr>
        <w:trPr>
          <w:trHeight w:val="198"/>
        </w:trPr>
        <w:tc>
          <w:tcPr>
            <w:tcW w:w="2940" w:type="dxa"/>
            <w:vAlign w:val="bottom"/>
          </w:tcPr>
          <w:p>
            <w:pPr>
              <w:spacing w:after="0"/>
              <w:rPr>
                <w:sz w:val="17"/>
                <w:szCs w:val="17"/>
                <w:color w:val="auto"/>
              </w:rPr>
            </w:pP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transfer company</w:t>
            </w:r>
          </w:p>
        </w:tc>
        <w:tc>
          <w:tcPr>
            <w:tcW w:w="1400" w:type="dxa"/>
            <w:vAlign w:val="bottom"/>
          </w:tcPr>
          <w:p>
            <w:pPr>
              <w:spacing w:after="0"/>
              <w:rPr>
                <w:sz w:val="17"/>
                <w:szCs w:val="17"/>
                <w:color w:val="auto"/>
              </w:rPr>
            </w:pPr>
          </w:p>
        </w:tc>
      </w:tr>
      <w:tr>
        <w:trPr>
          <w:trHeight w:val="396"/>
        </w:trPr>
        <w:tc>
          <w:tcPr>
            <w:tcW w:w="2940" w:type="dxa"/>
            <w:vAlign w:val="bottom"/>
          </w:tcPr>
          <w:p>
            <w:pPr>
              <w:spacing w:after="0"/>
              <w:rPr>
                <w:sz w:val="20"/>
                <w:szCs w:val="20"/>
                <w:color w:val="auto"/>
              </w:rPr>
            </w:pPr>
            <w:r>
              <w:rPr>
                <w:rFonts w:ascii="Courier New" w:cs="Courier New" w:eastAsia="Courier New" w:hAnsi="Courier New"/>
                <w:sz w:val="17"/>
                <w:szCs w:val="17"/>
                <w:color w:val="auto"/>
              </w:rPr>
              <w:t>Frederick M. Zimmerman (60)</w:t>
            </w:r>
          </w:p>
        </w:tc>
        <w:tc>
          <w:tcPr>
            <w:tcW w:w="1140" w:type="dxa"/>
            <w:vAlign w:val="bottom"/>
          </w:tcPr>
          <w:p>
            <w:pPr>
              <w:ind w:left="160"/>
              <w:spacing w:after="0"/>
              <w:rPr>
                <w:sz w:val="20"/>
                <w:szCs w:val="20"/>
                <w:color w:val="auto"/>
              </w:rPr>
            </w:pPr>
            <w:r>
              <w:rPr>
                <w:rFonts w:ascii="Courier New" w:cs="Courier New" w:eastAsia="Courier New" w:hAnsi="Courier New"/>
                <w:sz w:val="17"/>
                <w:szCs w:val="17"/>
                <w:color w:val="auto"/>
              </w:rPr>
              <w:t>Professor</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of Manufacturing Systems</w:t>
            </w:r>
          </w:p>
        </w:tc>
        <w:tc>
          <w:tcPr>
            <w:tcW w:w="1400" w:type="dxa"/>
            <w:vAlign w:val="bottom"/>
          </w:tcPr>
          <w:p>
            <w:pPr>
              <w:ind w:left="680"/>
              <w:spacing w:after="0"/>
              <w:rPr>
                <w:sz w:val="20"/>
                <w:szCs w:val="20"/>
                <w:color w:val="auto"/>
              </w:rPr>
            </w:pPr>
            <w:r>
              <w:rPr>
                <w:rFonts w:ascii="Courier New" w:cs="Courier New" w:eastAsia="Courier New" w:hAnsi="Courier New"/>
                <w:sz w:val="17"/>
                <w:szCs w:val="17"/>
                <w:color w:val="auto"/>
              </w:rPr>
              <w:t>1992</w:t>
            </w:r>
          </w:p>
        </w:tc>
      </w:tr>
      <w:tr>
        <w:trPr>
          <w:trHeight w:val="198"/>
        </w:trPr>
        <w:tc>
          <w:tcPr>
            <w:tcW w:w="2940" w:type="dxa"/>
            <w:vAlign w:val="bottom"/>
          </w:tcPr>
          <w:p>
            <w:pPr>
              <w:spacing w:after="0"/>
              <w:rPr>
                <w:sz w:val="17"/>
                <w:szCs w:val="17"/>
                <w:color w:val="auto"/>
              </w:rPr>
            </w:pP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Engineering at The University of St. Thomas,</w:t>
            </w:r>
          </w:p>
        </w:tc>
        <w:tc>
          <w:tcPr>
            <w:tcW w:w="1400" w:type="dxa"/>
            <w:vAlign w:val="bottom"/>
          </w:tcPr>
          <w:p>
            <w:pPr>
              <w:spacing w:after="0"/>
              <w:rPr>
                <w:sz w:val="17"/>
                <w:szCs w:val="17"/>
                <w:color w:val="auto"/>
              </w:rPr>
            </w:pPr>
          </w:p>
        </w:tc>
      </w:tr>
      <w:tr>
        <w:trPr>
          <w:trHeight w:val="198"/>
        </w:trPr>
        <w:tc>
          <w:tcPr>
            <w:tcW w:w="294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7"/>
                <w:szCs w:val="17"/>
                <w:color w:val="auto"/>
              </w:rPr>
              <w:t>St. Paul,</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Minnesota</w:t>
            </w:r>
          </w:p>
        </w:tc>
        <w:tc>
          <w:tcPr>
            <w:tcW w:w="1400" w:type="dxa"/>
            <w:vAlign w:val="bottom"/>
          </w:tcPr>
          <w:p>
            <w:pPr>
              <w:spacing w:after="0"/>
              <w:rPr>
                <w:sz w:val="17"/>
                <w:szCs w:val="17"/>
                <w:color w:val="auto"/>
              </w:rPr>
            </w:pPr>
          </w:p>
        </w:tc>
      </w:tr>
      <w:tr>
        <w:trPr>
          <w:trHeight w:val="396"/>
        </w:trPr>
        <w:tc>
          <w:tcPr>
            <w:tcW w:w="2940" w:type="dxa"/>
            <w:vAlign w:val="bottom"/>
          </w:tcPr>
          <w:p>
            <w:pPr>
              <w:spacing w:after="0"/>
              <w:rPr>
                <w:sz w:val="20"/>
                <w:szCs w:val="20"/>
                <w:color w:val="auto"/>
              </w:rPr>
            </w:pPr>
            <w:r>
              <w:rPr>
                <w:rFonts w:ascii="Courier New" w:cs="Courier New" w:eastAsia="Courier New" w:hAnsi="Courier New"/>
                <w:sz w:val="17"/>
                <w:szCs w:val="17"/>
                <w:color w:val="auto"/>
              </w:rPr>
              <w:t>Francis L. Zrostlik (62)</w:t>
            </w: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President, Stellar Industries, Inc., Manufacturer</w:t>
            </w:r>
          </w:p>
        </w:tc>
        <w:tc>
          <w:tcPr>
            <w:tcW w:w="1400" w:type="dxa"/>
            <w:vAlign w:val="bottom"/>
          </w:tcPr>
          <w:p>
            <w:pPr>
              <w:ind w:left="680"/>
              <w:spacing w:after="0"/>
              <w:rPr>
                <w:sz w:val="20"/>
                <w:szCs w:val="20"/>
                <w:color w:val="auto"/>
              </w:rPr>
            </w:pPr>
            <w:r>
              <w:rPr>
                <w:rFonts w:ascii="Courier New" w:cs="Courier New" w:eastAsia="Courier New" w:hAnsi="Courier New"/>
                <w:sz w:val="17"/>
                <w:szCs w:val="17"/>
                <w:color w:val="auto"/>
                <w:w w:val="97"/>
              </w:rPr>
              <w:t>1993(4)</w:t>
            </w:r>
          </w:p>
        </w:tc>
      </w:tr>
      <w:tr>
        <w:trPr>
          <w:trHeight w:val="198"/>
        </w:trPr>
        <w:tc>
          <w:tcPr>
            <w:tcW w:w="2940" w:type="dxa"/>
            <w:vAlign w:val="bottom"/>
          </w:tcPr>
          <w:p>
            <w:pPr>
              <w:spacing w:after="0"/>
              <w:rPr>
                <w:sz w:val="17"/>
                <w:szCs w:val="17"/>
                <w:color w:val="auto"/>
              </w:rPr>
            </w:pPr>
          </w:p>
        </w:tc>
        <w:tc>
          <w:tcPr>
            <w:tcW w:w="5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of hydraulic truck equipment; former President of</w:t>
            </w:r>
          </w:p>
        </w:tc>
        <w:tc>
          <w:tcPr>
            <w:tcW w:w="1400" w:type="dxa"/>
            <w:vAlign w:val="bottom"/>
          </w:tcPr>
          <w:p>
            <w:pPr>
              <w:spacing w:after="0"/>
              <w:rPr>
                <w:sz w:val="17"/>
                <w:szCs w:val="17"/>
                <w:color w:val="auto"/>
              </w:rPr>
            </w:pPr>
          </w:p>
        </w:tc>
      </w:tr>
      <w:tr>
        <w:trPr>
          <w:trHeight w:val="198"/>
        </w:trPr>
        <w:tc>
          <w:tcPr>
            <w:tcW w:w="294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7"/>
                <w:szCs w:val="17"/>
                <w:color w:val="auto"/>
              </w:rPr>
              <w:t>Iowa Mold</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Tooling</w:t>
            </w:r>
          </w:p>
        </w:tc>
        <w:tc>
          <w:tcPr>
            <w:tcW w:w="1400" w:type="dxa"/>
            <w:vAlign w:val="bottom"/>
          </w:tcPr>
          <w:p>
            <w:pPr>
              <w:spacing w:after="0"/>
              <w:rPr>
                <w:sz w:val="17"/>
                <w:szCs w:val="17"/>
                <w:color w:val="auto"/>
              </w:rPr>
            </w:pPr>
          </w:p>
        </w:tc>
      </w:tr>
    </w:tbl>
    <w:p>
      <w:pPr>
        <w:spacing w:after="0" w:line="203" w:lineRule="exact"/>
        <w:rPr>
          <w:sz w:val="20"/>
          <w:szCs w:val="20"/>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is made to "Voting Securities and Principal Holders Thereof."</w:t>
      </w:r>
    </w:p>
    <w:p>
      <w:pPr>
        <w:spacing w:after="0" w:line="203"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currently a director.</w:t>
      </w:r>
    </w:p>
    <w:p>
      <w:pPr>
        <w:spacing w:after="0" w:line="203"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served as a director from 1967 to 1979 and from 1985 to 1989.</w:t>
      </w:r>
    </w:p>
    <w:p>
      <w:pPr>
        <w:spacing w:after="0" w:line="203"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served as a director from 1979 to 1986.</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00"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John V. Hanson is the brother of Paul D. Hanson, Vice President-Strategic Planning of the Company, and the brother-in-law of Gerald E. Boman.</w:t>
      </w:r>
    </w:p>
    <w:p>
      <w:pPr>
        <w:spacing w:after="0" w:line="198"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Mr. Zimmerman is also a director of HEI, Inc., a designer and manufacturer of custom microelectronics and light pens.</w:t>
      </w:r>
    </w:p>
    <w:p>
      <w:pPr>
        <w:spacing w:after="0" w:line="198"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Discretionary authority is solicited to vote for the election of a substitute for any of said nominees who, for any reason currently unknown, cannot be a candidate for election.</w:t>
      </w:r>
    </w:p>
    <w:p>
      <w:pPr>
        <w:spacing w:after="0" w:line="200"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BOARD OF DIRECTORS AND COMMITTEES OF THE BOARD</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The Board has established Audit, Human Resources and Nominating Committees to assist it in the discharge of its responsibilities. The principal responsibilities of each of these committees are described below.</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members of the Audit Committee are Messrs. Croonquist, Elwick and Shuster.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four times in fiscal 1996.</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Human Resources Committee, consisting of Messrs. Elwick, Zimmerman and Olson, met six times in fiscal 1996. This committee makes recommendations to the Board of Directors as to the salary of the Chief Executive Officer (CEO) and sets the salaries and bonus payments, if any, of all other employee-directors and elected officers. It also has responsibility for administration of the Officer Incentive Compensation Plan and certain other employee incentive plans.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members of the Nominating Committee are Messrs. Boman, Croonquist and Dohrmann.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The committee met once in fiscal 1996.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Board of Directors of the Company held eight meetings during fiscal 1996. Actions taken by any committee of the Board are reported to the Board of Directors, usually at its next meeting. During fiscal 1996, all of the directors attended more than 75 percent of the aggregate of Board of Directors' meetings and meetings of committees of the Board on which they served. Each director (except a director who is an employee of the Company) currently receives 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monthly fee of $1,600.</w:t>
      </w:r>
    </w:p>
    <w:p>
      <w:pPr>
        <w:spacing w:after="0" w:line="203" w:lineRule="exact"/>
        <w:rPr>
          <w:sz w:val="20"/>
          <w:szCs w:val="20"/>
          <w:color w:val="auto"/>
        </w:rPr>
      </w:pPr>
    </w:p>
    <w:p>
      <w:pPr>
        <w:ind w:right="3280"/>
        <w:spacing w:after="0" w:line="246" w:lineRule="auto"/>
        <w:rPr>
          <w:sz w:val="20"/>
          <w:szCs w:val="20"/>
          <w:color w:val="auto"/>
        </w:rPr>
      </w:pPr>
      <w:r>
        <w:rPr>
          <w:rFonts w:ascii="Courier New" w:cs="Courier New" w:eastAsia="Courier New" w:hAnsi="Courier New"/>
          <w:sz w:val="17"/>
          <w:szCs w:val="17"/>
          <w:color w:val="auto"/>
        </w:rPr>
        <w:t>The Winnebago Industries, Inc. Stock Option Plan for Outside Directors (the "Outside Directors Option Plan") provides that each director who is not a current or former full-time employee of the Company or a subsidiary (an "Outside Director") will receive an option to purchase 10,000 shares of Common Stock. Pursuant to the Outside Directors Option Plan, each Outside Director as of May 7, 1992 (consisting of Messrs. Croonquist, Elwick and Shuster) automatically received an option to purchase 10,000 shares of Common Stock at a price of $5.50 per share. In addition, each person who first becomes a member of the Board of Directors as an Outside Director after May 7, 1992 will automatically receive an option to purchase 10,000 shares of Common Stock as of the date on which such person first becomes an Outside Director. Under this provision, Frederick M. Zimmerman received an option to purchase 10,000 shares of Common Stock on December 16, 1992 at a price of $9.00 per share, Francis L. Zrostlik received an option to purchase 10,000 shares of Common Stock on December 15, 1993 at a price of $8.875 per share and Donald W. Olson received an option to purchase 10,000 shares of Common Stock on December 14, 1994 at a price of $10.00 per share.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 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w:t>
      </w:r>
    </w:p>
    <w:p>
      <w:pPr>
        <w:spacing w:after="0" w:line="16"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7"/>
          <w:szCs w:val="17"/>
          <w:color w:val="auto"/>
        </w:rPr>
        <w:t>100 percent of the fair market value per share of the Common Stock at the time the option is granted. At August 31, 1996, options for 60,000 shares were outstanding under the Outside Directors Option Plan and options for 40,000 shares were available for grant thereunder.</w:t>
      </w:r>
    </w:p>
    <w:p>
      <w:pPr>
        <w:spacing w:after="0" w:line="200"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7"/>
          <w:szCs w:val="17"/>
          <w:color w:val="auto"/>
        </w:rPr>
        <w:t>EXECUTIVE COMPENSATION</w:t>
      </w:r>
    </w:p>
    <w:p>
      <w:pPr>
        <w:spacing w:after="0" w:line="203" w:lineRule="exact"/>
        <w:rPr>
          <w:sz w:val="20"/>
          <w:szCs w:val="20"/>
          <w:color w:val="auto"/>
        </w:rPr>
      </w:pPr>
    </w:p>
    <w:p>
      <w:pPr>
        <w:ind w:right="3380"/>
        <w:spacing w:after="0" w:line="246" w:lineRule="auto"/>
        <w:rPr>
          <w:sz w:val="20"/>
          <w:szCs w:val="20"/>
          <w:color w:val="auto"/>
        </w:rPr>
      </w:pPr>
      <w:r>
        <w:rPr>
          <w:rFonts w:ascii="Courier New" w:cs="Courier New" w:eastAsia="Courier New" w:hAnsi="Courier New"/>
          <w:sz w:val="17"/>
          <w:szCs w:val="17"/>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31, 1996, and (ii) each of the four other most highly compensated executive officers of the Company serving at August 31, 1996.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gridSpan w:val="3"/>
          </w:tcPr>
          <w:p>
            <w:pPr>
              <w:ind w:left="2780"/>
              <w:spacing w:after="0"/>
              <w:rPr>
                <w:sz w:val="20"/>
                <w:szCs w:val="20"/>
                <w:color w:val="auto"/>
              </w:rPr>
            </w:pPr>
            <w:r>
              <w:rPr>
                <w:rFonts w:ascii="Courier New" w:cs="Courier New" w:eastAsia="Courier New" w:hAnsi="Courier New"/>
                <w:sz w:val="17"/>
                <w:szCs w:val="17"/>
                <w:color w:val="auto"/>
              </w:rPr>
              <w:t>SUMMARY COMPENSATION TABLE</w:t>
            </w: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792"/>
        </w:trPr>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40" w:type="dxa"/>
            <w:vAlign w:val="bottom"/>
            <w:gridSpan w:val="2"/>
          </w:tcPr>
          <w:p>
            <w:pPr>
              <w:jc w:val="right"/>
              <w:ind w:right="514"/>
              <w:spacing w:after="0"/>
              <w:rPr>
                <w:sz w:val="20"/>
                <w:szCs w:val="20"/>
                <w:color w:val="auto"/>
              </w:rPr>
            </w:pPr>
            <w:r>
              <w:rPr>
                <w:rFonts w:ascii="Courier New" w:cs="Courier New" w:eastAsia="Courier New" w:hAnsi="Courier New"/>
                <w:sz w:val="17"/>
                <w:szCs w:val="17"/>
                <w:color w:val="auto"/>
              </w:rPr>
              <w:t>ANNUAL COMPENSATION(1)</w:t>
            </w:r>
          </w:p>
        </w:tc>
        <w:tc>
          <w:tcPr>
            <w:tcW w:w="3700" w:type="dxa"/>
            <w:vAlign w:val="bottom"/>
            <w:gridSpan w:val="2"/>
          </w:tcPr>
          <w:p>
            <w:pPr>
              <w:jc w:val="right"/>
              <w:ind w:right="714"/>
              <w:spacing w:after="0"/>
              <w:rPr>
                <w:sz w:val="20"/>
                <w:szCs w:val="20"/>
                <w:color w:val="auto"/>
              </w:rPr>
            </w:pPr>
            <w:r>
              <w:rPr>
                <w:rFonts w:ascii="Courier New" w:cs="Courier New" w:eastAsia="Courier New" w:hAnsi="Courier New"/>
                <w:sz w:val="17"/>
                <w:szCs w:val="17"/>
                <w:color w:val="auto"/>
              </w:rPr>
              <w:t>LONG-TERM COMPENSATION</w:t>
            </w:r>
          </w:p>
        </w:tc>
      </w:tr>
      <w:tr>
        <w:trPr>
          <w:trHeight w:val="198"/>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40" w:type="dxa"/>
            <w:vAlign w:val="bottom"/>
            <w:gridSpan w:val="2"/>
          </w:tcPr>
          <w:p>
            <w:pPr>
              <w:jc w:val="right"/>
              <w:ind w:right="514"/>
              <w:spacing w:after="0"/>
              <w:rPr>
                <w:sz w:val="20"/>
                <w:szCs w:val="20"/>
                <w:color w:val="auto"/>
              </w:rPr>
            </w:pPr>
            <w:r>
              <w:rPr>
                <w:rFonts w:ascii="Courier New" w:cs="Courier New" w:eastAsia="Courier New" w:hAnsi="Courier New"/>
                <w:sz w:val="17"/>
                <w:szCs w:val="17"/>
                <w:color w:val="auto"/>
              </w:rPr>
              <w:t>----------------------</w:t>
            </w:r>
          </w:p>
        </w:tc>
        <w:tc>
          <w:tcPr>
            <w:tcW w:w="3700" w:type="dxa"/>
            <w:vAlign w:val="bottom"/>
            <w:gridSpan w:val="2"/>
          </w:tcPr>
          <w:p>
            <w:pPr>
              <w:jc w:val="right"/>
              <w:ind w:right="714"/>
              <w:spacing w:after="0"/>
              <w:rPr>
                <w:sz w:val="20"/>
                <w:szCs w:val="20"/>
                <w:color w:val="auto"/>
              </w:rPr>
            </w:pPr>
            <w:r>
              <w:rPr>
                <w:rFonts w:ascii="Courier New" w:cs="Courier New" w:eastAsia="Courier New" w:hAnsi="Courier New"/>
                <w:sz w:val="17"/>
                <w:szCs w:val="17"/>
                <w:color w:val="auto"/>
              </w:rPr>
              <w:t>----------------------</w:t>
            </w:r>
          </w:p>
        </w:tc>
      </w:tr>
      <w:tr>
        <w:trPr>
          <w:trHeight w:val="198"/>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40" w:type="dxa"/>
            <w:vAlign w:val="bottom"/>
          </w:tcPr>
          <w:p>
            <w:pPr>
              <w:jc w:val="right"/>
              <w:ind w:right="614"/>
              <w:spacing w:after="0"/>
              <w:rPr>
                <w:sz w:val="20"/>
                <w:szCs w:val="20"/>
                <w:color w:val="auto"/>
              </w:rPr>
            </w:pPr>
            <w:r>
              <w:rPr>
                <w:rFonts w:ascii="Courier New" w:cs="Courier New" w:eastAsia="Courier New" w:hAnsi="Courier New"/>
                <w:sz w:val="17"/>
                <w:szCs w:val="17"/>
                <w:color w:val="auto"/>
              </w:rPr>
              <w:t>ALL OTHER</w:t>
            </w: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NAME AND PRINCIPAL POSITION</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YEAR</w:t>
            </w:r>
          </w:p>
        </w:tc>
        <w:tc>
          <w:tcPr>
            <w:tcW w:w="15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SALARY ($)</w:t>
            </w:r>
          </w:p>
        </w:tc>
        <w:tc>
          <w:tcPr>
            <w:tcW w:w="16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BONUS ($)(2)</w:t>
            </w:r>
          </w:p>
        </w:tc>
        <w:tc>
          <w:tcPr>
            <w:tcW w:w="14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OPTIONS(3)</w:t>
            </w:r>
          </w:p>
        </w:tc>
        <w:tc>
          <w:tcPr>
            <w:tcW w:w="2240" w:type="dxa"/>
            <w:vAlign w:val="bottom"/>
          </w:tcPr>
          <w:p>
            <w:pPr>
              <w:jc w:val="right"/>
              <w:ind w:right="94"/>
              <w:spacing w:after="0"/>
              <w:rPr>
                <w:sz w:val="20"/>
                <w:szCs w:val="20"/>
                <w:color w:val="auto"/>
              </w:rPr>
            </w:pPr>
            <w:r>
              <w:rPr>
                <w:rFonts w:ascii="Courier New" w:cs="Courier New" w:eastAsia="Courier New" w:hAnsi="Courier New"/>
                <w:sz w:val="17"/>
                <w:szCs w:val="17"/>
                <w:color w:val="auto"/>
              </w:rPr>
              <w:t>COMPENSATION ($)(4)</w:t>
            </w: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2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346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219,618</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252,169</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16,760</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Chairman and</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206,731</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53,409</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16,702</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 Officer</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200,000</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130,000</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25,000</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16,645</w:t>
            </w:r>
          </w:p>
        </w:tc>
      </w:tr>
      <w:tr>
        <w:trPr>
          <w:trHeight w:val="396"/>
        </w:trPr>
        <w:tc>
          <w:tcPr>
            <w:tcW w:w="346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168,846</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196,900</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18,000</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President and Chief</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139,808</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3,960</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Operating Officer</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130,000</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10,000</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3,960</w:t>
            </w:r>
          </w:p>
        </w:tc>
      </w:tr>
      <w:tr>
        <w:trPr>
          <w:trHeight w:val="396"/>
        </w:trPr>
        <w:tc>
          <w:tcPr>
            <w:tcW w:w="346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142,692</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138,754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15,064</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Controller and</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136,731</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15,064</w:t>
            </w:r>
          </w:p>
        </w:tc>
      </w:tr>
      <w:tr>
        <w:trPr>
          <w:trHeight w:val="198"/>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Chief Financial Officer</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130,000</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10,000</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15,064</w:t>
            </w:r>
          </w:p>
        </w:tc>
      </w:tr>
      <w:tr>
        <w:trPr>
          <w:trHeight w:val="396"/>
        </w:trPr>
        <w:tc>
          <w:tcPr>
            <w:tcW w:w="346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142,692</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123,754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18,830</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General</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136,731</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18,830</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Counsel and Secetary</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130,000</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10,000</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18,830</w:t>
            </w:r>
          </w:p>
        </w:tc>
      </w:tr>
      <w:tr>
        <w:trPr>
          <w:trHeight w:val="396"/>
        </w:trPr>
        <w:tc>
          <w:tcPr>
            <w:tcW w:w="3460" w:type="dxa"/>
            <w:vAlign w:val="bottom"/>
          </w:tcPr>
          <w:p>
            <w:pPr>
              <w:spacing w:after="0"/>
              <w:rPr>
                <w:sz w:val="20"/>
                <w:szCs w:val="20"/>
                <w:color w:val="auto"/>
              </w:rPr>
            </w:pPr>
            <w:r>
              <w:rPr>
                <w:rFonts w:ascii="Courier New" w:cs="Courier New" w:eastAsia="Courier New" w:hAnsi="Courier New"/>
                <w:sz w:val="17"/>
                <w:szCs w:val="17"/>
                <w:color w:val="auto"/>
              </w:rPr>
              <w:t>James P. Jaskoviak</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142,692</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123,754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11,000</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136,731</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1,484</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Sales and Marketing</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1994(5)</w:t>
            </w:r>
          </w:p>
        </w:tc>
        <w:tc>
          <w:tcPr>
            <w:tcW w:w="15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92,070</w:t>
            </w:r>
          </w:p>
        </w:tc>
        <w:tc>
          <w:tcPr>
            <w:tcW w:w="16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35,553</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ind w:left="620" w:right="3280" w:hanging="614"/>
        <w:spacing w:after="0" w:line="247" w:lineRule="auto"/>
        <w:tabs>
          <w:tab w:leader="none" w:pos="6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executive officer received personal benefits in excess of the lesser of 10% of cash compensation or $50,000.</w:t>
      </w:r>
    </w:p>
    <w:p>
      <w:pPr>
        <w:spacing w:after="0" w:line="197" w:lineRule="exact"/>
        <w:rPr>
          <w:rFonts w:ascii="Courier New" w:cs="Courier New" w:eastAsia="Courier New" w:hAnsi="Courier New"/>
          <w:sz w:val="17"/>
          <w:szCs w:val="17"/>
          <w:color w:val="auto"/>
        </w:rPr>
      </w:pPr>
    </w:p>
    <w:p>
      <w:pPr>
        <w:ind w:left="620" w:right="3380" w:hanging="614"/>
        <w:spacing w:after="0" w:line="246" w:lineRule="auto"/>
        <w:tabs>
          <w:tab w:leader="none" w:pos="6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bonus amounts include bonuses paid pursuant to the Company's Officer Incentive Compensation Plan as well as bonuses paid in the discretion of the Board of Directors, all as described under the caption "Report of the Human Resources Committee on Executive Compensation."</w:t>
      </w:r>
    </w:p>
    <w:p>
      <w:pPr>
        <w:sectPr>
          <w:pgSz w:w="11900" w:h="16838" w:orient="portrait"/>
          <w:cols w:equalWidth="0" w:num="1">
            <w:col w:w="11520"/>
          </w:cols>
          <w:pgMar w:left="240" w:top="142" w:right="139" w:bottom="0" w:gutter="0" w:footer="0" w:header="0"/>
        </w:sectPr>
      </w:pPr>
    </w:p>
    <w:bookmarkStart w:id="4" w:name="page5"/>
    <w:bookmarkEnd w:id="4"/>
    <w:p>
      <w:pPr>
        <w:ind w:left="620" w:right="2279" w:hanging="614"/>
        <w:spacing w:after="0" w:line="246" w:lineRule="auto"/>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numbers in the table above represent options for the purchase of shares of the Company's Common Stock granted to the named persons under the Company's 1987 Nonqualified Stock Option Plan.</w:t>
      </w:r>
    </w:p>
    <w:p>
      <w:pPr>
        <w:spacing w:after="0" w:line="199"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of All Other Compensation are premiums paid by the Company pursuant to the Company's Executive Split-Dollar Life Insurance Plan. The Plan provides for preretirement death benefits for the named executives and certain other executive officers and annual or a lump sum payment upon retirement at age 65.</w:t>
      </w:r>
    </w:p>
    <w:p>
      <w:pPr>
        <w:spacing w:after="0" w:line="200"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Elected Vice President, Sales and Marketing on March 23, 1994.</w:t>
      </w:r>
    </w:p>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STOCK OPTIONS</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None of the named executive officers received any stock options in fiscal 1996.</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AGGREGATED FISCAL YEAR-END OPTION VALUES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following table provides information related to the number and value of options held at August 31, 1996 by the named executive officers. Since no options were exercised by the above-named executives in fiscal 1996, no shares were acquired or value realized upon the exercise of options by such persons in the last fiscal year.</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20" w:type="dxa"/>
            <w:vAlign w:val="bottom"/>
          </w:tcPr>
          <w:p>
            <w:pPr>
              <w:spacing w:after="0"/>
              <w:rPr>
                <w:sz w:val="16"/>
                <w:szCs w:val="16"/>
                <w:color w:val="auto"/>
              </w:rPr>
            </w:pPr>
          </w:p>
        </w:tc>
        <w:tc>
          <w:tcPr>
            <w:tcW w:w="3600" w:type="dxa"/>
            <w:vAlign w:val="bottom"/>
            <w:gridSpan w:val="2"/>
          </w:tcPr>
          <w:p>
            <w:pPr>
              <w:jc w:val="center"/>
              <w:ind w:right="34"/>
              <w:spacing w:after="0"/>
              <w:rPr>
                <w:sz w:val="20"/>
                <w:szCs w:val="20"/>
                <w:color w:val="auto"/>
              </w:rPr>
            </w:pPr>
            <w:r>
              <w:rPr>
                <w:rFonts w:ascii="Courier New" w:cs="Courier New" w:eastAsia="Courier New" w:hAnsi="Courier New"/>
                <w:sz w:val="17"/>
                <w:szCs w:val="17"/>
                <w:color w:val="auto"/>
              </w:rPr>
              <w:t>NUMBER OF UNEXERCISED</w:t>
            </w:r>
          </w:p>
        </w:tc>
        <w:tc>
          <w:tcPr>
            <w:tcW w:w="334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VALUE OF UNEXERCISED,</w:t>
            </w:r>
          </w:p>
        </w:tc>
      </w:tr>
      <w:tr>
        <w:trPr>
          <w:trHeight w:val="198"/>
        </w:trPr>
        <w:tc>
          <w:tcPr>
            <w:tcW w:w="2120" w:type="dxa"/>
            <w:vAlign w:val="bottom"/>
          </w:tcPr>
          <w:p>
            <w:pPr>
              <w:spacing w:after="0"/>
              <w:rPr>
                <w:sz w:val="17"/>
                <w:szCs w:val="17"/>
                <w:color w:val="auto"/>
              </w:rPr>
            </w:pPr>
          </w:p>
        </w:tc>
        <w:tc>
          <w:tcPr>
            <w:tcW w:w="3600" w:type="dxa"/>
            <w:vAlign w:val="bottom"/>
            <w:gridSpan w:val="2"/>
          </w:tcPr>
          <w:p>
            <w:pPr>
              <w:jc w:val="center"/>
              <w:ind w:right="14"/>
              <w:spacing w:after="0"/>
              <w:rPr>
                <w:sz w:val="20"/>
                <w:szCs w:val="20"/>
                <w:color w:val="auto"/>
              </w:rPr>
            </w:pPr>
            <w:r>
              <w:rPr>
                <w:rFonts w:ascii="Courier New" w:cs="Courier New" w:eastAsia="Courier New" w:hAnsi="Courier New"/>
                <w:sz w:val="17"/>
                <w:szCs w:val="17"/>
                <w:color w:val="auto"/>
              </w:rPr>
              <w:t>OPTIONS HELD AT</w:t>
            </w:r>
          </w:p>
        </w:tc>
        <w:tc>
          <w:tcPr>
            <w:tcW w:w="334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IN-THE-MONEY OPTIONS AT</w:t>
            </w:r>
          </w:p>
        </w:tc>
      </w:tr>
      <w:tr>
        <w:trPr>
          <w:trHeight w:val="198"/>
        </w:trPr>
        <w:tc>
          <w:tcPr>
            <w:tcW w:w="2120" w:type="dxa"/>
            <w:vAlign w:val="bottom"/>
          </w:tcPr>
          <w:p>
            <w:pPr>
              <w:spacing w:after="0"/>
              <w:rPr>
                <w:sz w:val="17"/>
                <w:szCs w:val="17"/>
                <w:color w:val="auto"/>
              </w:rPr>
            </w:pPr>
          </w:p>
        </w:tc>
        <w:tc>
          <w:tcPr>
            <w:tcW w:w="3600" w:type="dxa"/>
            <w:vAlign w:val="bottom"/>
            <w:gridSpan w:val="2"/>
          </w:tcPr>
          <w:p>
            <w:pPr>
              <w:jc w:val="center"/>
              <w:ind w:right="14"/>
              <w:spacing w:after="0"/>
              <w:rPr>
                <w:sz w:val="20"/>
                <w:szCs w:val="20"/>
                <w:color w:val="auto"/>
              </w:rPr>
            </w:pPr>
            <w:r>
              <w:rPr>
                <w:rFonts w:ascii="Courier New" w:cs="Courier New" w:eastAsia="Courier New" w:hAnsi="Courier New"/>
                <w:sz w:val="17"/>
                <w:szCs w:val="17"/>
                <w:color w:val="auto"/>
              </w:rPr>
              <w:t>AUGUST 26, 1996</w:t>
            </w:r>
          </w:p>
        </w:tc>
        <w:tc>
          <w:tcPr>
            <w:tcW w:w="334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AUGUST 26, 1996*</w:t>
            </w:r>
          </w:p>
        </w:tc>
      </w:tr>
      <w:tr>
        <w:trPr>
          <w:trHeight w:val="198"/>
        </w:trPr>
        <w:tc>
          <w:tcPr>
            <w:tcW w:w="2120" w:type="dxa"/>
            <w:vAlign w:val="bottom"/>
          </w:tcPr>
          <w:p>
            <w:pPr>
              <w:spacing w:after="0"/>
              <w:rPr>
                <w:sz w:val="17"/>
                <w:szCs w:val="17"/>
                <w:color w:val="auto"/>
              </w:rPr>
            </w:pPr>
          </w:p>
        </w:tc>
        <w:tc>
          <w:tcPr>
            <w:tcW w:w="3600" w:type="dxa"/>
            <w:vAlign w:val="bottom"/>
            <w:gridSpan w:val="2"/>
          </w:tcPr>
          <w:p>
            <w:pPr>
              <w:jc w:val="center"/>
              <w:ind w:right="34"/>
              <w:spacing w:after="0"/>
              <w:rPr>
                <w:sz w:val="20"/>
                <w:szCs w:val="20"/>
                <w:color w:val="auto"/>
              </w:rPr>
            </w:pPr>
            <w:r>
              <w:rPr>
                <w:rFonts w:ascii="Courier New" w:cs="Courier New" w:eastAsia="Courier New" w:hAnsi="Courier New"/>
                <w:sz w:val="17"/>
                <w:szCs w:val="17"/>
                <w:color w:val="auto"/>
              </w:rPr>
              <w:t>---------------------</w:t>
            </w:r>
          </w:p>
        </w:tc>
        <w:tc>
          <w:tcPr>
            <w:tcW w:w="334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7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EXERCISABLE</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rPr>
              <w:t>UNEXERCISABLE</w:t>
            </w:r>
          </w:p>
        </w:tc>
        <w:tc>
          <w:tcPr>
            <w:tcW w:w="16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EXERCISABLE</w:t>
            </w:r>
          </w:p>
        </w:tc>
        <w:tc>
          <w:tcPr>
            <w:tcW w:w="17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UNEXERCISABLE</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12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1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83,000</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0</w:t>
            </w:r>
          </w:p>
        </w:tc>
        <w:tc>
          <w:tcPr>
            <w:tcW w:w="16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$199,750</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$0</w:t>
            </w:r>
          </w:p>
        </w:tc>
      </w:tr>
      <w:tr>
        <w:trPr>
          <w:trHeight w:val="396"/>
        </w:trPr>
        <w:tc>
          <w:tcPr>
            <w:tcW w:w="212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1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46,000</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0</w:t>
            </w:r>
          </w:p>
        </w:tc>
        <w:tc>
          <w:tcPr>
            <w:tcW w:w="16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115,875</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0</w:t>
            </w:r>
          </w:p>
        </w:tc>
      </w:tr>
      <w:tr>
        <w:trPr>
          <w:trHeight w:val="396"/>
        </w:trPr>
        <w:tc>
          <w:tcPr>
            <w:tcW w:w="212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1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61,000</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0</w:t>
            </w:r>
          </w:p>
        </w:tc>
        <w:tc>
          <w:tcPr>
            <w:tcW w:w="16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142,563</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0</w:t>
            </w:r>
          </w:p>
        </w:tc>
      </w:tr>
      <w:tr>
        <w:trPr>
          <w:trHeight w:val="396"/>
        </w:trPr>
        <w:tc>
          <w:tcPr>
            <w:tcW w:w="212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1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61,000</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0</w:t>
            </w:r>
          </w:p>
        </w:tc>
        <w:tc>
          <w:tcPr>
            <w:tcW w:w="16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142,563</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0</w:t>
            </w:r>
          </w:p>
        </w:tc>
      </w:tr>
      <w:tr>
        <w:trPr>
          <w:trHeight w:val="396"/>
        </w:trPr>
        <w:tc>
          <w:tcPr>
            <w:tcW w:w="2120" w:type="dxa"/>
            <w:vAlign w:val="bottom"/>
          </w:tcPr>
          <w:p>
            <w:pPr>
              <w:spacing w:after="0"/>
              <w:rPr>
                <w:sz w:val="20"/>
                <w:szCs w:val="20"/>
                <w:color w:val="auto"/>
              </w:rPr>
            </w:pPr>
            <w:r>
              <w:rPr>
                <w:rFonts w:ascii="Courier New" w:cs="Courier New" w:eastAsia="Courier New" w:hAnsi="Courier New"/>
                <w:sz w:val="17"/>
                <w:szCs w:val="17"/>
                <w:color w:val="auto"/>
              </w:rPr>
              <w:t>James P. Jaskoviak</w:t>
            </w:r>
          </w:p>
        </w:tc>
        <w:tc>
          <w:tcPr>
            <w:tcW w:w="1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1,000</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0</w:t>
            </w:r>
          </w:p>
        </w:tc>
        <w:tc>
          <w:tcPr>
            <w:tcW w:w="16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2,438</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0</w:t>
            </w:r>
          </w:p>
        </w:tc>
      </w:tr>
      <w:tr>
        <w:trPr>
          <w:trHeight w:val="396"/>
        </w:trPr>
        <w:tc>
          <w:tcPr>
            <w:tcW w:w="2120" w:type="dxa"/>
            <w:vAlign w:val="bottom"/>
          </w:tcPr>
          <w:p>
            <w:pPr>
              <w:spacing w:after="0"/>
              <w:rPr>
                <w:sz w:val="20"/>
                <w:szCs w:val="20"/>
                <w:color w:val="auto"/>
              </w:rPr>
            </w:pPr>
            <w:r>
              <w:rPr>
                <w:rFonts w:ascii="Courier New" w:cs="Courier New" w:eastAsia="Courier New" w:hAnsi="Courier New"/>
                <w:sz w:val="17"/>
                <w:szCs w:val="17"/>
                <w:color w:val="auto"/>
              </w:rPr>
              <w:t>John K. Hanson</w:t>
            </w:r>
          </w:p>
        </w:tc>
        <w:tc>
          <w:tcPr>
            <w:tcW w:w="1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0</w:t>
            </w:r>
          </w:p>
        </w:tc>
        <w:tc>
          <w:tcPr>
            <w:tcW w:w="186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0</w:t>
            </w:r>
          </w:p>
        </w:tc>
        <w:tc>
          <w:tcPr>
            <w:tcW w:w="16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399" w:lineRule="exact"/>
        <w:rPr>
          <w:sz w:val="20"/>
          <w:szCs w:val="20"/>
          <w:color w:val="auto"/>
        </w:rPr>
      </w:pPr>
    </w:p>
    <w:p>
      <w:pPr>
        <w:ind w:left="220" w:right="2279" w:hanging="214"/>
        <w:spacing w:after="0" w:line="246" w:lineRule="auto"/>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aggregate exercise price and $8.125 (the closing price of the Company's Common Stock on August 30, 1995 (August 31, 1996 being a non-business day)).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5"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The Company does not provide pension benefits for its employees, including executive officers.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HUMAN RESOURCES COMMITTEE ON EXECUTIVE COMPENSATION</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AND THE PERFORMANCE GRAPH WHICH FOLLOWS SHALL NOT BE DEEMED TO BE INCORPORATED BY REFERENCE INTO ANY SUCH FILINGS.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designing its compensation programs, the Company follows its belief that compensation should reflect the value created for shareholders while furthering the Company's strategic goals. In doing so, the compensation programs reflect the following goals: the compensation programs reflect the following goals:</w:t>
      </w:r>
    </w:p>
    <w:p>
      <w:pPr>
        <w:spacing w:after="0" w:line="200" w:lineRule="exact"/>
        <w:rPr>
          <w:sz w:val="20"/>
          <w:szCs w:val="20"/>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Align the interests of management with those of shareholders;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fair and competitive compensation;</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Integrate compensation with the Company's business plans;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Reward both business and individual performance; and</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Attractand retain key executives critical to the success of the Company.</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Company's executive compensation is primarily based on three components, each of which is intended to help achieve the overall compensation philosophy; these are base salary, quarterly incentive awards and long-term</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incentives.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in its peer group in the recreation vehicle industry as well as individual performance and contributions.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base salary of the CEO was $219,618 in fiscal 1996 and $206,730 in fiscal 1995.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Company's officers (including the CEO) and other key management personnel are eligible for quarterly incentive awards. These awards are based upon the Company's attainment of a predetermined profit goal for each fiscal quarter. The profit goals are recommended by management and approved by the Board of Directors each year at the beginning of the fiscal year. The Committee believes that this program provides an excellent link between the value created for shareholders and the incentives paid to the participants. Incentive award levels are established for each class of participant and are correlated to the profit goal. The profit goal, for purposes of this plan, is based upon certain specified operations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achieved for each quarter in relation to the profit goal that was set. If the operating profit achieved is less than 80 percent of the goal set, no bonus is paid and the maximum bonus paid is paid at 120 percent of the profit goal. The maximum bonus payable under this plan during fiscal 1996 was 70 percent and during fiscal 1995, it was 52 1/2 percent of an officer's base salary.</w:t>
      </w:r>
    </w:p>
    <w:p>
      <w:pPr>
        <w:spacing w:after="0" w:line="21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Aggregate incentive awards under the plan in fiscal 1996 were 69 percent of base salary for the officers participating in the program. The CEO received $152,169 and $53,409 in fiscal 1996 and 1995, respectively, pursuant to this program. In addition, for fiscal 1996, the CEO was awarded a discretionary bonus of $100,000 based on the Committee's positive assessment of his performance and contributions as CEO.</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during the first year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There were no stock options awarded during fiscal 1996 or fiscal 1995.</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Since all options are granted at the 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202"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No member of the Human Resources Committee is a current or former officer or employee of the Company or any of its subsidiaries.</w:t>
      </w:r>
    </w:p>
    <w:p>
      <w:pPr>
        <w:spacing w:after="0" w:line="198" w:lineRule="exact"/>
        <w:rPr>
          <w:sz w:val="20"/>
          <w:szCs w:val="20"/>
          <w:color w:val="auto"/>
        </w:rPr>
      </w:pPr>
    </w:p>
    <w:p>
      <w:pPr>
        <w:ind w:left="940"/>
        <w:spacing w:after="0"/>
        <w:tabs>
          <w:tab w:leader="none" w:pos="2860" w:val="left"/>
          <w:tab w:leader="none" w:pos="5440" w:val="left"/>
        </w:tabs>
        <w:rPr>
          <w:sz w:val="20"/>
          <w:szCs w:val="20"/>
          <w:color w:val="auto"/>
        </w:rPr>
      </w:pPr>
      <w:r>
        <w:rPr>
          <w:rFonts w:ascii="Courier New" w:cs="Courier New" w:eastAsia="Courier New" w:hAnsi="Courier New"/>
          <w:sz w:val="17"/>
          <w:szCs w:val="17"/>
          <w:color w:val="auto"/>
        </w:rPr>
        <w:t>Keith D. Elwick</w:t>
      </w:r>
      <w:r>
        <w:rPr>
          <w:sz w:val="20"/>
          <w:szCs w:val="20"/>
          <w:color w:val="auto"/>
        </w:rPr>
        <w:tab/>
      </w:r>
      <w:r>
        <w:rPr>
          <w:rFonts w:ascii="Courier New" w:cs="Courier New" w:eastAsia="Courier New" w:hAnsi="Courier New"/>
          <w:sz w:val="17"/>
          <w:szCs w:val="17"/>
          <w:color w:val="auto"/>
        </w:rPr>
        <w:t>Frederick M. Zimmerman</w:t>
        <w:tab/>
        <w:t>Donald W. Olson</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Members of the Human Resources Committee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of the Board of Directors</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PERFORMANCE GRAPH</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w:t>
      </w:r>
    </w:p>
    <w:p>
      <w:pPr>
        <w:spacing w:after="0" w:line="3" w:lineRule="exact"/>
        <w:rPr>
          <w:sz w:val="20"/>
          <w:szCs w:val="20"/>
          <w:color w:val="auto"/>
        </w:rPr>
      </w:pPr>
    </w:p>
    <w:p>
      <w:pPr>
        <w:ind w:right="1979" w:firstLine="6"/>
        <w:spacing w:after="0" w:line="246" w:lineRule="auto"/>
        <w:tabs>
          <w:tab w:leader="none" w:pos="20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Poor's 500 Index and in the stocks of the peer group companies on August 30, 1991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[GRAPH]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Cumulative Total Returns Since 8/30/91</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8/30/91</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8/28/92</w:t>
            </w:r>
          </w:p>
        </w:tc>
        <w:tc>
          <w:tcPr>
            <w:tcW w:w="12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8/27/93</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8/26/94</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8/25/95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8/30/96</w:t>
            </w:r>
          </w:p>
        </w:tc>
      </w:tr>
      <w:tr>
        <w:trPr>
          <w:trHeight w:val="198"/>
        </w:trPr>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Winnebago Industries Index</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$131.25</w:t>
            </w:r>
          </w:p>
        </w:tc>
        <w:tc>
          <w:tcPr>
            <w:tcW w:w="12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$221.88</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$275.00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$212.92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$216.96</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S&amp;P</w:t>
            </w:r>
          </w:p>
        </w:tc>
        <w:tc>
          <w:tcPr>
            <w:tcW w:w="2580" w:type="dxa"/>
            <w:vAlign w:val="bottom"/>
          </w:tcPr>
          <w:p>
            <w:pPr>
              <w:jc w:val="right"/>
              <w:ind w:right="2134"/>
              <w:spacing w:after="0"/>
              <w:rPr>
                <w:sz w:val="20"/>
                <w:szCs w:val="20"/>
                <w:color w:val="auto"/>
              </w:rPr>
            </w:pPr>
            <w:r>
              <w:rPr>
                <w:rFonts w:ascii="Courier New" w:cs="Courier New" w:eastAsia="Courier New" w:hAnsi="Courier New"/>
                <w:sz w:val="17"/>
                <w:szCs w:val="17"/>
                <w:color w:val="auto"/>
              </w:rPr>
              <w:t>500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105.23</w:t>
            </w:r>
          </w:p>
        </w:tc>
        <w:tc>
          <w:tcPr>
            <w:tcW w:w="12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159.55</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192.85</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154.14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219.98</w:t>
            </w:r>
          </w:p>
        </w:tc>
      </w:tr>
      <w:tr>
        <w:trPr>
          <w:trHeight w:val="198"/>
        </w:trPr>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Peer Index(1)</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107.93</w:t>
            </w:r>
          </w:p>
        </w:tc>
        <w:tc>
          <w:tcPr>
            <w:tcW w:w="12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124.33</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131.18</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159.29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189.07</w:t>
            </w:r>
          </w:p>
        </w:tc>
      </w:tr>
    </w:tbl>
    <w:p>
      <w:pPr>
        <w:spacing w:after="0" w:line="200" w:lineRule="exact"/>
        <w:rPr>
          <w:sz w:val="20"/>
          <w:szCs w:val="20"/>
          <w:color w:val="auto"/>
        </w:rPr>
      </w:pPr>
    </w:p>
    <w:p>
      <w:pPr>
        <w:spacing w:after="0" w:line="201" w:lineRule="exact"/>
        <w:rPr>
          <w:sz w:val="20"/>
          <w:szCs w:val="20"/>
          <w:color w:val="auto"/>
        </w:rPr>
      </w:pPr>
    </w:p>
    <w:p>
      <w:pPr>
        <w:ind w:left="620" w:right="2279" w:hanging="614"/>
        <w:spacing w:after="0" w:line="246"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peer group companies are Coachmen Industries, Inc., Fleetwood Enterprises, Inc., Thor Industries, Inc. and Winnebago Industries, Inc. The Company selected Coachmen Industries, Inc., Fleetwood Enterprises, Inc. and Thor Industries, Inc. on the basis of the similarity of their business to that of the Company.</w:t>
      </w: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CERTAIN TRANSACTIONS WITH MANAGEMENT</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Company maintains normal banking relations on customary terms with Manufacturers Bank &amp; Trust Company, Forest City and Crystal Lake, Iowa. Mrs. Luise V. Hanson is a director of the bank and owns approximately 99 percent (37 percent of record and beneficially and 63 percent beneficially, as executor of the Estate of John K. Hanson) of its outstanding stock. Mr. John V. Hanson is also a director of the bank.</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Company currently owns 80 percent and Mrs. Luise V. Hanson currently owns an aggregate of 20 percent of the outstanding common stock of Cycle-Sat, Inc. ("Cycle-Sat"), an Iowa corporation, engaged in the distribution of television and radio commercials using satellite, fiber-optic, and digital technologies.</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At August 31, 1996, the Company was leasing certain facilities, capital equipment and other items which were acquired by the Company at an approximate aggregate cost of $1,009,000 to Cycle-Sat under leases with various expiration dates. Aggregate rentals received by the Company on such leases in fiscal 1996 were $102,000. The Company has also guaranteed Cycle-Sat's obligations under certain leases which expire on various dates between 1997 and 2006 and under which remaining lease payments aggregate approximately $3,493,000. The Company has also guaranteed Cycle-Sat's obligations under a working capital line of credit agreement. At August 31, 1996 $4,215,000 was outstanding under such agreement. In fiscal 1996, the Company entered into a loan agreement with Cycle-Sat pursuant to which the Company agreed to make loans to Cycle-Sat on a revolving basis up to an aggregate principal amount outstanding at any one time of $5,000,000. At August 31, 1996, $1,980,000 was outstanding under such loan agreement.</w:t>
      </w:r>
    </w:p>
    <w:p>
      <w:pPr>
        <w:spacing w:after="0" w:line="206"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16(a) of the Securities Exchange Act of 1934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1996, all the Reporting Persons complied with all applicable filing requirements.</w:t>
      </w:r>
    </w:p>
    <w:p>
      <w:pPr>
        <w:spacing w:after="0" w:line="204"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SHAREHOLDER PROPOSALS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Proposals of shareholders to be included in the Company's Proxy Statement for the December 1997 Annual Meeting of Shareholders must be received by the Company at its executive offices no later than July 22, 1997.</w:t>
      </w:r>
    </w:p>
    <w:p>
      <w:pPr>
        <w:spacing w:after="0" w:line="200"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Deloitte &amp; Touche LLP has been selected as the Company's accountants for the current fiscal year upon the recommendation of the Audit Committee. Deloitte</w:t>
      </w:r>
    </w:p>
    <w:p>
      <w:pPr>
        <w:spacing w:after="0" w:line="1" w:lineRule="exact"/>
        <w:rPr>
          <w:sz w:val="20"/>
          <w:szCs w:val="20"/>
          <w:color w:val="auto"/>
        </w:rPr>
      </w:pPr>
    </w:p>
    <w:p>
      <w:pPr>
        <w:ind w:right="2279" w:firstLine="6"/>
        <w:spacing w:after="0" w:line="246" w:lineRule="auto"/>
        <w:tabs>
          <w:tab w:leader="none" w:pos="20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Touche LLP have been the Company's accountants for eleven years. Representatives of that firm are expected to be present at the Annual Meeting with the opportunity to make a statement if they desire to do so and to be available to respond to appropriate questions.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proxy material to the beneficial owners of such shares.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 copy of the Company's Annual Report for the fiscal year ended August 31, 1996, which includes audited financial statements, has previously been mailed to you.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of the date of the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Raymond M. Beebe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RAYMOND M. BEEBE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18, 1996</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[LOGO]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WINNEBAGO</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INDUSTRIES,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FOREST CITY, IOWA 50436</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NOTICE OF</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ANNUAL MEETING</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OF SHAREHOLDERS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AND PROXY STATEMENT</w:t>
      </w:r>
    </w:p>
    <w:p>
      <w:pPr>
        <w:spacing w:after="0" w:line="203" w:lineRule="exact"/>
        <w:rPr>
          <w:sz w:val="20"/>
          <w:szCs w:val="20"/>
          <w:color w:val="auto"/>
        </w:rPr>
      </w:pPr>
    </w:p>
    <w:p>
      <w:pPr>
        <w:ind w:left="1540"/>
        <w:spacing w:after="0"/>
        <w:tabs>
          <w:tab w:leader="none" w:pos="4620" w:val="left"/>
        </w:tabs>
        <w:rPr>
          <w:sz w:val="20"/>
          <w:szCs w:val="20"/>
          <w:color w:val="auto"/>
        </w:rPr>
      </w:pPr>
      <w:r>
        <w:rPr>
          <w:rFonts w:ascii="Courier New" w:cs="Courier New" w:eastAsia="Courier New" w:hAnsi="Courier New"/>
          <w:sz w:val="17"/>
          <w:szCs w:val="17"/>
          <w:color w:val="auto"/>
        </w:rPr>
        <w:t>WINNEBAGO INDUSTRIES, INC. *</w:t>
        <w:tab/>
        <w:t>FOREST CITY, IOWA</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PROXY SOLICITED ON BEHALF OF THE BOARD OF DIRECTORS OF THE COMPANY</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FOR ANNUAL MEETING ON DECEMBER 18, 1996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undersigned hereby appoints Gerald E. Boman and Fred G. Dohrmann,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18th day of December, 1996, at 7:30 p.m., Central Standard Time, and at any and all adjournments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DIRECTORS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FRED G. DOHRMANN, GERALD E. BOMAN, JERRY N. CURRIE, JOHN V. HANSON,</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GERALD C. KITCH, JOSEPH M. SHUSTER, FREDERICK M. ZIMMERMAN,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FRANCIS L. ZROSTLIK.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FOR all nominees listed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WITHHOLD AUTHORITY to vote for all nominees listed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FOR all nominees listed above except________________________________________</w:t>
      </w:r>
    </w:p>
    <w:p>
      <w:pPr>
        <w:spacing w:after="0" w:line="203" w:lineRule="exact"/>
        <w:rPr>
          <w:sz w:val="20"/>
          <w:szCs w:val="20"/>
          <w:color w:val="auto"/>
        </w:rPr>
      </w:pPr>
    </w:p>
    <w:p>
      <w:pPr>
        <w:ind w:right="2399" w:firstLine="6"/>
        <w:spacing w:after="0" w:line="246" w:lineRule="auto"/>
        <w:tabs>
          <w:tab w:leader="none" w:pos="309"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SUCH OTHER MATTERS AS MAY PROPERLY COME BEFORE THE MEETING.</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and to be signed and dated, on the other side)</w:t>
      </w:r>
    </w:p>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(continued from the other side)</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GIVEN, THIS PROXY WILL BE VOTED FOR THE ELECTION OF THE NOMINEES LISTED IN ITEM 1, AND IN THE DISCRETION OF THE PROXY HOLDERS ON ALL OTHER MATTERS.</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Please sign exactly as name appears below. When shares are held by joint tenants, both should sign. When signing as administrator, attorney, executor, guardian or trustee, please give full title as such. If a corporation, authorized officer please sign full corporate name and indicate office held.</w:t>
      </w:r>
    </w:p>
    <w:p>
      <w:pPr>
        <w:spacing w:after="0" w:line="200"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Dated _____________________________________, 1996</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_________________________________________________</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_________________________________________________</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Signature if held jointly or office or title held</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PLEASE DATE, SIGN, AND MAIL THIS PROXY CARD IN THE ENCLOSED ENVELOPE. NO POSTAGE IS REQUIRED.</w:t>
      </w:r>
    </w:p>
    <w:sectPr>
      <w:pgSz w:w="11900" w:h="16838" w:orient="portrait"/>
      <w:cols w:equalWidth="0" w:num="1">
        <w:col w:w="10219"/>
      </w:cols>
      <w:pgMar w:left="240" w:top="142"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Roman"/>
      <w:start w:val="3"/>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amp;"/>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amp;"/>
      <w:numFmt w:val="bullet"/>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2019-12-13T08:34:06Z</dcterms:created>
  <dcterms:modified xsi:type="dcterms:W3CDTF">2019-12-13T08:34:06Z</dcterms:modified>
</cp:coreProperties>
</file>