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8755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875538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BOMAN GERALD E</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260" w:type="dxa"/>
            <w:vAlign w:val="bottom"/>
          </w:tcPr>
          <w:p>
            <w:pPr>
              <w:ind w:left="160"/>
              <w:spacing w:after="0"/>
              <w:rPr>
                <w:sz w:val="20"/>
                <w:szCs w:val="20"/>
                <w:color w:val="auto"/>
              </w:rPr>
            </w:pPr>
            <w:r>
              <w:rPr>
                <w:rFonts w:ascii="Arial" w:cs="Arial" w:eastAsia="Arial" w:hAnsi="Arial"/>
                <w:sz w:val="14"/>
                <w:szCs w:val="14"/>
                <w:color w:val="auto"/>
              </w:rPr>
              <w:t>(First)</w:t>
            </w:r>
          </w:p>
        </w:tc>
        <w:tc>
          <w:tcPr>
            <w:tcW w:w="142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0000FF"/>
              </w:rPr>
              <w:t>743 S.W. THORNHILL LANE</w:t>
            </w:r>
          </w:p>
        </w:tc>
        <w:tc>
          <w:tcPr>
            <w:tcW w:w="14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PALM CITY,</w:t>
            </w:r>
          </w:p>
        </w:tc>
        <w:tc>
          <w:tcPr>
            <w:tcW w:w="1260" w:type="dxa"/>
            <w:vAlign w:val="bottom"/>
          </w:tcPr>
          <w:p>
            <w:pPr>
              <w:ind w:left="160"/>
              <w:spacing w:after="0"/>
              <w:rPr>
                <w:sz w:val="20"/>
                <w:szCs w:val="20"/>
                <w:color w:val="auto"/>
              </w:rPr>
            </w:pPr>
            <w:r>
              <w:rPr>
                <w:rFonts w:ascii="Arial" w:cs="Arial" w:eastAsia="Arial" w:hAnsi="Arial"/>
                <w:sz w:val="18"/>
                <w:szCs w:val="18"/>
                <w:color w:val="0000FF"/>
              </w:rPr>
              <w:t>FL</w:t>
            </w:r>
          </w:p>
        </w:tc>
        <w:tc>
          <w:tcPr>
            <w:tcW w:w="1420" w:type="dxa"/>
            <w:vAlign w:val="bottom"/>
          </w:tcPr>
          <w:p>
            <w:pPr>
              <w:ind w:left="160"/>
              <w:spacing w:after="0"/>
              <w:rPr>
                <w:sz w:val="20"/>
                <w:szCs w:val="20"/>
                <w:color w:val="auto"/>
              </w:rPr>
            </w:pPr>
            <w:r>
              <w:rPr>
                <w:rFonts w:ascii="Arial" w:cs="Arial" w:eastAsia="Arial" w:hAnsi="Arial"/>
                <w:sz w:val="18"/>
                <w:szCs w:val="18"/>
                <w:color w:val="0000FF"/>
              </w:rPr>
              <w:t>34990</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160"/>
              <w:spacing w:after="0"/>
              <w:rPr>
                <w:sz w:val="20"/>
                <w:szCs w:val="20"/>
                <w:color w:val="auto"/>
              </w:rPr>
            </w:pPr>
            <w:r>
              <w:rPr>
                <w:rFonts w:ascii="Arial" w:cs="Arial" w:eastAsia="Arial" w:hAnsi="Arial"/>
                <w:sz w:val="14"/>
                <w:szCs w:val="14"/>
                <w:color w:val="auto"/>
              </w:rPr>
              <w:t>(State)</w:t>
            </w:r>
          </w:p>
        </w:tc>
        <w:tc>
          <w:tcPr>
            <w:tcW w:w="1420" w:type="dxa"/>
            <w:vAlign w:val="bottom"/>
          </w:tcPr>
          <w:p>
            <w:pPr>
              <w:ind w:left="1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40" w:type="dxa"/>
            <w:vAlign w:val="bottom"/>
            <w:gridSpan w:val="3"/>
            <w:vMerge w:val="restart"/>
          </w:tcPr>
          <w:p>
            <w:pPr>
              <w:ind w:left="80"/>
              <w:spacing w:after="0"/>
              <w:rPr>
                <w:sz w:val="20"/>
                <w:szCs w:val="20"/>
                <w:color w:val="auto"/>
              </w:rPr>
            </w:pPr>
            <w:r>
              <w:rPr>
                <w:rFonts w:ascii="Arial" w:cs="Arial" w:eastAsia="Arial" w:hAnsi="Arial"/>
                <w:sz w:val="18"/>
                <w:szCs w:val="18"/>
                <w:color w:val="0000FF"/>
              </w:rPr>
              <w:t>12/21/2004</w:t>
            </w: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40" w:type="dxa"/>
            <w:vAlign w:val="bottom"/>
            <w:gridSpan w:val="3"/>
            <w:vMerge w:val="continue"/>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22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80"/>
            <w:col w:w="752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5"/>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14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64"/>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restart"/>
          </w:tcPr>
          <w:p>
            <w:pPr>
              <w:jc w:val="right"/>
              <w:ind w:right="174"/>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8"/>
              </w:rPr>
              <w:t>Common Stock, $.50 par value</w:t>
            </w:r>
            <w:r>
              <w:rPr>
                <w:rFonts w:ascii="Arial" w:cs="Arial" w:eastAsia="Arial" w:hAnsi="Arial"/>
                <w:sz w:val="22"/>
                <w:szCs w:val="22"/>
                <w:color w:val="008000"/>
                <w:w w:val="98"/>
                <w:vertAlign w:val="superscript"/>
              </w:rPr>
              <w:t>(1)</w:t>
            </w: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12/21/2004</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24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w w:val="85"/>
              </w:rPr>
              <w:t>V</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8"/>
              </w:rPr>
              <w:t>2,218</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tcPr>
          <w:p>
            <w:pPr>
              <w:jc w:val="right"/>
              <w:ind w:right="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50,852</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I</w:t>
            </w:r>
          </w:p>
        </w:tc>
        <w:tc>
          <w:tcPr>
            <w:tcW w:w="8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By Trust</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8"/>
              </w:rPr>
              <w:t>Common Stock, $.50 par value</w:t>
            </w:r>
            <w:r>
              <w:rPr>
                <w:rFonts w:ascii="Arial" w:cs="Arial" w:eastAsia="Arial" w:hAnsi="Arial"/>
                <w:sz w:val="22"/>
                <w:szCs w:val="22"/>
                <w:color w:val="008000"/>
                <w:w w:val="98"/>
                <w:vertAlign w:val="superscript"/>
              </w:rPr>
              <w:t>(1)</w:t>
            </w: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52,426</w:t>
            </w:r>
          </w:p>
        </w:tc>
        <w:tc>
          <w:tcPr>
            <w:tcW w:w="32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By Wife's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8"/>
              </w:rPr>
              <w:t>Common Stock, $.50 par value</w:t>
            </w:r>
            <w:r>
              <w:rPr>
                <w:rFonts w:ascii="Arial" w:cs="Arial" w:eastAsia="Arial" w:hAnsi="Arial"/>
                <w:sz w:val="22"/>
                <w:szCs w:val="22"/>
                <w:color w:val="008000"/>
                <w:w w:val="98"/>
                <w:vertAlign w:val="superscript"/>
              </w:rPr>
              <w:t>(1)</w:t>
            </w: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2,003,012</w:t>
            </w:r>
          </w:p>
        </w:tc>
        <w:tc>
          <w:tcPr>
            <w:tcW w:w="32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940" w:type="dxa"/>
            <w:vAlign w:val="bottom"/>
            <w:gridSpan w:val="5"/>
          </w:tcPr>
          <w:p>
            <w:pPr>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5"/>
            <w:vMerge w:val="restart"/>
          </w:tcPr>
          <w:p>
            <w:pPr>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60" w:type="dxa"/>
            <w:vAlign w:val="bottom"/>
            <w:gridSpan w:val="11"/>
          </w:tcPr>
          <w:p>
            <w:pPr>
              <w:jc w:val="right"/>
              <w:ind w:right="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5"/>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4.2813</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0000FF"/>
              </w:rPr>
              <w:t>08/14/2007</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spacing w:after="0"/>
              <w:rPr>
                <w:sz w:val="20"/>
                <w:szCs w:val="20"/>
                <w:color w:val="auto"/>
              </w:rPr>
            </w:pPr>
            <w:r>
              <w:rPr>
                <w:rFonts w:ascii="Arial" w:cs="Arial" w:eastAsia="Arial" w:hAnsi="Arial"/>
                <w:sz w:val="18"/>
                <w:szCs w:val="18"/>
                <w:color w:val="0000FF"/>
                <w:w w:val="98"/>
              </w:rPr>
              <w:t>20,000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20,000</w:t>
            </w:r>
          </w:p>
        </w:tc>
        <w:tc>
          <w:tcPr>
            <w:tcW w:w="640" w:type="dxa"/>
            <w:vAlign w:val="bottom"/>
            <w:vMerge w:val="restart"/>
          </w:tcPr>
          <w:p>
            <w:pPr>
              <w:ind w:left="360"/>
              <w:spacing w:after="0"/>
              <w:rPr>
                <w:sz w:val="20"/>
                <w:szCs w:val="20"/>
                <w:color w:val="auto"/>
              </w:rPr>
            </w:pPr>
            <w:r>
              <w:rPr>
                <w:rFonts w:ascii="Arial" w:cs="Arial" w:eastAsia="Arial" w:hAnsi="Arial"/>
                <w:sz w:val="14"/>
                <w:szCs w:val="14"/>
                <w:color w:val="0000FF"/>
              </w:rPr>
              <w:t>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tcPr>
          <w:p>
            <w:pPr>
              <w:jc w:val="right"/>
              <w:ind w:right="174"/>
              <w:spacing w:after="0" w:line="146"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(3)</w:t>
            </w:r>
          </w:p>
        </w:tc>
        <w:tc>
          <w:tcPr>
            <w:tcW w:w="8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7.6875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0000FF"/>
              </w:rPr>
              <w:t>01/20/2009</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44"/>
              <w:spacing w:after="0"/>
              <w:rPr>
                <w:sz w:val="20"/>
                <w:szCs w:val="20"/>
                <w:color w:val="auto"/>
              </w:rPr>
            </w:pPr>
            <w:r>
              <w:rPr>
                <w:rFonts w:ascii="Arial" w:cs="Arial" w:eastAsia="Arial" w:hAnsi="Arial"/>
                <w:sz w:val="18"/>
                <w:szCs w:val="18"/>
                <w:color w:val="0000FF"/>
                <w:w w:val="93"/>
              </w:rPr>
              <w:t>4,000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4,000</w:t>
            </w:r>
          </w:p>
        </w:tc>
        <w:tc>
          <w:tcPr>
            <w:tcW w:w="640" w:type="dxa"/>
            <w:vAlign w:val="bottom"/>
            <w:vMerge w:val="restart"/>
          </w:tcPr>
          <w:p>
            <w:pPr>
              <w:ind w:left="360"/>
              <w:spacing w:after="0"/>
              <w:rPr>
                <w:sz w:val="20"/>
                <w:szCs w:val="20"/>
                <w:color w:val="auto"/>
              </w:rPr>
            </w:pPr>
            <w:r>
              <w:rPr>
                <w:rFonts w:ascii="Arial" w:cs="Arial" w:eastAsia="Arial" w:hAnsi="Arial"/>
                <w:sz w:val="14"/>
                <w:szCs w:val="14"/>
                <w:color w:val="0000FF"/>
              </w:rPr>
              <w:t>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tcPr>
          <w:p>
            <w:pPr>
              <w:jc w:val="right"/>
              <w:ind w:right="174"/>
              <w:spacing w:after="0" w:line="146"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(3)</w:t>
            </w:r>
          </w:p>
        </w:tc>
        <w:tc>
          <w:tcPr>
            <w:tcW w:w="8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9.8594</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0000FF"/>
              </w:rPr>
              <w:t>01/12/2010</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44"/>
              <w:spacing w:after="0"/>
              <w:rPr>
                <w:sz w:val="20"/>
                <w:szCs w:val="20"/>
                <w:color w:val="auto"/>
              </w:rPr>
            </w:pPr>
            <w:r>
              <w:rPr>
                <w:rFonts w:ascii="Arial" w:cs="Arial" w:eastAsia="Arial" w:hAnsi="Arial"/>
                <w:sz w:val="18"/>
                <w:szCs w:val="18"/>
                <w:color w:val="0000FF"/>
                <w:w w:val="93"/>
              </w:rPr>
              <w:t>4,000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4,000</w:t>
            </w:r>
          </w:p>
        </w:tc>
        <w:tc>
          <w:tcPr>
            <w:tcW w:w="640" w:type="dxa"/>
            <w:vAlign w:val="bottom"/>
            <w:vMerge w:val="restart"/>
          </w:tcPr>
          <w:p>
            <w:pPr>
              <w:ind w:left="360"/>
              <w:spacing w:after="0"/>
              <w:rPr>
                <w:sz w:val="20"/>
                <w:szCs w:val="20"/>
                <w:color w:val="auto"/>
              </w:rPr>
            </w:pPr>
            <w:r>
              <w:rPr>
                <w:rFonts w:ascii="Arial" w:cs="Arial" w:eastAsia="Arial" w:hAnsi="Arial"/>
                <w:sz w:val="14"/>
                <w:szCs w:val="14"/>
                <w:color w:val="0000FF"/>
              </w:rPr>
              <w:t>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tcPr>
          <w:p>
            <w:pPr>
              <w:jc w:val="right"/>
              <w:ind w:right="174"/>
              <w:spacing w:after="0" w:line="146"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(3)</w:t>
            </w:r>
          </w:p>
        </w:tc>
        <w:tc>
          <w:tcPr>
            <w:tcW w:w="8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0000FF"/>
              </w:rPr>
              <w:t>01/17/2011</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44"/>
              <w:spacing w:after="0"/>
              <w:rPr>
                <w:sz w:val="20"/>
                <w:szCs w:val="20"/>
                <w:color w:val="auto"/>
              </w:rPr>
            </w:pPr>
            <w:r>
              <w:rPr>
                <w:rFonts w:ascii="Arial" w:cs="Arial" w:eastAsia="Arial" w:hAnsi="Arial"/>
                <w:sz w:val="18"/>
                <w:szCs w:val="18"/>
                <w:color w:val="0000FF"/>
                <w:w w:val="93"/>
              </w:rPr>
              <w:t>4,000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4,000</w:t>
            </w:r>
          </w:p>
        </w:tc>
        <w:tc>
          <w:tcPr>
            <w:tcW w:w="640" w:type="dxa"/>
            <w:vAlign w:val="bottom"/>
            <w:vMerge w:val="restart"/>
          </w:tcPr>
          <w:p>
            <w:pPr>
              <w:ind w:left="360"/>
              <w:spacing w:after="0"/>
              <w:rPr>
                <w:sz w:val="20"/>
                <w:szCs w:val="20"/>
                <w:color w:val="auto"/>
              </w:rPr>
            </w:pPr>
            <w:r>
              <w:rPr>
                <w:rFonts w:ascii="Arial" w:cs="Arial" w:eastAsia="Arial" w:hAnsi="Arial"/>
                <w:sz w:val="14"/>
                <w:szCs w:val="14"/>
                <w:color w:val="0000FF"/>
              </w:rPr>
              <w:t>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tcPr>
          <w:p>
            <w:pPr>
              <w:jc w:val="right"/>
              <w:ind w:right="174"/>
              <w:spacing w:after="0" w:line="146"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(3)</w:t>
            </w:r>
          </w:p>
        </w:tc>
        <w:tc>
          <w:tcPr>
            <w:tcW w:w="8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19.7375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0000FF"/>
              </w:rPr>
              <w:t>01/16/2012</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44"/>
              <w:spacing w:after="0"/>
              <w:rPr>
                <w:sz w:val="20"/>
                <w:szCs w:val="20"/>
                <w:color w:val="auto"/>
              </w:rPr>
            </w:pPr>
            <w:r>
              <w:rPr>
                <w:rFonts w:ascii="Arial" w:cs="Arial" w:eastAsia="Arial" w:hAnsi="Arial"/>
                <w:sz w:val="18"/>
                <w:szCs w:val="18"/>
                <w:color w:val="0000FF"/>
                <w:w w:val="93"/>
              </w:rPr>
              <w:t>4,000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4,000</w:t>
            </w:r>
          </w:p>
        </w:tc>
        <w:tc>
          <w:tcPr>
            <w:tcW w:w="640" w:type="dxa"/>
            <w:vAlign w:val="bottom"/>
            <w:vMerge w:val="restart"/>
          </w:tcPr>
          <w:p>
            <w:pPr>
              <w:ind w:left="360"/>
              <w:spacing w:after="0"/>
              <w:rPr>
                <w:sz w:val="20"/>
                <w:szCs w:val="20"/>
                <w:color w:val="auto"/>
              </w:rPr>
            </w:pPr>
            <w:r>
              <w:rPr>
                <w:rFonts w:ascii="Arial" w:cs="Arial" w:eastAsia="Arial" w:hAnsi="Arial"/>
                <w:sz w:val="14"/>
                <w:szCs w:val="14"/>
                <w:color w:val="0000FF"/>
              </w:rPr>
              <w:t>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tcPr>
          <w:p>
            <w:pPr>
              <w:jc w:val="right"/>
              <w:ind w:right="174"/>
              <w:spacing w:after="0" w:line="146"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(3)</w:t>
            </w:r>
          </w:p>
        </w:tc>
        <w:tc>
          <w:tcPr>
            <w:tcW w:w="8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18.8425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0000FF"/>
              </w:rPr>
              <w:t>01/15/2013</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44"/>
              <w:spacing w:after="0"/>
              <w:rPr>
                <w:sz w:val="20"/>
                <w:szCs w:val="20"/>
                <w:color w:val="auto"/>
              </w:rPr>
            </w:pPr>
            <w:r>
              <w:rPr>
                <w:rFonts w:ascii="Arial" w:cs="Arial" w:eastAsia="Arial" w:hAnsi="Arial"/>
                <w:sz w:val="18"/>
                <w:szCs w:val="18"/>
                <w:color w:val="0000FF"/>
                <w:w w:val="93"/>
              </w:rPr>
              <w:t>4,000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4,000</w:t>
            </w:r>
          </w:p>
        </w:tc>
        <w:tc>
          <w:tcPr>
            <w:tcW w:w="640" w:type="dxa"/>
            <w:vAlign w:val="bottom"/>
            <w:vMerge w:val="restart"/>
          </w:tcPr>
          <w:p>
            <w:pPr>
              <w:ind w:left="360"/>
              <w:spacing w:after="0"/>
              <w:rPr>
                <w:sz w:val="20"/>
                <w:szCs w:val="20"/>
                <w:color w:val="auto"/>
              </w:rPr>
            </w:pPr>
            <w:r>
              <w:rPr>
                <w:rFonts w:ascii="Arial" w:cs="Arial" w:eastAsia="Arial" w:hAnsi="Arial"/>
                <w:sz w:val="14"/>
                <w:szCs w:val="14"/>
                <w:color w:val="0000FF"/>
              </w:rPr>
              <w:t>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tcPr>
          <w:p>
            <w:pPr>
              <w:jc w:val="right"/>
              <w:ind w:right="174"/>
              <w:spacing w:after="0" w:line="146"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(3)</w:t>
            </w:r>
          </w:p>
        </w:tc>
        <w:tc>
          <w:tcPr>
            <w:tcW w:w="82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34.855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0000FF"/>
              </w:rPr>
              <w:t>01/14/2014</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44"/>
              <w:spacing w:after="0"/>
              <w:rPr>
                <w:sz w:val="20"/>
                <w:szCs w:val="20"/>
                <w:color w:val="auto"/>
              </w:rPr>
            </w:pPr>
            <w:r>
              <w:rPr>
                <w:rFonts w:ascii="Arial" w:cs="Arial" w:eastAsia="Arial" w:hAnsi="Arial"/>
                <w:sz w:val="18"/>
                <w:szCs w:val="18"/>
                <w:color w:val="0000FF"/>
                <w:w w:val="93"/>
              </w:rPr>
              <w:t>4,000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5"/>
              </w:rPr>
              <w:t>4,000</w:t>
            </w:r>
          </w:p>
        </w:tc>
        <w:tc>
          <w:tcPr>
            <w:tcW w:w="640" w:type="dxa"/>
            <w:vAlign w:val="bottom"/>
            <w:vMerge w:val="restart"/>
          </w:tcPr>
          <w:p>
            <w:pPr>
              <w:ind w:left="360"/>
              <w:spacing w:after="0"/>
              <w:rPr>
                <w:sz w:val="20"/>
                <w:szCs w:val="20"/>
                <w:color w:val="auto"/>
              </w:rPr>
            </w:pPr>
            <w:r>
              <w:rPr>
                <w:rFonts w:ascii="Arial" w:cs="Arial" w:eastAsia="Arial" w:hAnsi="Arial"/>
                <w:sz w:val="14"/>
                <w:szCs w:val="14"/>
                <w:color w:val="0000FF"/>
              </w:rPr>
              <w:t>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tcPr>
          <w:p>
            <w:pPr>
              <w:ind w:left="60"/>
              <w:spacing w:after="0" w:line="154"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60" w:type="dxa"/>
            <w:vAlign w:val="bottom"/>
          </w:tcPr>
          <w:p>
            <w:pPr>
              <w:jc w:val="right"/>
              <w:ind w:right="174"/>
              <w:spacing w:after="0" w:line="154"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(3)</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Adjusted to reflect the 2 for 1 split of Winnebago common stock effective March 5, 2004.</w:t>
      </w:r>
    </w:p>
    <w:p>
      <w:pPr>
        <w:spacing w:after="0" w:line="41" w:lineRule="exact"/>
        <w:rPr>
          <w:rFonts w:ascii="Arial" w:cs="Arial" w:eastAsia="Arial" w:hAnsi="Arial"/>
          <w:sz w:val="14"/>
          <w:szCs w:val="14"/>
          <w:color w:val="008000"/>
        </w:rPr>
      </w:pPr>
    </w:p>
    <w:p>
      <w:pPr>
        <w:ind w:left="40" w:right="20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wife of the reporting person is a co-trustee and has a beneficial interest in (a) the Luise V. Hanson Qualified Terminable Interest Property Marital Deduction Trust (the "QTIP Trust"), (b) the Luise V. Hanson Revocable Trust dated September 22, 1984 (the "Revocable Trust") and (c) the Mary Joan Boman Family Trust (the "Mary Joan Boman Family Trust") of which John V. Hanson and Mary Joan Boman</w:t>
      </w:r>
    </w:p>
    <w:p>
      <w:pPr>
        <w:sectPr>
          <w:pgSz w:w="11900" w:h="16838" w:orient="portrait"/>
          <w:cols w:equalWidth="0" w:num="1">
            <w:col w:w="11520"/>
          </w:cols>
          <w:pgMar w:left="240" w:top="226" w:right="139" w:bottom="0" w:gutter="0" w:footer="0" w:header="0"/>
          <w:type w:val="continuous"/>
        </w:sectPr>
      </w:pPr>
    </w:p>
    <w:bookmarkStart w:id="1" w:name="page2"/>
    <w:bookmarkEnd w:id="1"/>
    <w:p>
      <w:pPr>
        <w:ind w:right="160"/>
        <w:spacing w:after="0" w:line="305" w:lineRule="auto"/>
        <w:rPr>
          <w:sz w:val="20"/>
          <w:szCs w:val="20"/>
          <w:color w:val="auto"/>
        </w:rPr>
      </w:pPr>
      <w:r>
        <w:rPr>
          <w:rFonts w:ascii="Arial" w:cs="Arial" w:eastAsia="Arial" w:hAnsi="Arial"/>
          <w:sz w:val="12"/>
          <w:szCs w:val="12"/>
          <w:color w:val="008000"/>
        </w:rPr>
        <w:t>are co-trustees and Mary Joan Boman is the beneficiary. The QTIP Trust, the Revocable Trust and the Mary Joan Boman Family Trust are members of Hanson Capital Partners, L.L.C., the limited liability company that owns the reported securities. The reporting person disclaims beneficial ownership of the reported securities except to the extent of his wife's pecuniary interest therein.</w:t>
      </w:r>
    </w:p>
    <w:p>
      <w:pPr>
        <w:ind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Granted under the Winnebago Industries, Inc. 1997 Stock Option Plan which is a Section 16(b) Plan. All options are currently exercisable and reflect the 2 for 1 split of Winnebago common stock effective March 5, 2004.</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Gerald E. Boman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12/23/2004</w:t>
            </w:r>
          </w:p>
        </w:tc>
      </w:tr>
      <w:tr>
        <w:trPr>
          <w:trHeight w:val="20"/>
        </w:trPr>
        <w:tc>
          <w:tcPr>
            <w:tcW w:w="1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38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80"/>
      </w:cols>
      <w:pgMar w:left="280" w:top="1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26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2019-12-16T08:23:09Z</dcterms:created>
  <dcterms:modified xsi:type="dcterms:W3CDTF">2019-12-16T08:23:09Z</dcterms:modified>
</cp:coreProperties>
</file>